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34"/>
        <w:ind w:firstLine="480"/>
        <w:rPr>
          <w:color w:val="auto"/>
          <w:highlight w:val="none"/>
        </w:rPr>
      </w:pPr>
    </w:p>
    <w:p>
      <w:pPr>
        <w:pStyle w:val="34"/>
        <w:ind w:firstLine="480"/>
        <w:rPr>
          <w:color w:val="auto"/>
          <w:highlight w:val="none"/>
        </w:rPr>
      </w:pPr>
    </w:p>
    <w:p>
      <w:pPr>
        <w:pStyle w:val="34"/>
        <w:ind w:firstLine="480"/>
        <w:rPr>
          <w:color w:val="auto"/>
          <w:highlight w:val="none"/>
        </w:rPr>
      </w:pPr>
    </w:p>
    <w:p>
      <w:pPr>
        <w:pStyle w:val="34"/>
        <w:ind w:firstLine="480"/>
        <w:rPr>
          <w:color w:val="auto"/>
          <w:highlight w:val="none"/>
        </w:rPr>
      </w:pPr>
    </w:p>
    <w:p>
      <w:pPr>
        <w:pStyle w:val="34"/>
        <w:keepLines w:val="0"/>
        <w:ind w:firstLine="0" w:firstLineChars="0"/>
        <w:rPr>
          <w:color w:val="auto"/>
          <w:highlight w:val="none"/>
        </w:rPr>
      </w:pPr>
    </w:p>
    <w:p>
      <w:pPr>
        <w:pStyle w:val="34"/>
        <w:keepLines w:val="0"/>
        <w:ind w:firstLine="0" w:firstLineChars="0"/>
        <w:rPr>
          <w:color w:val="auto"/>
          <w:highlight w:val="none"/>
        </w:rPr>
      </w:pPr>
    </w:p>
    <w:p>
      <w:pPr>
        <w:keepLines w:val="0"/>
        <w:jc w:val="center"/>
        <w:rPr>
          <w:rFonts w:hint="eastAsia" w:ascii="Times New Roman" w:hAnsi="Times New Roman" w:eastAsia="黑体" w:cs="Times New Roman"/>
          <w:color w:val="auto"/>
          <w:sz w:val="44"/>
          <w:highlight w:val="none"/>
          <w:lang w:eastAsia="zh-CN"/>
        </w:rPr>
      </w:pPr>
      <w:r>
        <w:rPr>
          <w:rFonts w:hint="eastAsia" w:ascii="Times New Roman" w:hAnsi="Times New Roman" w:eastAsia="黑体" w:cs="Times New Roman"/>
          <w:color w:val="auto"/>
          <w:sz w:val="44"/>
          <w:highlight w:val="none"/>
          <w:lang w:eastAsia="zh-CN"/>
        </w:rPr>
        <w:t>广东医科大学附属医院海东院区一期医疗专项（防护、净化及气体）工程</w:t>
      </w:r>
    </w:p>
    <w:p>
      <w:pPr>
        <w:keepLines w:val="0"/>
        <w:jc w:val="center"/>
        <w:rPr>
          <w:rFonts w:ascii="Times New Roman" w:hAnsi="Times New Roman" w:eastAsia="黑体" w:cs="Times New Roman"/>
          <w:color w:val="auto"/>
          <w:sz w:val="44"/>
          <w:highlight w:val="none"/>
          <w:lang w:eastAsia="zh-CN"/>
        </w:rPr>
      </w:pPr>
      <w:r>
        <w:rPr>
          <w:rFonts w:hint="eastAsia" w:ascii="Times New Roman" w:hAnsi="Times New Roman" w:eastAsia="黑体" w:cs="Times New Roman"/>
          <w:color w:val="auto"/>
          <w:sz w:val="44"/>
          <w:highlight w:val="none"/>
          <w:lang w:eastAsia="zh-CN"/>
        </w:rPr>
        <w:t>技术要求</w:t>
      </w:r>
    </w:p>
    <w:p>
      <w:pPr>
        <w:keepLines w:val="0"/>
        <w:jc w:val="center"/>
        <w:rPr>
          <w:rFonts w:ascii="Times New Roman" w:hAnsi="Times New Roman" w:eastAsia="黑体" w:cs="Times New Roman"/>
          <w:color w:val="auto"/>
          <w:sz w:val="44"/>
          <w:highlight w:val="none"/>
          <w:lang w:eastAsia="zh-CN"/>
        </w:rPr>
      </w:pPr>
    </w:p>
    <w:p>
      <w:pPr>
        <w:pStyle w:val="34"/>
        <w:ind w:firstLine="480"/>
        <w:rPr>
          <w:color w:val="auto"/>
          <w:highlight w:val="none"/>
        </w:rPr>
      </w:pPr>
    </w:p>
    <w:p>
      <w:pPr>
        <w:pStyle w:val="34"/>
        <w:ind w:firstLine="480"/>
        <w:rPr>
          <w:color w:val="auto"/>
          <w:highlight w:val="none"/>
        </w:rPr>
      </w:pPr>
    </w:p>
    <w:p>
      <w:pPr>
        <w:pStyle w:val="34"/>
        <w:ind w:firstLine="480"/>
        <w:rPr>
          <w:color w:val="auto"/>
          <w:highlight w:val="none"/>
        </w:rPr>
      </w:pPr>
    </w:p>
    <w:p>
      <w:pPr>
        <w:pStyle w:val="34"/>
        <w:ind w:firstLine="480"/>
        <w:rPr>
          <w:color w:val="auto"/>
          <w:highlight w:val="none"/>
        </w:rPr>
      </w:pPr>
    </w:p>
    <w:p>
      <w:pPr>
        <w:pStyle w:val="34"/>
        <w:ind w:firstLine="480"/>
        <w:rPr>
          <w:color w:val="auto"/>
          <w:highlight w:val="none"/>
        </w:rPr>
      </w:pPr>
    </w:p>
    <w:p>
      <w:pPr>
        <w:pStyle w:val="34"/>
        <w:ind w:firstLine="480"/>
        <w:rPr>
          <w:color w:val="auto"/>
          <w:highlight w:val="none"/>
        </w:rPr>
      </w:pPr>
    </w:p>
    <w:p>
      <w:pPr>
        <w:pStyle w:val="34"/>
        <w:ind w:firstLine="480"/>
        <w:rPr>
          <w:color w:val="auto"/>
          <w:highlight w:val="none"/>
        </w:rPr>
      </w:pPr>
    </w:p>
    <w:p>
      <w:pPr>
        <w:pStyle w:val="34"/>
        <w:ind w:firstLine="480"/>
        <w:rPr>
          <w:color w:val="auto"/>
          <w:highlight w:val="none"/>
        </w:rPr>
      </w:pPr>
    </w:p>
    <w:p>
      <w:pPr>
        <w:pStyle w:val="34"/>
        <w:ind w:firstLine="480"/>
        <w:rPr>
          <w:color w:val="auto"/>
          <w:highlight w:val="none"/>
        </w:rPr>
      </w:pPr>
    </w:p>
    <w:p>
      <w:pPr>
        <w:pStyle w:val="34"/>
        <w:ind w:firstLine="480"/>
        <w:rPr>
          <w:color w:val="auto"/>
          <w:highlight w:val="none"/>
        </w:rPr>
      </w:pPr>
    </w:p>
    <w:p>
      <w:pPr>
        <w:pStyle w:val="34"/>
        <w:ind w:firstLine="480"/>
        <w:rPr>
          <w:color w:val="auto"/>
          <w:highlight w:val="none"/>
        </w:rPr>
      </w:pPr>
    </w:p>
    <w:p>
      <w:pPr>
        <w:pStyle w:val="34"/>
        <w:ind w:firstLine="480"/>
        <w:rPr>
          <w:color w:val="auto"/>
          <w:highlight w:val="none"/>
        </w:rPr>
      </w:pPr>
    </w:p>
    <w:p>
      <w:pPr>
        <w:keepLines w:val="0"/>
        <w:pageBreakBefore/>
        <w:autoSpaceDE/>
        <w:autoSpaceDN/>
        <w:spacing w:before="240" w:after="60"/>
        <w:jc w:val="center"/>
        <w:outlineLvl w:val="0"/>
        <w:rPr>
          <w:rFonts w:asciiTheme="majorHAnsi" w:hAnsiTheme="majorHAnsi" w:cstheme="majorBidi"/>
          <w:b/>
          <w:bCs/>
          <w:color w:val="auto"/>
          <w:kern w:val="2"/>
          <w:sz w:val="32"/>
          <w:szCs w:val="32"/>
          <w:highlight w:val="none"/>
          <w:lang w:eastAsia="zh-CN"/>
        </w:rPr>
      </w:pPr>
      <w:bookmarkStart w:id="0" w:name="_Toc122371800"/>
      <w:r>
        <w:rPr>
          <w:rFonts w:hint="eastAsia" w:asciiTheme="majorHAnsi" w:hAnsiTheme="majorHAnsi" w:cstheme="majorBidi"/>
          <w:b/>
          <w:bCs/>
          <w:color w:val="auto"/>
          <w:kern w:val="2"/>
          <w:sz w:val="32"/>
          <w:szCs w:val="32"/>
          <w:highlight w:val="none"/>
          <w:lang w:eastAsia="zh-CN"/>
        </w:rPr>
        <w:t>目</w:t>
      </w:r>
      <w:r>
        <w:rPr>
          <w:rFonts w:asciiTheme="majorHAnsi" w:hAnsiTheme="majorHAnsi" w:cstheme="majorBidi"/>
          <w:b/>
          <w:bCs/>
          <w:color w:val="auto"/>
          <w:kern w:val="2"/>
          <w:sz w:val="32"/>
          <w:szCs w:val="32"/>
          <w:highlight w:val="none"/>
          <w:lang w:eastAsia="zh-CN"/>
        </w:rPr>
        <w:t xml:space="preserve">    </w:t>
      </w:r>
      <w:r>
        <w:rPr>
          <w:rFonts w:hint="eastAsia" w:asciiTheme="majorHAnsi" w:hAnsiTheme="majorHAnsi" w:cstheme="majorBidi"/>
          <w:b/>
          <w:bCs/>
          <w:color w:val="auto"/>
          <w:kern w:val="2"/>
          <w:sz w:val="32"/>
          <w:szCs w:val="32"/>
          <w:highlight w:val="none"/>
          <w:lang w:eastAsia="zh-CN"/>
        </w:rPr>
        <w:t>录</w:t>
      </w:r>
      <w:bookmarkEnd w:id="0"/>
    </w:p>
    <w:sdt>
      <w:sdtPr>
        <w:rPr>
          <w:color w:val="auto"/>
          <w:highlight w:val="none"/>
          <w:lang w:val="zh-CN"/>
        </w:rPr>
        <w:id w:val="683320848"/>
        <w:docPartObj>
          <w:docPartGallery w:val="Table of Contents"/>
          <w:docPartUnique/>
        </w:docPartObj>
      </w:sdtPr>
      <w:sdtEndPr>
        <w:rPr>
          <w:b w:val="0"/>
          <w:bCs w:val="0"/>
          <w:color w:val="auto"/>
          <w:highlight w:val="none"/>
          <w:lang w:val="zh-CN"/>
        </w:rPr>
      </w:sdtEndPr>
      <w:sdtContent>
        <w:p>
          <w:pPr>
            <w:pStyle w:val="58"/>
            <w:tabs>
              <w:tab w:val="right" w:leader="dot" w:pos="9580"/>
            </w:tabs>
            <w:rPr>
              <w:rFonts w:eastAsiaTheme="minorEastAsia" w:cstheme="minorBidi"/>
              <w:b w:val="0"/>
              <w:bCs w:val="0"/>
              <w:caps w:val="0"/>
              <w:color w:val="auto"/>
              <w:kern w:val="2"/>
              <w:sz w:val="21"/>
              <w:szCs w:val="22"/>
              <w:highlight w:val="none"/>
              <w:lang w:eastAsia="zh-CN"/>
            </w:rPr>
          </w:pPr>
          <w:r>
            <w:rPr>
              <w:rFonts w:asciiTheme="majorHAnsi" w:hAnsiTheme="majorHAnsi" w:eastAsiaTheme="majorEastAsia" w:cstheme="majorBidi"/>
              <w:b w:val="0"/>
              <w:bCs w:val="0"/>
              <w:color w:val="auto"/>
              <w:sz w:val="32"/>
              <w:szCs w:val="32"/>
              <w:highlight w:val="none"/>
              <w:lang w:val="zh-CN" w:eastAsia="zh-CN"/>
            </w:rPr>
            <w:fldChar w:fldCharType="begin"/>
          </w:r>
          <w:r>
            <w:rPr>
              <w:rFonts w:asciiTheme="majorHAnsi" w:hAnsiTheme="majorHAnsi" w:eastAsiaTheme="majorEastAsia" w:cstheme="majorBidi"/>
              <w:b w:val="0"/>
              <w:bCs w:val="0"/>
              <w:color w:val="auto"/>
              <w:sz w:val="32"/>
              <w:szCs w:val="32"/>
              <w:highlight w:val="none"/>
              <w:lang w:val="zh-CN" w:eastAsia="zh-CN"/>
            </w:rPr>
            <w:instrText xml:space="preserve"> TOC \o "1-2" \h \z \u </w:instrText>
          </w:r>
          <w:r>
            <w:rPr>
              <w:rFonts w:asciiTheme="majorHAnsi" w:hAnsiTheme="majorHAnsi" w:eastAsiaTheme="majorEastAsia" w:cstheme="majorBidi"/>
              <w:b w:val="0"/>
              <w:bCs w:val="0"/>
              <w:color w:val="auto"/>
              <w:sz w:val="32"/>
              <w:szCs w:val="32"/>
              <w:highlight w:val="none"/>
              <w:lang w:val="zh-CN" w:eastAsia="zh-CN"/>
            </w:rPr>
            <w:fldChar w:fldCharType="separate"/>
          </w:r>
          <w:r>
            <w:rPr>
              <w:color w:val="auto"/>
              <w:highlight w:val="none"/>
            </w:rPr>
            <w:fldChar w:fldCharType="begin"/>
          </w:r>
          <w:r>
            <w:rPr>
              <w:color w:val="auto"/>
              <w:highlight w:val="none"/>
            </w:rPr>
            <w:instrText xml:space="preserve"> HYPERLINK \l "_Toc122371800" </w:instrText>
          </w:r>
          <w:r>
            <w:rPr>
              <w:color w:val="auto"/>
              <w:highlight w:val="none"/>
            </w:rPr>
            <w:fldChar w:fldCharType="separate"/>
          </w:r>
          <w:r>
            <w:rPr>
              <w:rStyle w:val="140"/>
              <w:rFonts w:asciiTheme="majorHAnsi" w:hAnsiTheme="majorHAnsi" w:cstheme="majorBidi"/>
              <w:color w:val="auto"/>
              <w:highlight w:val="none"/>
              <w:lang w:eastAsia="zh-CN"/>
            </w:rPr>
            <w:t>目    录</w:t>
          </w:r>
          <w:r>
            <w:rPr>
              <w:color w:val="auto"/>
              <w:highlight w:val="none"/>
            </w:rPr>
            <w:tab/>
          </w:r>
          <w:r>
            <w:rPr>
              <w:color w:val="auto"/>
              <w:highlight w:val="none"/>
            </w:rPr>
            <w:fldChar w:fldCharType="begin"/>
          </w:r>
          <w:r>
            <w:rPr>
              <w:color w:val="auto"/>
              <w:highlight w:val="none"/>
            </w:rPr>
            <w:instrText xml:space="preserve"> PAGEREF _Toc122371800 \h </w:instrText>
          </w:r>
          <w:r>
            <w:rPr>
              <w:color w:val="auto"/>
              <w:highlight w:val="none"/>
            </w:rPr>
            <w:fldChar w:fldCharType="separate"/>
          </w:r>
          <w:r>
            <w:rPr>
              <w:color w:val="auto"/>
              <w:highlight w:val="none"/>
            </w:rPr>
            <w:t>2</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"_Toc122371801" </w:instrText>
          </w:r>
          <w:r>
            <w:rPr>
              <w:color w:val="auto"/>
              <w:highlight w:val="none"/>
            </w:rPr>
            <w:fldChar w:fldCharType="separate"/>
          </w:r>
          <w:r>
            <w:rPr>
              <w:rStyle w:val="140"/>
              <w:color w:val="auto"/>
              <w:highlight w:val="none"/>
            </w:rPr>
            <w:t>1.1.</w:t>
          </w:r>
          <w:r>
            <w:rPr>
              <w:rFonts w:eastAsiaTheme="minorEastAsia" w:cstheme="minorBidi"/>
              <w:smallCaps w:val="0"/>
              <w:color w:val="auto"/>
              <w:kern w:val="2"/>
              <w:sz w:val="21"/>
              <w:szCs w:val="22"/>
              <w:highlight w:val="none"/>
              <w:lang w:eastAsia="zh-CN"/>
            </w:rPr>
            <w:tab/>
          </w:r>
          <w:r>
            <w:rPr>
              <w:rStyle w:val="140"/>
              <w:color w:val="auto"/>
              <w:highlight w:val="none"/>
            </w:rPr>
            <w:t>工程概况</w:t>
          </w:r>
          <w:r>
            <w:rPr>
              <w:color w:val="auto"/>
              <w:highlight w:val="none"/>
            </w:rPr>
            <w:tab/>
          </w:r>
          <w:r>
            <w:rPr>
              <w:color w:val="auto"/>
              <w:highlight w:val="none"/>
            </w:rPr>
            <w:fldChar w:fldCharType="begin"/>
          </w:r>
          <w:r>
            <w:rPr>
              <w:color w:val="auto"/>
              <w:highlight w:val="none"/>
            </w:rPr>
            <w:instrText xml:space="preserve"> PAGEREF _Toc122371801 \h </w:instrText>
          </w:r>
          <w:r>
            <w:rPr>
              <w:color w:val="auto"/>
              <w:highlight w:val="none"/>
            </w:rPr>
            <w:fldChar w:fldCharType="separate"/>
          </w:r>
          <w:r>
            <w:rPr>
              <w:color w:val="auto"/>
              <w:highlight w:val="none"/>
            </w:rPr>
            <w:t>5</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"_Toc122371802" </w:instrText>
          </w:r>
          <w:r>
            <w:rPr>
              <w:color w:val="auto"/>
              <w:highlight w:val="none"/>
            </w:rPr>
            <w:fldChar w:fldCharType="separate"/>
          </w:r>
          <w:r>
            <w:rPr>
              <w:rStyle w:val="140"/>
              <w:color w:val="auto"/>
              <w:highlight w:val="none"/>
            </w:rPr>
            <w:t>1.2.</w:t>
          </w:r>
          <w:r>
            <w:rPr>
              <w:rFonts w:eastAsiaTheme="minorEastAsia" w:cstheme="minorBidi"/>
              <w:smallCaps w:val="0"/>
              <w:color w:val="auto"/>
              <w:kern w:val="2"/>
              <w:sz w:val="21"/>
              <w:szCs w:val="22"/>
              <w:highlight w:val="none"/>
              <w:lang w:eastAsia="zh-CN"/>
            </w:rPr>
            <w:tab/>
          </w:r>
          <w:r>
            <w:rPr>
              <w:rStyle w:val="140"/>
              <w:rFonts w:asciiTheme="minorEastAsia" w:hAnsiTheme="minorEastAsia"/>
              <w:color w:val="auto"/>
              <w:highlight w:val="none"/>
            </w:rPr>
            <w:t>工程内容</w:t>
          </w:r>
          <w:r>
            <w:rPr>
              <w:color w:val="auto"/>
              <w:highlight w:val="none"/>
            </w:rPr>
            <w:tab/>
          </w:r>
          <w:r>
            <w:rPr>
              <w:color w:val="auto"/>
              <w:highlight w:val="none"/>
            </w:rPr>
            <w:fldChar w:fldCharType="begin"/>
          </w:r>
          <w:r>
            <w:rPr>
              <w:color w:val="auto"/>
              <w:highlight w:val="none"/>
            </w:rPr>
            <w:instrText xml:space="preserve"> PAGEREF _Toc122371802 \h </w:instrText>
          </w:r>
          <w:r>
            <w:rPr>
              <w:color w:val="auto"/>
              <w:highlight w:val="none"/>
            </w:rPr>
            <w:fldChar w:fldCharType="separate"/>
          </w:r>
          <w:r>
            <w:rPr>
              <w:color w:val="auto"/>
              <w:highlight w:val="none"/>
            </w:rPr>
            <w:t>7</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"_Toc122371803" </w:instrText>
          </w:r>
          <w:r>
            <w:rPr>
              <w:color w:val="auto"/>
              <w:highlight w:val="none"/>
            </w:rPr>
            <w:fldChar w:fldCharType="separate"/>
          </w:r>
          <w:r>
            <w:rPr>
              <w:rStyle w:val="140"/>
              <w:color w:val="auto"/>
              <w:highlight w:val="none"/>
            </w:rPr>
            <w:t>1.3.</w:t>
          </w:r>
          <w:r>
            <w:rPr>
              <w:rFonts w:eastAsiaTheme="minorEastAsia" w:cstheme="minorBidi"/>
              <w:smallCaps w:val="0"/>
              <w:color w:val="auto"/>
              <w:kern w:val="2"/>
              <w:sz w:val="21"/>
              <w:szCs w:val="22"/>
              <w:highlight w:val="none"/>
              <w:lang w:eastAsia="zh-CN"/>
            </w:rPr>
            <w:tab/>
          </w:r>
          <w:r>
            <w:rPr>
              <w:rStyle w:val="140"/>
              <w:color w:val="auto"/>
              <w:highlight w:val="none"/>
            </w:rPr>
            <w:t>工程重难点</w:t>
          </w:r>
          <w:r>
            <w:rPr>
              <w:color w:val="auto"/>
              <w:highlight w:val="none"/>
            </w:rPr>
            <w:tab/>
          </w:r>
          <w:r>
            <w:rPr>
              <w:color w:val="auto"/>
              <w:highlight w:val="none"/>
            </w:rPr>
            <w:fldChar w:fldCharType="begin"/>
          </w:r>
          <w:r>
            <w:rPr>
              <w:color w:val="auto"/>
              <w:highlight w:val="none"/>
            </w:rPr>
            <w:instrText xml:space="preserve"> PAGEREF _Toc122371803 \h </w:instrText>
          </w:r>
          <w:r>
            <w:rPr>
              <w:color w:val="auto"/>
              <w:highlight w:val="none"/>
            </w:rPr>
            <w:fldChar w:fldCharType="separate"/>
          </w:r>
          <w:r>
            <w:rPr>
              <w:color w:val="auto"/>
              <w:highlight w:val="none"/>
            </w:rPr>
            <w:t>8</w:t>
          </w:r>
          <w:r>
            <w:rPr>
              <w:color w:val="auto"/>
              <w:highlight w:val="none"/>
            </w:rPr>
            <w:fldChar w:fldCharType="end"/>
          </w:r>
          <w:r>
            <w:rPr>
              <w:color w:val="auto"/>
              <w:highlight w:val="none"/>
            </w:rPr>
            <w:fldChar w:fldCharType="end"/>
          </w:r>
        </w:p>
        <w:p>
          <w:pPr>
            <w:pStyle w:val="58"/>
            <w:tabs>
              <w:tab w:val="left" w:pos="880"/>
              <w:tab w:val="right" w:leader="dot" w:pos="9580"/>
            </w:tabs>
            <w:rPr>
              <w:rFonts w:eastAsiaTheme="minorEastAsia" w:cstheme="minorBidi"/>
              <w:b w:val="0"/>
              <w:bCs w:val="0"/>
              <w: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"_Toc122371804" </w:instrText>
          </w:r>
          <w:r>
            <w:rPr>
              <w:color w:val="auto"/>
              <w:highlight w:val="none"/>
            </w:rPr>
            <w:fldChar w:fldCharType="separate"/>
          </w:r>
          <w:r>
            <w:rPr>
              <w:rStyle w:val="140"/>
              <w:color w:val="auto"/>
              <w:highlight w:val="none"/>
            </w:rPr>
            <w:t>第2章</w:t>
          </w:r>
          <w:r>
            <w:rPr>
              <w:rFonts w:eastAsiaTheme="minorEastAsia" w:cstheme="minorBidi"/>
              <w:b w:val="0"/>
              <w:bCs w:val="0"/>
              <w:caps w:val="0"/>
              <w:color w:val="auto"/>
              <w:kern w:val="2"/>
              <w:sz w:val="21"/>
              <w:szCs w:val="22"/>
              <w:highlight w:val="none"/>
              <w:lang w:eastAsia="zh-CN"/>
            </w:rPr>
            <w:tab/>
          </w:r>
          <w:r>
            <w:rPr>
              <w:rStyle w:val="140"/>
              <w:color w:val="auto"/>
              <w:highlight w:val="none"/>
            </w:rPr>
            <w:t>工程目标</w:t>
          </w:r>
          <w:r>
            <w:rPr>
              <w:color w:val="auto"/>
              <w:highlight w:val="none"/>
            </w:rPr>
            <w:tab/>
          </w:r>
          <w:r>
            <w:rPr>
              <w:color w:val="auto"/>
              <w:highlight w:val="none"/>
            </w:rPr>
            <w:fldChar w:fldCharType="begin"/>
          </w:r>
          <w:r>
            <w:rPr>
              <w:color w:val="auto"/>
              <w:highlight w:val="none"/>
            </w:rPr>
            <w:instrText xml:space="preserve"> PAGEREF _Toc122371804 \h </w:instrText>
          </w:r>
          <w:r>
            <w:rPr>
              <w:color w:val="auto"/>
              <w:highlight w:val="none"/>
            </w:rPr>
            <w:fldChar w:fldCharType="separate"/>
          </w:r>
          <w:r>
            <w:rPr>
              <w:color w:val="auto"/>
              <w:highlight w:val="none"/>
            </w:rPr>
            <w:t>10</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"_Toc122371805" </w:instrText>
          </w:r>
          <w:r>
            <w:rPr>
              <w:color w:val="auto"/>
              <w:highlight w:val="none"/>
            </w:rPr>
            <w:fldChar w:fldCharType="separate"/>
          </w:r>
          <w:r>
            <w:rPr>
              <w:rStyle w:val="140"/>
              <w:color w:val="auto"/>
              <w:highlight w:val="none"/>
            </w:rPr>
            <w:t>2.1.</w:t>
          </w:r>
          <w:r>
            <w:rPr>
              <w:rFonts w:eastAsiaTheme="minorEastAsia" w:cstheme="minorBidi"/>
              <w:smallCaps w:val="0"/>
              <w:color w:val="auto"/>
              <w:kern w:val="2"/>
              <w:sz w:val="21"/>
              <w:szCs w:val="22"/>
              <w:highlight w:val="none"/>
              <w:lang w:eastAsia="zh-CN"/>
            </w:rPr>
            <w:tab/>
          </w:r>
          <w:r>
            <w:rPr>
              <w:rStyle w:val="140"/>
              <w:color w:val="auto"/>
              <w:highlight w:val="none"/>
            </w:rPr>
            <w:t>工程质量目标</w:t>
          </w:r>
          <w:r>
            <w:rPr>
              <w:color w:val="auto"/>
              <w:highlight w:val="none"/>
            </w:rPr>
            <w:tab/>
          </w:r>
          <w:r>
            <w:rPr>
              <w:color w:val="auto"/>
              <w:highlight w:val="none"/>
            </w:rPr>
            <w:fldChar w:fldCharType="begin"/>
          </w:r>
          <w:r>
            <w:rPr>
              <w:color w:val="auto"/>
              <w:highlight w:val="none"/>
            </w:rPr>
            <w:instrText xml:space="preserve"> PAGEREF _Toc122371805 \h </w:instrText>
          </w:r>
          <w:r>
            <w:rPr>
              <w:color w:val="auto"/>
              <w:highlight w:val="none"/>
            </w:rPr>
            <w:fldChar w:fldCharType="separate"/>
          </w:r>
          <w:r>
            <w:rPr>
              <w:color w:val="auto"/>
              <w:highlight w:val="none"/>
            </w:rPr>
            <w:t>10</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"_Toc122371806" </w:instrText>
          </w:r>
          <w:r>
            <w:rPr>
              <w:color w:val="auto"/>
              <w:highlight w:val="none"/>
            </w:rPr>
            <w:fldChar w:fldCharType="separate"/>
          </w:r>
          <w:r>
            <w:rPr>
              <w:rStyle w:val="140"/>
              <w:color w:val="auto"/>
              <w:highlight w:val="none"/>
            </w:rPr>
            <w:t>2.2.</w:t>
          </w:r>
          <w:r>
            <w:rPr>
              <w:rFonts w:eastAsiaTheme="minorEastAsia" w:cstheme="minorBidi"/>
              <w:smallCaps w:val="0"/>
              <w:color w:val="auto"/>
              <w:kern w:val="2"/>
              <w:sz w:val="21"/>
              <w:szCs w:val="22"/>
              <w:highlight w:val="none"/>
              <w:lang w:eastAsia="zh-CN"/>
            </w:rPr>
            <w:tab/>
          </w:r>
          <w:r>
            <w:rPr>
              <w:rStyle w:val="140"/>
              <w:color w:val="auto"/>
              <w:highlight w:val="none"/>
            </w:rPr>
            <w:t>工程进度目标</w:t>
          </w:r>
          <w:r>
            <w:rPr>
              <w:color w:val="auto"/>
              <w:highlight w:val="none"/>
            </w:rPr>
            <w:tab/>
          </w:r>
          <w:r>
            <w:rPr>
              <w:color w:val="auto"/>
              <w:highlight w:val="none"/>
            </w:rPr>
            <w:fldChar w:fldCharType="begin"/>
          </w:r>
          <w:r>
            <w:rPr>
              <w:color w:val="auto"/>
              <w:highlight w:val="none"/>
            </w:rPr>
            <w:instrText xml:space="preserve"> PAGEREF _Toc122371806 \h </w:instrText>
          </w:r>
          <w:r>
            <w:rPr>
              <w:color w:val="auto"/>
              <w:highlight w:val="none"/>
            </w:rPr>
            <w:fldChar w:fldCharType="separate"/>
          </w:r>
          <w:r>
            <w:rPr>
              <w:color w:val="auto"/>
              <w:highlight w:val="none"/>
            </w:rPr>
            <w:t>10</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"_Toc122371807" </w:instrText>
          </w:r>
          <w:r>
            <w:rPr>
              <w:color w:val="auto"/>
              <w:highlight w:val="none"/>
            </w:rPr>
            <w:fldChar w:fldCharType="separate"/>
          </w:r>
          <w:r>
            <w:rPr>
              <w:rStyle w:val="140"/>
              <w:color w:val="auto"/>
              <w:highlight w:val="none"/>
            </w:rPr>
            <w:t>2.3.</w:t>
          </w:r>
          <w:r>
            <w:rPr>
              <w:rFonts w:eastAsiaTheme="minorEastAsia" w:cstheme="minorBidi"/>
              <w:smallCaps w:val="0"/>
              <w:color w:val="auto"/>
              <w:kern w:val="2"/>
              <w:sz w:val="21"/>
              <w:szCs w:val="22"/>
              <w:highlight w:val="none"/>
              <w:lang w:eastAsia="zh-CN"/>
            </w:rPr>
            <w:tab/>
          </w:r>
          <w:r>
            <w:rPr>
              <w:rStyle w:val="140"/>
              <w:color w:val="auto"/>
              <w:highlight w:val="none"/>
            </w:rPr>
            <w:t>安全生产目标</w:t>
          </w:r>
          <w:r>
            <w:rPr>
              <w:color w:val="auto"/>
              <w:highlight w:val="none"/>
            </w:rPr>
            <w:tab/>
          </w:r>
          <w:r>
            <w:rPr>
              <w:color w:val="auto"/>
              <w:highlight w:val="none"/>
            </w:rPr>
            <w:fldChar w:fldCharType="begin"/>
          </w:r>
          <w:r>
            <w:rPr>
              <w:color w:val="auto"/>
              <w:highlight w:val="none"/>
            </w:rPr>
            <w:instrText xml:space="preserve"> PAGEREF _Toc122371807 \h </w:instrText>
          </w:r>
          <w:r>
            <w:rPr>
              <w:color w:val="auto"/>
              <w:highlight w:val="none"/>
            </w:rPr>
            <w:fldChar w:fldCharType="separate"/>
          </w:r>
          <w:r>
            <w:rPr>
              <w:color w:val="auto"/>
              <w:highlight w:val="none"/>
            </w:rPr>
            <w:t>11</w:t>
          </w:r>
          <w:r>
            <w:rPr>
              <w:color w:val="auto"/>
              <w:highlight w:val="none"/>
            </w:rPr>
            <w:fldChar w:fldCharType="end"/>
          </w:r>
          <w:r>
            <w:rPr>
              <w:color w:val="auto"/>
              <w:highlight w:val="none"/>
            </w:rPr>
            <w:fldChar w:fldCharType="end"/>
          </w:r>
        </w:p>
        <w:p>
          <w:pPr>
            <w:pStyle w:val="58"/>
            <w:tabs>
              <w:tab w:val="left" w:pos="880"/>
              <w:tab w:val="right" w:leader="dot" w:pos="9580"/>
            </w:tabs>
            <w:rPr>
              <w:rFonts w:eastAsiaTheme="minorEastAsia" w:cstheme="minorBidi"/>
              <w:b w:val="0"/>
              <w:bCs w:val="0"/>
              <w: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"_Toc122371808" </w:instrText>
          </w:r>
          <w:r>
            <w:rPr>
              <w:color w:val="auto"/>
              <w:highlight w:val="none"/>
            </w:rPr>
            <w:fldChar w:fldCharType="separate"/>
          </w:r>
          <w:r>
            <w:rPr>
              <w:rStyle w:val="140"/>
              <w:color w:val="auto"/>
              <w:highlight w:val="none"/>
            </w:rPr>
            <w:t>第3章</w:t>
          </w:r>
          <w:r>
            <w:rPr>
              <w:rFonts w:eastAsiaTheme="minorEastAsia" w:cstheme="minorBidi"/>
              <w:b w:val="0"/>
              <w:bCs w:val="0"/>
              <w:caps w:val="0"/>
              <w:color w:val="auto"/>
              <w:kern w:val="2"/>
              <w:sz w:val="21"/>
              <w:szCs w:val="22"/>
              <w:highlight w:val="none"/>
              <w:lang w:eastAsia="zh-CN"/>
            </w:rPr>
            <w:tab/>
          </w:r>
          <w:r>
            <w:rPr>
              <w:rStyle w:val="140"/>
              <w:color w:val="auto"/>
              <w:highlight w:val="none"/>
            </w:rPr>
            <w:t>各工程承包范围及界面划分</w:t>
          </w:r>
          <w:r>
            <w:rPr>
              <w:color w:val="auto"/>
              <w:highlight w:val="none"/>
            </w:rPr>
            <w:tab/>
          </w:r>
          <w:r>
            <w:rPr>
              <w:color w:val="auto"/>
              <w:highlight w:val="none"/>
            </w:rPr>
            <w:fldChar w:fldCharType="begin"/>
          </w:r>
          <w:r>
            <w:rPr>
              <w:color w:val="auto"/>
              <w:highlight w:val="none"/>
            </w:rPr>
            <w:instrText xml:space="preserve"> PAGEREF _Toc122371808 \h </w:instrText>
          </w:r>
          <w:r>
            <w:rPr>
              <w:color w:val="auto"/>
              <w:highlight w:val="none"/>
            </w:rPr>
            <w:fldChar w:fldCharType="separate"/>
          </w:r>
          <w:r>
            <w:rPr>
              <w:color w:val="auto"/>
              <w:highlight w:val="none"/>
            </w:rPr>
            <w:t>12</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"_Toc122371809" </w:instrText>
          </w:r>
          <w:r>
            <w:rPr>
              <w:color w:val="auto"/>
              <w:highlight w:val="none"/>
            </w:rPr>
            <w:fldChar w:fldCharType="separate"/>
          </w:r>
          <w:r>
            <w:rPr>
              <w:rStyle w:val="140"/>
              <w:color w:val="auto"/>
              <w:highlight w:val="none"/>
            </w:rPr>
            <w:t>3.1.</w:t>
          </w:r>
          <w:r>
            <w:rPr>
              <w:rFonts w:eastAsiaTheme="minorEastAsia" w:cstheme="minorBidi"/>
              <w:smallCaps w:val="0"/>
              <w:color w:val="auto"/>
              <w:kern w:val="2"/>
              <w:sz w:val="21"/>
              <w:szCs w:val="22"/>
              <w:highlight w:val="none"/>
              <w:lang w:eastAsia="zh-CN"/>
            </w:rPr>
            <w:tab/>
          </w:r>
          <w:r>
            <w:rPr>
              <w:rStyle w:val="140"/>
              <w:color w:val="auto"/>
              <w:highlight w:val="none"/>
            </w:rPr>
            <w:t>合约分判架构</w:t>
          </w:r>
          <w:r>
            <w:rPr>
              <w:color w:val="auto"/>
              <w:highlight w:val="none"/>
            </w:rPr>
            <w:tab/>
          </w:r>
          <w:r>
            <w:rPr>
              <w:color w:val="auto"/>
              <w:highlight w:val="none"/>
            </w:rPr>
            <w:fldChar w:fldCharType="begin"/>
          </w:r>
          <w:r>
            <w:rPr>
              <w:color w:val="auto"/>
              <w:highlight w:val="none"/>
            </w:rPr>
            <w:instrText xml:space="preserve"> PAGEREF _Toc122371809 \h </w:instrText>
          </w:r>
          <w:r>
            <w:rPr>
              <w:color w:val="auto"/>
              <w:highlight w:val="none"/>
            </w:rPr>
            <w:fldChar w:fldCharType="separate"/>
          </w:r>
          <w:r>
            <w:rPr>
              <w:color w:val="auto"/>
              <w:highlight w:val="none"/>
            </w:rPr>
            <w:t>12</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"_Toc122371810" </w:instrText>
          </w:r>
          <w:r>
            <w:rPr>
              <w:color w:val="auto"/>
              <w:highlight w:val="none"/>
            </w:rPr>
            <w:fldChar w:fldCharType="separate"/>
          </w:r>
          <w:r>
            <w:rPr>
              <w:rStyle w:val="140"/>
              <w:color w:val="auto"/>
              <w:highlight w:val="none"/>
            </w:rPr>
            <w:t>3.2.</w:t>
          </w:r>
          <w:r>
            <w:rPr>
              <w:rFonts w:eastAsiaTheme="minorEastAsia" w:cstheme="minorBidi"/>
              <w:smallCaps w:val="0"/>
              <w:color w:val="auto"/>
              <w:kern w:val="2"/>
              <w:sz w:val="21"/>
              <w:szCs w:val="22"/>
              <w:highlight w:val="none"/>
              <w:lang w:eastAsia="zh-CN"/>
            </w:rPr>
            <w:tab/>
          </w:r>
          <w:r>
            <w:rPr>
              <w:rStyle w:val="140"/>
              <w:color w:val="auto"/>
              <w:highlight w:val="none"/>
            </w:rPr>
            <w:t>放射防护及磁屏蔽工程承包范围</w:t>
          </w:r>
          <w:r>
            <w:rPr>
              <w:color w:val="auto"/>
              <w:highlight w:val="none"/>
            </w:rPr>
            <w:tab/>
          </w:r>
          <w:r>
            <w:rPr>
              <w:color w:val="auto"/>
              <w:highlight w:val="none"/>
            </w:rPr>
            <w:fldChar w:fldCharType="begin"/>
          </w:r>
          <w:r>
            <w:rPr>
              <w:color w:val="auto"/>
              <w:highlight w:val="none"/>
            </w:rPr>
            <w:instrText xml:space="preserve"> PAGEREF _Toc122371810 \h </w:instrText>
          </w:r>
          <w:r>
            <w:rPr>
              <w:color w:val="auto"/>
              <w:highlight w:val="none"/>
            </w:rPr>
            <w:fldChar w:fldCharType="separate"/>
          </w:r>
          <w:r>
            <w:rPr>
              <w:color w:val="auto"/>
              <w:highlight w:val="none"/>
            </w:rPr>
            <w:t>12</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"_Toc122371811" </w:instrText>
          </w:r>
          <w:r>
            <w:rPr>
              <w:color w:val="auto"/>
              <w:highlight w:val="none"/>
            </w:rPr>
            <w:fldChar w:fldCharType="separate"/>
          </w:r>
          <w:r>
            <w:rPr>
              <w:rStyle w:val="140"/>
              <w:color w:val="auto"/>
              <w:highlight w:val="none"/>
            </w:rPr>
            <w:t>3.3.</w:t>
          </w:r>
          <w:r>
            <w:rPr>
              <w:rFonts w:eastAsiaTheme="minorEastAsia" w:cstheme="minorBidi"/>
              <w:smallCaps w:val="0"/>
              <w:color w:val="auto"/>
              <w:kern w:val="2"/>
              <w:sz w:val="21"/>
              <w:szCs w:val="22"/>
              <w:highlight w:val="none"/>
              <w:lang w:eastAsia="zh-CN"/>
            </w:rPr>
            <w:tab/>
          </w:r>
          <w:r>
            <w:rPr>
              <w:rStyle w:val="140"/>
              <w:color w:val="auto"/>
              <w:highlight w:val="none"/>
            </w:rPr>
            <w:t>放射防护及磁屏蔽工程界面划分一般原则</w:t>
          </w:r>
          <w:r>
            <w:rPr>
              <w:color w:val="auto"/>
              <w:highlight w:val="none"/>
            </w:rPr>
            <w:tab/>
          </w:r>
          <w:r>
            <w:rPr>
              <w:color w:val="auto"/>
              <w:highlight w:val="none"/>
            </w:rPr>
            <w:fldChar w:fldCharType="begin"/>
          </w:r>
          <w:r>
            <w:rPr>
              <w:color w:val="auto"/>
              <w:highlight w:val="none"/>
            </w:rPr>
            <w:instrText xml:space="preserve"> PAGEREF _Toc122371811 \h </w:instrText>
          </w:r>
          <w:r>
            <w:rPr>
              <w:color w:val="auto"/>
              <w:highlight w:val="none"/>
            </w:rPr>
            <w:fldChar w:fldCharType="separate"/>
          </w:r>
          <w:r>
            <w:rPr>
              <w:color w:val="auto"/>
              <w:highlight w:val="none"/>
            </w:rPr>
            <w:t>13</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"_Toc122371812" </w:instrText>
          </w:r>
          <w:r>
            <w:rPr>
              <w:color w:val="auto"/>
              <w:highlight w:val="none"/>
            </w:rPr>
            <w:fldChar w:fldCharType="separate"/>
          </w:r>
          <w:r>
            <w:rPr>
              <w:rStyle w:val="140"/>
              <w:color w:val="auto"/>
              <w:highlight w:val="none"/>
            </w:rPr>
            <w:t>3.4.</w:t>
          </w:r>
          <w:r>
            <w:rPr>
              <w:rFonts w:eastAsiaTheme="minorEastAsia" w:cstheme="minorBidi"/>
              <w:smallCaps w:val="0"/>
              <w:color w:val="auto"/>
              <w:kern w:val="2"/>
              <w:sz w:val="21"/>
              <w:szCs w:val="22"/>
              <w:highlight w:val="none"/>
              <w:lang w:eastAsia="zh-CN"/>
            </w:rPr>
            <w:tab/>
          </w:r>
          <w:r>
            <w:rPr>
              <w:rStyle w:val="140"/>
              <w:color w:val="auto"/>
              <w:highlight w:val="none"/>
            </w:rPr>
            <w:t>放射防护及磁屏蔽工程与总承包人之间界面划分</w:t>
          </w:r>
          <w:r>
            <w:rPr>
              <w:color w:val="auto"/>
              <w:highlight w:val="none"/>
            </w:rPr>
            <w:tab/>
          </w:r>
          <w:r>
            <w:rPr>
              <w:color w:val="auto"/>
              <w:highlight w:val="none"/>
            </w:rPr>
            <w:fldChar w:fldCharType="begin"/>
          </w:r>
          <w:r>
            <w:rPr>
              <w:color w:val="auto"/>
              <w:highlight w:val="none"/>
            </w:rPr>
            <w:instrText xml:space="preserve"> PAGEREF _Toc122371812 \h </w:instrText>
          </w:r>
          <w:r>
            <w:rPr>
              <w:color w:val="auto"/>
              <w:highlight w:val="none"/>
            </w:rPr>
            <w:fldChar w:fldCharType="separate"/>
          </w:r>
          <w:r>
            <w:rPr>
              <w:color w:val="auto"/>
              <w:highlight w:val="none"/>
            </w:rPr>
            <w:t>21</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"_Toc122371813" </w:instrText>
          </w:r>
          <w:r>
            <w:rPr>
              <w:color w:val="auto"/>
              <w:highlight w:val="none"/>
            </w:rPr>
            <w:fldChar w:fldCharType="separate"/>
          </w:r>
          <w:r>
            <w:rPr>
              <w:rStyle w:val="140"/>
              <w:color w:val="auto"/>
              <w:highlight w:val="none"/>
            </w:rPr>
            <w:t>3.5.</w:t>
          </w:r>
          <w:r>
            <w:rPr>
              <w:rFonts w:eastAsiaTheme="minorEastAsia" w:cstheme="minorBidi"/>
              <w:smallCaps w:val="0"/>
              <w:color w:val="auto"/>
              <w:kern w:val="2"/>
              <w:sz w:val="21"/>
              <w:szCs w:val="22"/>
              <w:highlight w:val="none"/>
              <w:lang w:eastAsia="zh-CN"/>
            </w:rPr>
            <w:tab/>
          </w:r>
          <w:r>
            <w:rPr>
              <w:rStyle w:val="140"/>
              <w:color w:val="auto"/>
              <w:highlight w:val="none"/>
            </w:rPr>
            <w:t>放射防护及磁屏蔽工程与其他专业工程承包人之间界面划分</w:t>
          </w:r>
          <w:r>
            <w:rPr>
              <w:color w:val="auto"/>
              <w:highlight w:val="none"/>
            </w:rPr>
            <w:tab/>
          </w:r>
          <w:r>
            <w:rPr>
              <w:color w:val="auto"/>
              <w:highlight w:val="none"/>
            </w:rPr>
            <w:fldChar w:fldCharType="begin"/>
          </w:r>
          <w:r>
            <w:rPr>
              <w:color w:val="auto"/>
              <w:highlight w:val="none"/>
            </w:rPr>
            <w:instrText xml:space="preserve"> PAGEREF _Toc122371813 \h </w:instrText>
          </w:r>
          <w:r>
            <w:rPr>
              <w:color w:val="auto"/>
              <w:highlight w:val="none"/>
            </w:rPr>
            <w:fldChar w:fldCharType="separate"/>
          </w:r>
          <w:r>
            <w:rPr>
              <w:color w:val="auto"/>
              <w:highlight w:val="none"/>
            </w:rPr>
            <w:t>23</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"_Toc122371814" </w:instrText>
          </w:r>
          <w:r>
            <w:rPr>
              <w:color w:val="auto"/>
              <w:highlight w:val="none"/>
            </w:rPr>
            <w:fldChar w:fldCharType="separate"/>
          </w:r>
          <w:r>
            <w:rPr>
              <w:rStyle w:val="140"/>
              <w:color w:val="auto"/>
              <w:highlight w:val="none"/>
            </w:rPr>
            <w:t>3.6.</w:t>
          </w:r>
          <w:r>
            <w:rPr>
              <w:rFonts w:eastAsiaTheme="minorEastAsia" w:cstheme="minorBidi"/>
              <w:smallCaps w:val="0"/>
              <w:color w:val="auto"/>
              <w:kern w:val="2"/>
              <w:sz w:val="21"/>
              <w:szCs w:val="22"/>
              <w:highlight w:val="none"/>
              <w:lang w:eastAsia="zh-CN"/>
            </w:rPr>
            <w:tab/>
          </w:r>
          <w:r>
            <w:rPr>
              <w:rStyle w:val="140"/>
              <w:color w:val="auto"/>
              <w:highlight w:val="none"/>
            </w:rPr>
            <w:t>医疗工艺及净化工程承包范围</w:t>
          </w:r>
          <w:r>
            <w:rPr>
              <w:color w:val="auto"/>
              <w:highlight w:val="none"/>
            </w:rPr>
            <w:tab/>
          </w:r>
          <w:r>
            <w:rPr>
              <w:color w:val="auto"/>
              <w:highlight w:val="none"/>
            </w:rPr>
            <w:fldChar w:fldCharType="begin"/>
          </w:r>
          <w:r>
            <w:rPr>
              <w:color w:val="auto"/>
              <w:highlight w:val="none"/>
            </w:rPr>
            <w:instrText xml:space="preserve"> PAGEREF _Toc122371814 \h </w:instrText>
          </w:r>
          <w:r>
            <w:rPr>
              <w:color w:val="auto"/>
              <w:highlight w:val="none"/>
            </w:rPr>
            <w:fldChar w:fldCharType="separate"/>
          </w:r>
          <w:r>
            <w:rPr>
              <w:color w:val="auto"/>
              <w:highlight w:val="none"/>
            </w:rPr>
            <w:t>13</w:t>
          </w:r>
          <w:r>
            <w:rPr>
              <w:color w:val="auto"/>
              <w:highlight w:val="none"/>
            </w:rPr>
            <w:fldChar w:fldCharType="end"/>
          </w:r>
          <w:r>
            <w:rPr>
              <w:color w:val="auto"/>
              <w:highlight w:val="none"/>
            </w:rPr>
            <w:fldChar w:fldCharType="end"/>
          </w:r>
        </w:p>
        <w:p>
          <w:pPr>
            <w:pStyle w:val="58"/>
            <w:tabs>
              <w:tab w:val="left" w:pos="880"/>
              <w:tab w:val="right" w:leader="dot" w:pos="9580"/>
            </w:tabs>
            <w:rPr>
              <w:rFonts w:eastAsiaTheme="minorEastAsia" w:cstheme="minorBidi"/>
              <w:b w:val="0"/>
              <w:bCs w:val="0"/>
              <w: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"_Toc122371815" </w:instrText>
          </w:r>
          <w:r>
            <w:rPr>
              <w:color w:val="auto"/>
              <w:highlight w:val="none"/>
            </w:rPr>
            <w:fldChar w:fldCharType="separate"/>
          </w:r>
          <w:r>
            <w:rPr>
              <w:rStyle w:val="140"/>
              <w:color w:val="auto"/>
              <w:highlight w:val="none"/>
            </w:rPr>
            <w:t>第4章</w:t>
          </w:r>
          <w:r>
            <w:rPr>
              <w:rFonts w:eastAsiaTheme="minorEastAsia" w:cstheme="minorBidi"/>
              <w:b w:val="0"/>
              <w:bCs w:val="0"/>
              <w:caps w:val="0"/>
              <w:color w:val="auto"/>
              <w:kern w:val="2"/>
              <w:sz w:val="21"/>
              <w:szCs w:val="22"/>
              <w:highlight w:val="none"/>
              <w:lang w:eastAsia="zh-CN"/>
            </w:rPr>
            <w:tab/>
          </w:r>
          <w:r>
            <w:rPr>
              <w:rStyle w:val="140"/>
              <w:color w:val="auto"/>
              <w:highlight w:val="none"/>
            </w:rPr>
            <w:t>协调配合要求</w:t>
          </w:r>
          <w:r>
            <w:rPr>
              <w:color w:val="auto"/>
              <w:highlight w:val="none"/>
            </w:rPr>
            <w:tab/>
          </w:r>
          <w:r>
            <w:rPr>
              <w:color w:val="auto"/>
              <w:highlight w:val="none"/>
            </w:rPr>
            <w:fldChar w:fldCharType="begin"/>
          </w:r>
          <w:r>
            <w:rPr>
              <w:color w:val="auto"/>
              <w:highlight w:val="none"/>
            </w:rPr>
            <w:instrText xml:space="preserve"> PAGEREF _Toc122371815 \h </w:instrText>
          </w:r>
          <w:r>
            <w:rPr>
              <w:color w:val="auto"/>
              <w:highlight w:val="none"/>
            </w:rPr>
            <w:fldChar w:fldCharType="separate"/>
          </w:r>
          <w:r>
            <w:rPr>
              <w:color w:val="auto"/>
              <w:highlight w:val="none"/>
            </w:rPr>
            <w:t>36</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"_Toc122371816" </w:instrText>
          </w:r>
          <w:r>
            <w:rPr>
              <w:color w:val="auto"/>
              <w:highlight w:val="none"/>
            </w:rPr>
            <w:fldChar w:fldCharType="separate"/>
          </w:r>
          <w:r>
            <w:rPr>
              <w:rStyle w:val="140"/>
              <w:color w:val="auto"/>
              <w:highlight w:val="none"/>
            </w:rPr>
            <w:t>4.1.</w:t>
          </w:r>
          <w:r>
            <w:rPr>
              <w:rFonts w:eastAsiaTheme="minorEastAsia" w:cstheme="minorBidi"/>
              <w:smallCaps w:val="0"/>
              <w:color w:val="auto"/>
              <w:kern w:val="2"/>
              <w:sz w:val="21"/>
              <w:szCs w:val="22"/>
              <w:highlight w:val="none"/>
              <w:lang w:eastAsia="zh-CN"/>
            </w:rPr>
            <w:tab/>
          </w:r>
          <w:r>
            <w:rPr>
              <w:rStyle w:val="140"/>
              <w:color w:val="auto"/>
              <w:highlight w:val="none"/>
            </w:rPr>
            <w:t>与发包人的协调配合</w:t>
          </w:r>
          <w:r>
            <w:rPr>
              <w:color w:val="auto"/>
              <w:highlight w:val="none"/>
            </w:rPr>
            <w:tab/>
          </w:r>
          <w:r>
            <w:rPr>
              <w:color w:val="auto"/>
              <w:highlight w:val="none"/>
            </w:rPr>
            <w:fldChar w:fldCharType="begin"/>
          </w:r>
          <w:r>
            <w:rPr>
              <w:color w:val="auto"/>
              <w:highlight w:val="none"/>
            </w:rPr>
            <w:instrText xml:space="preserve"> PAGEREF _Toc122371816 \h </w:instrText>
          </w:r>
          <w:r>
            <w:rPr>
              <w:color w:val="auto"/>
              <w:highlight w:val="none"/>
            </w:rPr>
            <w:fldChar w:fldCharType="separate"/>
          </w:r>
          <w:r>
            <w:rPr>
              <w:color w:val="auto"/>
              <w:highlight w:val="none"/>
            </w:rPr>
            <w:t>36</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"_Toc122371817" </w:instrText>
          </w:r>
          <w:r>
            <w:rPr>
              <w:color w:val="auto"/>
              <w:highlight w:val="none"/>
            </w:rPr>
            <w:fldChar w:fldCharType="separate"/>
          </w:r>
          <w:r>
            <w:rPr>
              <w:rStyle w:val="140"/>
              <w:color w:val="auto"/>
              <w:highlight w:val="none"/>
            </w:rPr>
            <w:t>4.2.</w:t>
          </w:r>
          <w:r>
            <w:rPr>
              <w:rFonts w:eastAsiaTheme="minorEastAsia" w:cstheme="minorBidi"/>
              <w:smallCaps w:val="0"/>
              <w:color w:val="auto"/>
              <w:kern w:val="2"/>
              <w:sz w:val="21"/>
              <w:szCs w:val="22"/>
              <w:highlight w:val="none"/>
              <w:lang w:eastAsia="zh-CN"/>
            </w:rPr>
            <w:tab/>
          </w:r>
          <w:r>
            <w:rPr>
              <w:rStyle w:val="140"/>
              <w:color w:val="auto"/>
              <w:highlight w:val="none"/>
            </w:rPr>
            <w:t>与设计人的协调配合</w:t>
          </w:r>
          <w:r>
            <w:rPr>
              <w:color w:val="auto"/>
              <w:highlight w:val="none"/>
            </w:rPr>
            <w:tab/>
          </w:r>
          <w:r>
            <w:rPr>
              <w:color w:val="auto"/>
              <w:highlight w:val="none"/>
            </w:rPr>
            <w:fldChar w:fldCharType="begin"/>
          </w:r>
          <w:r>
            <w:rPr>
              <w:color w:val="auto"/>
              <w:highlight w:val="none"/>
            </w:rPr>
            <w:instrText xml:space="preserve"> PAGEREF _Toc122371817 \h </w:instrText>
          </w:r>
          <w:r>
            <w:rPr>
              <w:color w:val="auto"/>
              <w:highlight w:val="none"/>
            </w:rPr>
            <w:fldChar w:fldCharType="separate"/>
          </w:r>
          <w:r>
            <w:rPr>
              <w:color w:val="auto"/>
              <w:highlight w:val="none"/>
            </w:rPr>
            <w:t>37</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"_Toc122371818" </w:instrText>
          </w:r>
          <w:r>
            <w:rPr>
              <w:color w:val="auto"/>
              <w:highlight w:val="none"/>
            </w:rPr>
            <w:fldChar w:fldCharType="separate"/>
          </w:r>
          <w:r>
            <w:rPr>
              <w:rStyle w:val="140"/>
              <w:color w:val="auto"/>
              <w:highlight w:val="none"/>
            </w:rPr>
            <w:t>4.3.</w:t>
          </w:r>
          <w:r>
            <w:rPr>
              <w:rFonts w:eastAsiaTheme="minorEastAsia" w:cstheme="minorBidi"/>
              <w:smallCaps w:val="0"/>
              <w:color w:val="auto"/>
              <w:kern w:val="2"/>
              <w:sz w:val="21"/>
              <w:szCs w:val="22"/>
              <w:highlight w:val="none"/>
              <w:lang w:eastAsia="zh-CN"/>
            </w:rPr>
            <w:tab/>
          </w:r>
          <w:r>
            <w:rPr>
              <w:rStyle w:val="140"/>
              <w:color w:val="auto"/>
              <w:highlight w:val="none"/>
            </w:rPr>
            <w:t>与监理人的协调配合</w:t>
          </w:r>
          <w:r>
            <w:rPr>
              <w:color w:val="auto"/>
              <w:highlight w:val="none"/>
            </w:rPr>
            <w:tab/>
          </w:r>
          <w:r>
            <w:rPr>
              <w:color w:val="auto"/>
              <w:highlight w:val="none"/>
            </w:rPr>
            <w:fldChar w:fldCharType="begin"/>
          </w:r>
          <w:r>
            <w:rPr>
              <w:color w:val="auto"/>
              <w:highlight w:val="none"/>
            </w:rPr>
            <w:instrText xml:space="preserve"> PAGEREF _Toc122371818 \h </w:instrText>
          </w:r>
          <w:r>
            <w:rPr>
              <w:color w:val="auto"/>
              <w:highlight w:val="none"/>
            </w:rPr>
            <w:fldChar w:fldCharType="separate"/>
          </w:r>
          <w:r>
            <w:rPr>
              <w:color w:val="auto"/>
              <w:highlight w:val="none"/>
            </w:rPr>
            <w:t>37</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"_Toc122371819" </w:instrText>
          </w:r>
          <w:r>
            <w:rPr>
              <w:color w:val="auto"/>
              <w:highlight w:val="none"/>
            </w:rPr>
            <w:fldChar w:fldCharType="separate"/>
          </w:r>
          <w:r>
            <w:rPr>
              <w:rStyle w:val="140"/>
              <w:color w:val="auto"/>
              <w:highlight w:val="none"/>
            </w:rPr>
            <w:t>4.4.</w:t>
          </w:r>
          <w:r>
            <w:rPr>
              <w:rFonts w:eastAsiaTheme="minorEastAsia" w:cstheme="minorBidi"/>
              <w:smallCaps w:val="0"/>
              <w:color w:val="auto"/>
              <w:kern w:val="2"/>
              <w:sz w:val="21"/>
              <w:szCs w:val="22"/>
              <w:highlight w:val="none"/>
              <w:lang w:eastAsia="zh-CN"/>
            </w:rPr>
            <w:tab/>
          </w:r>
          <w:r>
            <w:rPr>
              <w:rStyle w:val="140"/>
              <w:color w:val="auto"/>
              <w:highlight w:val="none"/>
            </w:rPr>
            <w:t>与总承包人的协调配合</w:t>
          </w:r>
          <w:r>
            <w:rPr>
              <w:color w:val="auto"/>
              <w:highlight w:val="none"/>
            </w:rPr>
            <w:tab/>
          </w:r>
          <w:r>
            <w:rPr>
              <w:color w:val="auto"/>
              <w:highlight w:val="none"/>
            </w:rPr>
            <w:fldChar w:fldCharType="begin"/>
          </w:r>
          <w:r>
            <w:rPr>
              <w:color w:val="auto"/>
              <w:highlight w:val="none"/>
            </w:rPr>
            <w:instrText xml:space="preserve"> PAGEREF _Toc122371819 \h </w:instrText>
          </w:r>
          <w:r>
            <w:rPr>
              <w:color w:val="auto"/>
              <w:highlight w:val="none"/>
            </w:rPr>
            <w:fldChar w:fldCharType="separate"/>
          </w:r>
          <w:r>
            <w:rPr>
              <w:color w:val="auto"/>
              <w:highlight w:val="none"/>
            </w:rPr>
            <w:t>38</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"_Toc122371820" </w:instrText>
          </w:r>
          <w:r>
            <w:rPr>
              <w:color w:val="auto"/>
              <w:highlight w:val="none"/>
            </w:rPr>
            <w:fldChar w:fldCharType="separate"/>
          </w:r>
          <w:r>
            <w:rPr>
              <w:rStyle w:val="140"/>
              <w:color w:val="auto"/>
              <w:highlight w:val="none"/>
            </w:rPr>
            <w:t>4.5.</w:t>
          </w:r>
          <w:r>
            <w:rPr>
              <w:rFonts w:eastAsiaTheme="minorEastAsia" w:cstheme="minorBidi"/>
              <w:smallCaps w:val="0"/>
              <w:color w:val="auto"/>
              <w:kern w:val="2"/>
              <w:sz w:val="21"/>
              <w:szCs w:val="22"/>
              <w:highlight w:val="none"/>
              <w:lang w:eastAsia="zh-CN"/>
            </w:rPr>
            <w:tab/>
          </w:r>
          <w:r>
            <w:rPr>
              <w:rStyle w:val="140"/>
              <w:color w:val="auto"/>
              <w:highlight w:val="none"/>
            </w:rPr>
            <w:t>与其他专业工程承包人的协调配合</w:t>
          </w:r>
          <w:r>
            <w:rPr>
              <w:color w:val="auto"/>
              <w:highlight w:val="none"/>
            </w:rPr>
            <w:tab/>
          </w:r>
          <w:r>
            <w:rPr>
              <w:color w:val="auto"/>
              <w:highlight w:val="none"/>
            </w:rPr>
            <w:fldChar w:fldCharType="begin"/>
          </w:r>
          <w:r>
            <w:rPr>
              <w:color w:val="auto"/>
              <w:highlight w:val="none"/>
            </w:rPr>
            <w:instrText xml:space="preserve"> PAGEREF _Toc122371820 \h </w:instrText>
          </w:r>
          <w:r>
            <w:rPr>
              <w:color w:val="auto"/>
              <w:highlight w:val="none"/>
            </w:rPr>
            <w:fldChar w:fldCharType="separate"/>
          </w:r>
          <w:r>
            <w:rPr>
              <w:color w:val="auto"/>
              <w:highlight w:val="none"/>
            </w:rPr>
            <w:t>38</w:t>
          </w:r>
          <w:r>
            <w:rPr>
              <w:color w:val="auto"/>
              <w:highlight w:val="none"/>
            </w:rPr>
            <w:fldChar w:fldCharType="end"/>
          </w:r>
          <w:r>
            <w:rPr>
              <w:color w:val="auto"/>
              <w:highlight w:val="none"/>
            </w:rPr>
            <w:fldChar w:fldCharType="end"/>
          </w:r>
        </w:p>
        <w:p>
          <w:pPr>
            <w:pStyle w:val="58"/>
            <w:tabs>
              <w:tab w:val="left" w:pos="880"/>
              <w:tab w:val="right" w:leader="dot" w:pos="9580"/>
            </w:tabs>
            <w:rPr>
              <w:rFonts w:eastAsiaTheme="minorEastAsia" w:cstheme="minorBidi"/>
              <w:b w:val="0"/>
              <w:bCs w:val="0"/>
              <w: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"_Toc122371821" </w:instrText>
          </w:r>
          <w:r>
            <w:rPr>
              <w:color w:val="auto"/>
              <w:highlight w:val="none"/>
            </w:rPr>
            <w:fldChar w:fldCharType="separate"/>
          </w:r>
          <w:r>
            <w:rPr>
              <w:rStyle w:val="140"/>
              <w:color w:val="auto"/>
              <w:highlight w:val="none"/>
            </w:rPr>
            <w:t>第5章</w:t>
          </w:r>
          <w:r>
            <w:rPr>
              <w:rFonts w:eastAsiaTheme="minorEastAsia" w:cstheme="minorBidi"/>
              <w:b w:val="0"/>
              <w:bCs w:val="0"/>
              <w:caps w:val="0"/>
              <w:color w:val="auto"/>
              <w:kern w:val="2"/>
              <w:sz w:val="21"/>
              <w:szCs w:val="22"/>
              <w:highlight w:val="none"/>
              <w:lang w:eastAsia="zh-CN"/>
            </w:rPr>
            <w:tab/>
          </w:r>
          <w:r>
            <w:rPr>
              <w:rStyle w:val="140"/>
              <w:color w:val="auto"/>
              <w:highlight w:val="none"/>
            </w:rPr>
            <w:t>项目组织架构及工作要求</w:t>
          </w:r>
          <w:r>
            <w:rPr>
              <w:color w:val="auto"/>
              <w:highlight w:val="none"/>
            </w:rPr>
            <w:tab/>
          </w:r>
          <w:r>
            <w:rPr>
              <w:color w:val="auto"/>
              <w:highlight w:val="none"/>
            </w:rPr>
            <w:fldChar w:fldCharType="begin"/>
          </w:r>
          <w:r>
            <w:rPr>
              <w:color w:val="auto"/>
              <w:highlight w:val="none"/>
            </w:rPr>
            <w:instrText xml:space="preserve"> PAGEREF _Toc122371821 \h </w:instrText>
          </w:r>
          <w:r>
            <w:rPr>
              <w:color w:val="auto"/>
              <w:highlight w:val="none"/>
            </w:rPr>
            <w:fldChar w:fldCharType="separate"/>
          </w:r>
          <w:r>
            <w:rPr>
              <w:color w:val="auto"/>
              <w:highlight w:val="none"/>
            </w:rPr>
            <w:t>40</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"_Toc122371822" </w:instrText>
          </w:r>
          <w:r>
            <w:rPr>
              <w:color w:val="auto"/>
              <w:highlight w:val="none"/>
            </w:rPr>
            <w:fldChar w:fldCharType="separate"/>
          </w:r>
          <w:r>
            <w:rPr>
              <w:rStyle w:val="140"/>
              <w:color w:val="auto"/>
              <w:highlight w:val="none"/>
            </w:rPr>
            <w:t>5.1.</w:t>
          </w:r>
          <w:r>
            <w:rPr>
              <w:rFonts w:eastAsiaTheme="minorEastAsia" w:cstheme="minorBidi"/>
              <w:smallCaps w:val="0"/>
              <w:color w:val="auto"/>
              <w:kern w:val="2"/>
              <w:sz w:val="21"/>
              <w:szCs w:val="22"/>
              <w:highlight w:val="none"/>
              <w:lang w:eastAsia="zh-CN"/>
            </w:rPr>
            <w:tab/>
          </w:r>
          <w:r>
            <w:rPr>
              <w:rStyle w:val="140"/>
              <w:color w:val="auto"/>
              <w:highlight w:val="none"/>
            </w:rPr>
            <w:t>项目管理团队组织架构设置要求</w:t>
          </w:r>
          <w:r>
            <w:rPr>
              <w:color w:val="auto"/>
              <w:highlight w:val="none"/>
            </w:rPr>
            <w:tab/>
          </w:r>
          <w:r>
            <w:rPr>
              <w:color w:val="auto"/>
              <w:highlight w:val="none"/>
            </w:rPr>
            <w:fldChar w:fldCharType="begin"/>
          </w:r>
          <w:r>
            <w:rPr>
              <w:color w:val="auto"/>
              <w:highlight w:val="none"/>
            </w:rPr>
            <w:instrText xml:space="preserve"> PAGEREF _Toc122371822 \h </w:instrText>
          </w:r>
          <w:r>
            <w:rPr>
              <w:color w:val="auto"/>
              <w:highlight w:val="none"/>
            </w:rPr>
            <w:fldChar w:fldCharType="separate"/>
          </w:r>
          <w:r>
            <w:rPr>
              <w:color w:val="auto"/>
              <w:highlight w:val="none"/>
            </w:rPr>
            <w:t>40</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"_Toc122371823" </w:instrText>
          </w:r>
          <w:r>
            <w:rPr>
              <w:color w:val="auto"/>
              <w:highlight w:val="none"/>
            </w:rPr>
            <w:fldChar w:fldCharType="separate"/>
          </w:r>
          <w:r>
            <w:rPr>
              <w:rStyle w:val="140"/>
              <w:color w:val="auto"/>
              <w:highlight w:val="none"/>
            </w:rPr>
            <w:t>5.2.</w:t>
          </w:r>
          <w:r>
            <w:rPr>
              <w:rFonts w:eastAsiaTheme="minorEastAsia" w:cstheme="minorBidi"/>
              <w:smallCaps w:val="0"/>
              <w:color w:val="auto"/>
              <w:kern w:val="2"/>
              <w:sz w:val="21"/>
              <w:szCs w:val="22"/>
              <w:highlight w:val="none"/>
              <w:lang w:eastAsia="zh-CN"/>
            </w:rPr>
            <w:tab/>
          </w:r>
          <w:r>
            <w:rPr>
              <w:rStyle w:val="140"/>
              <w:color w:val="auto"/>
              <w:highlight w:val="none"/>
            </w:rPr>
            <w:t>项目经理的要求</w:t>
          </w:r>
          <w:r>
            <w:rPr>
              <w:color w:val="auto"/>
              <w:highlight w:val="none"/>
            </w:rPr>
            <w:tab/>
          </w:r>
          <w:r>
            <w:rPr>
              <w:color w:val="auto"/>
              <w:highlight w:val="none"/>
            </w:rPr>
            <w:fldChar w:fldCharType="begin"/>
          </w:r>
          <w:r>
            <w:rPr>
              <w:color w:val="auto"/>
              <w:highlight w:val="none"/>
            </w:rPr>
            <w:instrText xml:space="preserve"> PAGEREF _Toc122371823 \h </w:instrText>
          </w:r>
          <w:r>
            <w:rPr>
              <w:color w:val="auto"/>
              <w:highlight w:val="none"/>
            </w:rPr>
            <w:fldChar w:fldCharType="separate"/>
          </w:r>
          <w:r>
            <w:rPr>
              <w:color w:val="auto"/>
              <w:highlight w:val="none"/>
            </w:rPr>
            <w:t>41</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"_Toc122371824" </w:instrText>
          </w:r>
          <w:r>
            <w:rPr>
              <w:color w:val="auto"/>
              <w:highlight w:val="none"/>
            </w:rPr>
            <w:fldChar w:fldCharType="separate"/>
          </w:r>
          <w:r>
            <w:rPr>
              <w:rStyle w:val="140"/>
              <w:color w:val="auto"/>
              <w:highlight w:val="none"/>
            </w:rPr>
            <w:t>5.3.</w:t>
          </w:r>
          <w:r>
            <w:rPr>
              <w:rFonts w:eastAsiaTheme="minorEastAsia" w:cstheme="minorBidi"/>
              <w:smallCaps w:val="0"/>
              <w:color w:val="auto"/>
              <w:kern w:val="2"/>
              <w:sz w:val="21"/>
              <w:szCs w:val="22"/>
              <w:highlight w:val="none"/>
              <w:lang w:eastAsia="zh-CN"/>
            </w:rPr>
            <w:tab/>
          </w:r>
          <w:r>
            <w:rPr>
              <w:rStyle w:val="140"/>
              <w:color w:val="auto"/>
              <w:highlight w:val="none"/>
            </w:rPr>
            <w:t>项目关键岗位人员的要求</w:t>
          </w:r>
          <w:r>
            <w:rPr>
              <w:color w:val="auto"/>
              <w:highlight w:val="none"/>
            </w:rPr>
            <w:tab/>
          </w:r>
          <w:r>
            <w:rPr>
              <w:color w:val="auto"/>
              <w:highlight w:val="none"/>
            </w:rPr>
            <w:fldChar w:fldCharType="begin"/>
          </w:r>
          <w:r>
            <w:rPr>
              <w:color w:val="auto"/>
              <w:highlight w:val="none"/>
            </w:rPr>
            <w:instrText xml:space="preserve"> PAGEREF _Toc122371824 \h </w:instrText>
          </w:r>
          <w:r>
            <w:rPr>
              <w:color w:val="auto"/>
              <w:highlight w:val="none"/>
            </w:rPr>
            <w:fldChar w:fldCharType="separate"/>
          </w:r>
          <w:r>
            <w:rPr>
              <w:color w:val="auto"/>
              <w:highlight w:val="none"/>
            </w:rPr>
            <w:t>42</w:t>
          </w:r>
          <w:r>
            <w:rPr>
              <w:color w:val="auto"/>
              <w:highlight w:val="none"/>
            </w:rPr>
            <w:fldChar w:fldCharType="end"/>
          </w:r>
          <w:r>
            <w:rPr>
              <w:color w:val="auto"/>
              <w:highlight w:val="none"/>
            </w:rPr>
            <w:fldChar w:fldCharType="end"/>
          </w:r>
        </w:p>
        <w:p>
          <w:pPr>
            <w:pStyle w:val="58"/>
            <w:tabs>
              <w:tab w:val="left" w:pos="880"/>
              <w:tab w:val="right" w:leader="dot" w:pos="9580"/>
            </w:tabs>
            <w:rPr>
              <w:rFonts w:eastAsiaTheme="minorEastAsia" w:cstheme="minorBidi"/>
              <w:b w:val="0"/>
              <w:bCs w:val="0"/>
              <w: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"_Toc122371825" </w:instrText>
          </w:r>
          <w:r>
            <w:rPr>
              <w:color w:val="auto"/>
              <w:highlight w:val="none"/>
            </w:rPr>
            <w:fldChar w:fldCharType="separate"/>
          </w:r>
          <w:r>
            <w:rPr>
              <w:rStyle w:val="140"/>
              <w:color w:val="auto"/>
              <w:highlight w:val="none"/>
            </w:rPr>
            <w:t>第6章</w:t>
          </w:r>
          <w:r>
            <w:rPr>
              <w:rFonts w:eastAsiaTheme="minorEastAsia" w:cstheme="minorBidi"/>
              <w:b w:val="0"/>
              <w:bCs w:val="0"/>
              <w:caps w:val="0"/>
              <w:color w:val="auto"/>
              <w:kern w:val="2"/>
              <w:sz w:val="21"/>
              <w:szCs w:val="22"/>
              <w:highlight w:val="none"/>
              <w:lang w:eastAsia="zh-CN"/>
            </w:rPr>
            <w:tab/>
          </w:r>
          <w:r>
            <w:rPr>
              <w:rStyle w:val="140"/>
              <w:color w:val="auto"/>
              <w:highlight w:val="none"/>
            </w:rPr>
            <w:t>施工管理要求</w:t>
          </w:r>
          <w:r>
            <w:rPr>
              <w:color w:val="auto"/>
              <w:highlight w:val="none"/>
            </w:rPr>
            <w:tab/>
          </w:r>
          <w:r>
            <w:rPr>
              <w:color w:val="auto"/>
              <w:highlight w:val="none"/>
            </w:rPr>
            <w:fldChar w:fldCharType="begin"/>
          </w:r>
          <w:r>
            <w:rPr>
              <w:color w:val="auto"/>
              <w:highlight w:val="none"/>
            </w:rPr>
            <w:instrText xml:space="preserve"> PAGEREF _Toc122371825 \h </w:instrText>
          </w:r>
          <w:r>
            <w:rPr>
              <w:color w:val="auto"/>
              <w:highlight w:val="none"/>
            </w:rPr>
            <w:fldChar w:fldCharType="separate"/>
          </w:r>
          <w:r>
            <w:rPr>
              <w:color w:val="auto"/>
              <w:highlight w:val="none"/>
            </w:rPr>
            <w:t>43</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"_Toc122371826" </w:instrText>
          </w:r>
          <w:r>
            <w:rPr>
              <w:color w:val="auto"/>
              <w:highlight w:val="none"/>
            </w:rPr>
            <w:fldChar w:fldCharType="separate"/>
          </w:r>
          <w:r>
            <w:rPr>
              <w:rStyle w:val="140"/>
              <w:color w:val="auto"/>
              <w:highlight w:val="none"/>
            </w:rPr>
            <w:t>6.1.</w:t>
          </w:r>
          <w:r>
            <w:rPr>
              <w:rFonts w:eastAsiaTheme="minorEastAsia" w:cstheme="minorBidi"/>
              <w:smallCaps w:val="0"/>
              <w:color w:val="auto"/>
              <w:kern w:val="2"/>
              <w:sz w:val="21"/>
              <w:szCs w:val="22"/>
              <w:highlight w:val="none"/>
              <w:lang w:eastAsia="zh-CN"/>
            </w:rPr>
            <w:tab/>
          </w:r>
          <w:r>
            <w:rPr>
              <w:rStyle w:val="140"/>
              <w:color w:val="auto"/>
              <w:highlight w:val="none"/>
            </w:rPr>
            <w:t>质量管理要求</w:t>
          </w:r>
          <w:r>
            <w:rPr>
              <w:color w:val="auto"/>
              <w:highlight w:val="none"/>
            </w:rPr>
            <w:tab/>
          </w:r>
          <w:r>
            <w:rPr>
              <w:color w:val="auto"/>
              <w:highlight w:val="none"/>
            </w:rPr>
            <w:fldChar w:fldCharType="begin"/>
          </w:r>
          <w:r>
            <w:rPr>
              <w:color w:val="auto"/>
              <w:highlight w:val="none"/>
            </w:rPr>
            <w:instrText xml:space="preserve"> PAGEREF _Toc122371826 \h </w:instrText>
          </w:r>
          <w:r>
            <w:rPr>
              <w:color w:val="auto"/>
              <w:highlight w:val="none"/>
            </w:rPr>
            <w:fldChar w:fldCharType="separate"/>
          </w:r>
          <w:r>
            <w:rPr>
              <w:color w:val="auto"/>
              <w:highlight w:val="none"/>
            </w:rPr>
            <w:t>43</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"_Toc122371827" </w:instrText>
          </w:r>
          <w:r>
            <w:rPr>
              <w:color w:val="auto"/>
              <w:highlight w:val="none"/>
            </w:rPr>
            <w:fldChar w:fldCharType="separate"/>
          </w:r>
          <w:r>
            <w:rPr>
              <w:rStyle w:val="140"/>
              <w:color w:val="auto"/>
              <w:highlight w:val="none"/>
            </w:rPr>
            <w:t>6.2.</w:t>
          </w:r>
          <w:r>
            <w:rPr>
              <w:rFonts w:eastAsiaTheme="minorEastAsia" w:cstheme="minorBidi"/>
              <w:smallCaps w:val="0"/>
              <w:color w:val="auto"/>
              <w:kern w:val="2"/>
              <w:sz w:val="21"/>
              <w:szCs w:val="22"/>
              <w:highlight w:val="none"/>
              <w:lang w:eastAsia="zh-CN"/>
            </w:rPr>
            <w:tab/>
          </w:r>
          <w:r>
            <w:rPr>
              <w:rStyle w:val="140"/>
              <w:color w:val="auto"/>
              <w:highlight w:val="none"/>
            </w:rPr>
            <w:t>进度管理要求</w:t>
          </w:r>
          <w:r>
            <w:rPr>
              <w:color w:val="auto"/>
              <w:highlight w:val="none"/>
            </w:rPr>
            <w:tab/>
          </w:r>
          <w:r>
            <w:rPr>
              <w:color w:val="auto"/>
              <w:highlight w:val="none"/>
            </w:rPr>
            <w:fldChar w:fldCharType="begin"/>
          </w:r>
          <w:r>
            <w:rPr>
              <w:color w:val="auto"/>
              <w:highlight w:val="none"/>
            </w:rPr>
            <w:instrText xml:space="preserve"> PAGEREF _Toc122371827 \h </w:instrText>
          </w:r>
          <w:r>
            <w:rPr>
              <w:color w:val="auto"/>
              <w:highlight w:val="none"/>
            </w:rPr>
            <w:fldChar w:fldCharType="separate"/>
          </w:r>
          <w:r>
            <w:rPr>
              <w:color w:val="auto"/>
              <w:highlight w:val="none"/>
            </w:rPr>
            <w:t>43</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"_Toc122371828" </w:instrText>
          </w:r>
          <w:r>
            <w:rPr>
              <w:color w:val="auto"/>
              <w:highlight w:val="none"/>
            </w:rPr>
            <w:fldChar w:fldCharType="separate"/>
          </w:r>
          <w:r>
            <w:rPr>
              <w:rStyle w:val="140"/>
              <w:color w:val="auto"/>
              <w:highlight w:val="none"/>
            </w:rPr>
            <w:t>6.3.</w:t>
          </w:r>
          <w:r>
            <w:rPr>
              <w:rFonts w:eastAsiaTheme="minorEastAsia" w:cstheme="minorBidi"/>
              <w:smallCaps w:val="0"/>
              <w:color w:val="auto"/>
              <w:kern w:val="2"/>
              <w:sz w:val="21"/>
              <w:szCs w:val="22"/>
              <w:highlight w:val="none"/>
              <w:lang w:eastAsia="zh-CN"/>
            </w:rPr>
            <w:tab/>
          </w:r>
          <w:r>
            <w:rPr>
              <w:rStyle w:val="140"/>
              <w:color w:val="auto"/>
              <w:highlight w:val="none"/>
            </w:rPr>
            <w:t>深化设计要求</w:t>
          </w:r>
          <w:r>
            <w:rPr>
              <w:color w:val="auto"/>
              <w:highlight w:val="none"/>
            </w:rPr>
            <w:tab/>
          </w:r>
          <w:r>
            <w:rPr>
              <w:color w:val="auto"/>
              <w:highlight w:val="none"/>
            </w:rPr>
            <w:fldChar w:fldCharType="begin"/>
          </w:r>
          <w:r>
            <w:rPr>
              <w:color w:val="auto"/>
              <w:highlight w:val="none"/>
            </w:rPr>
            <w:instrText xml:space="preserve"> PAGEREF _Toc122371828 \h </w:instrText>
          </w:r>
          <w:r>
            <w:rPr>
              <w:color w:val="auto"/>
              <w:highlight w:val="none"/>
            </w:rPr>
            <w:fldChar w:fldCharType="separate"/>
          </w:r>
          <w:r>
            <w:rPr>
              <w:color w:val="auto"/>
              <w:highlight w:val="none"/>
            </w:rPr>
            <w:t>46</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"_Toc122371829" </w:instrText>
          </w:r>
          <w:r>
            <w:rPr>
              <w:color w:val="auto"/>
              <w:highlight w:val="none"/>
            </w:rPr>
            <w:fldChar w:fldCharType="separate"/>
          </w:r>
          <w:r>
            <w:rPr>
              <w:rStyle w:val="140"/>
              <w:color w:val="auto"/>
              <w:highlight w:val="none"/>
            </w:rPr>
            <w:t>6.4.</w:t>
          </w:r>
          <w:r>
            <w:rPr>
              <w:rFonts w:eastAsiaTheme="minorEastAsia" w:cstheme="minorBidi"/>
              <w:smallCaps w:val="0"/>
              <w:color w:val="auto"/>
              <w:kern w:val="2"/>
              <w:sz w:val="21"/>
              <w:szCs w:val="22"/>
              <w:highlight w:val="none"/>
              <w:lang w:eastAsia="zh-CN"/>
            </w:rPr>
            <w:tab/>
          </w:r>
          <w:r>
            <w:rPr>
              <w:rStyle w:val="140"/>
              <w:color w:val="auto"/>
              <w:highlight w:val="none"/>
            </w:rPr>
            <w:t>样板管理要求</w:t>
          </w:r>
          <w:r>
            <w:rPr>
              <w:color w:val="auto"/>
              <w:highlight w:val="none"/>
            </w:rPr>
            <w:tab/>
          </w:r>
          <w:r>
            <w:rPr>
              <w:color w:val="auto"/>
              <w:highlight w:val="none"/>
            </w:rPr>
            <w:fldChar w:fldCharType="begin"/>
          </w:r>
          <w:r>
            <w:rPr>
              <w:color w:val="auto"/>
              <w:highlight w:val="none"/>
            </w:rPr>
            <w:instrText xml:space="preserve"> PAGEREF _Toc122371829 \h </w:instrText>
          </w:r>
          <w:r>
            <w:rPr>
              <w:color w:val="auto"/>
              <w:highlight w:val="none"/>
            </w:rPr>
            <w:fldChar w:fldCharType="separate"/>
          </w:r>
          <w:r>
            <w:rPr>
              <w:color w:val="auto"/>
              <w:highlight w:val="none"/>
            </w:rPr>
            <w:t>48</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"_Toc122371830" </w:instrText>
          </w:r>
          <w:r>
            <w:rPr>
              <w:color w:val="auto"/>
              <w:highlight w:val="none"/>
            </w:rPr>
            <w:fldChar w:fldCharType="separate"/>
          </w:r>
          <w:r>
            <w:rPr>
              <w:rStyle w:val="140"/>
              <w:color w:val="auto"/>
              <w:highlight w:val="none"/>
            </w:rPr>
            <w:t>6.5.</w:t>
          </w:r>
          <w:r>
            <w:rPr>
              <w:rFonts w:eastAsiaTheme="minorEastAsia" w:cstheme="minorBidi"/>
              <w:smallCaps w:val="0"/>
              <w:color w:val="auto"/>
              <w:kern w:val="2"/>
              <w:sz w:val="21"/>
              <w:szCs w:val="22"/>
              <w:highlight w:val="none"/>
              <w:lang w:eastAsia="zh-CN"/>
            </w:rPr>
            <w:tab/>
          </w:r>
          <w:r>
            <w:rPr>
              <w:rStyle w:val="140"/>
              <w:color w:val="auto"/>
              <w:highlight w:val="none"/>
            </w:rPr>
            <w:t>工序交接管理要求</w:t>
          </w:r>
          <w:r>
            <w:rPr>
              <w:color w:val="auto"/>
              <w:highlight w:val="none"/>
            </w:rPr>
            <w:tab/>
          </w:r>
          <w:r>
            <w:rPr>
              <w:color w:val="auto"/>
              <w:highlight w:val="none"/>
            </w:rPr>
            <w:fldChar w:fldCharType="begin"/>
          </w:r>
          <w:r>
            <w:rPr>
              <w:color w:val="auto"/>
              <w:highlight w:val="none"/>
            </w:rPr>
            <w:instrText xml:space="preserve"> PAGEREF _Toc122371830 \h </w:instrText>
          </w:r>
          <w:r>
            <w:rPr>
              <w:color w:val="auto"/>
              <w:highlight w:val="none"/>
            </w:rPr>
            <w:fldChar w:fldCharType="separate"/>
          </w:r>
          <w:r>
            <w:rPr>
              <w:color w:val="auto"/>
              <w:highlight w:val="none"/>
            </w:rPr>
            <w:t>52</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"_Toc122371831" </w:instrText>
          </w:r>
          <w:r>
            <w:rPr>
              <w:color w:val="auto"/>
              <w:highlight w:val="none"/>
            </w:rPr>
            <w:fldChar w:fldCharType="separate"/>
          </w:r>
          <w:r>
            <w:rPr>
              <w:rStyle w:val="140"/>
              <w:color w:val="auto"/>
              <w:highlight w:val="none"/>
            </w:rPr>
            <w:t>6.6.</w:t>
          </w:r>
          <w:r>
            <w:rPr>
              <w:rFonts w:eastAsiaTheme="minorEastAsia" w:cstheme="minorBidi"/>
              <w:smallCaps w:val="0"/>
              <w:color w:val="auto"/>
              <w:kern w:val="2"/>
              <w:sz w:val="21"/>
              <w:szCs w:val="22"/>
              <w:highlight w:val="none"/>
              <w:lang w:eastAsia="zh-CN"/>
            </w:rPr>
            <w:tab/>
          </w:r>
          <w:r>
            <w:rPr>
              <w:rStyle w:val="140"/>
              <w:color w:val="auto"/>
              <w:highlight w:val="none"/>
            </w:rPr>
            <w:t>工作面交接管理要求</w:t>
          </w:r>
          <w:r>
            <w:rPr>
              <w:color w:val="auto"/>
              <w:highlight w:val="none"/>
            </w:rPr>
            <w:tab/>
          </w:r>
          <w:r>
            <w:rPr>
              <w:color w:val="auto"/>
              <w:highlight w:val="none"/>
            </w:rPr>
            <w:fldChar w:fldCharType="begin"/>
          </w:r>
          <w:r>
            <w:rPr>
              <w:color w:val="auto"/>
              <w:highlight w:val="none"/>
            </w:rPr>
            <w:instrText xml:space="preserve"> PAGEREF _Toc122371831 \h </w:instrText>
          </w:r>
          <w:r>
            <w:rPr>
              <w:color w:val="auto"/>
              <w:highlight w:val="none"/>
            </w:rPr>
            <w:fldChar w:fldCharType="separate"/>
          </w:r>
          <w:r>
            <w:rPr>
              <w:color w:val="auto"/>
              <w:highlight w:val="none"/>
            </w:rPr>
            <w:t>52</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"_Toc122371832" </w:instrText>
          </w:r>
          <w:r>
            <w:rPr>
              <w:color w:val="auto"/>
              <w:highlight w:val="none"/>
            </w:rPr>
            <w:fldChar w:fldCharType="separate"/>
          </w:r>
          <w:r>
            <w:rPr>
              <w:rStyle w:val="140"/>
              <w:color w:val="auto"/>
              <w:highlight w:val="none"/>
            </w:rPr>
            <w:t>6.7.</w:t>
          </w:r>
          <w:r>
            <w:rPr>
              <w:rFonts w:eastAsiaTheme="minorEastAsia" w:cstheme="minorBidi"/>
              <w:smallCaps w:val="0"/>
              <w:color w:val="auto"/>
              <w:kern w:val="2"/>
              <w:sz w:val="21"/>
              <w:szCs w:val="22"/>
              <w:highlight w:val="none"/>
              <w:lang w:eastAsia="zh-CN"/>
            </w:rPr>
            <w:tab/>
          </w:r>
          <w:r>
            <w:rPr>
              <w:rStyle w:val="140"/>
              <w:color w:val="auto"/>
              <w:highlight w:val="none"/>
            </w:rPr>
            <w:t>成品保护要求</w:t>
          </w:r>
          <w:r>
            <w:rPr>
              <w:color w:val="auto"/>
              <w:highlight w:val="none"/>
            </w:rPr>
            <w:tab/>
          </w:r>
          <w:r>
            <w:rPr>
              <w:color w:val="auto"/>
              <w:highlight w:val="none"/>
            </w:rPr>
            <w:fldChar w:fldCharType="begin"/>
          </w:r>
          <w:r>
            <w:rPr>
              <w:color w:val="auto"/>
              <w:highlight w:val="none"/>
            </w:rPr>
            <w:instrText xml:space="preserve"> PAGEREF _Toc122371832 \h </w:instrText>
          </w:r>
          <w:r>
            <w:rPr>
              <w:color w:val="auto"/>
              <w:highlight w:val="none"/>
            </w:rPr>
            <w:fldChar w:fldCharType="separate"/>
          </w:r>
          <w:r>
            <w:rPr>
              <w:color w:val="auto"/>
              <w:highlight w:val="none"/>
            </w:rPr>
            <w:t>53</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"_Toc122371833" </w:instrText>
          </w:r>
          <w:r>
            <w:rPr>
              <w:color w:val="auto"/>
              <w:highlight w:val="none"/>
            </w:rPr>
            <w:fldChar w:fldCharType="separate"/>
          </w:r>
          <w:r>
            <w:rPr>
              <w:rStyle w:val="140"/>
              <w:color w:val="auto"/>
              <w:highlight w:val="none"/>
            </w:rPr>
            <w:t>6.8.</w:t>
          </w:r>
          <w:r>
            <w:rPr>
              <w:rFonts w:eastAsiaTheme="minorEastAsia" w:cstheme="minorBidi"/>
              <w:smallCaps w:val="0"/>
              <w:color w:val="auto"/>
              <w:kern w:val="2"/>
              <w:sz w:val="21"/>
              <w:szCs w:val="22"/>
              <w:highlight w:val="none"/>
              <w:lang w:eastAsia="zh-CN"/>
            </w:rPr>
            <w:tab/>
          </w:r>
          <w:r>
            <w:rPr>
              <w:rStyle w:val="140"/>
              <w:color w:val="auto"/>
              <w:highlight w:val="none"/>
            </w:rPr>
            <w:t>甲供物资管理要求</w:t>
          </w:r>
          <w:r>
            <w:rPr>
              <w:color w:val="auto"/>
              <w:highlight w:val="none"/>
            </w:rPr>
            <w:tab/>
          </w:r>
          <w:r>
            <w:rPr>
              <w:color w:val="auto"/>
              <w:highlight w:val="none"/>
            </w:rPr>
            <w:fldChar w:fldCharType="begin"/>
          </w:r>
          <w:r>
            <w:rPr>
              <w:color w:val="auto"/>
              <w:highlight w:val="none"/>
            </w:rPr>
            <w:instrText xml:space="preserve"> PAGEREF _Toc122371833 \h </w:instrText>
          </w:r>
          <w:r>
            <w:rPr>
              <w:color w:val="auto"/>
              <w:highlight w:val="none"/>
            </w:rPr>
            <w:fldChar w:fldCharType="separate"/>
          </w:r>
          <w:r>
            <w:rPr>
              <w:color w:val="auto"/>
              <w:highlight w:val="none"/>
            </w:rPr>
            <w:t>54</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"_Toc122371834" </w:instrText>
          </w:r>
          <w:r>
            <w:rPr>
              <w:color w:val="auto"/>
              <w:highlight w:val="none"/>
            </w:rPr>
            <w:fldChar w:fldCharType="separate"/>
          </w:r>
          <w:r>
            <w:rPr>
              <w:rStyle w:val="140"/>
              <w:color w:val="auto"/>
              <w:highlight w:val="none"/>
            </w:rPr>
            <w:t>6.9.</w:t>
          </w:r>
          <w:r>
            <w:rPr>
              <w:rFonts w:eastAsiaTheme="minorEastAsia" w:cstheme="minorBidi"/>
              <w:smallCaps w:val="0"/>
              <w:color w:val="auto"/>
              <w:kern w:val="2"/>
              <w:sz w:val="21"/>
              <w:szCs w:val="22"/>
              <w:highlight w:val="none"/>
              <w:lang w:eastAsia="zh-CN"/>
            </w:rPr>
            <w:tab/>
          </w:r>
          <w:r>
            <w:rPr>
              <w:rStyle w:val="140"/>
              <w:color w:val="auto"/>
              <w:highlight w:val="none"/>
            </w:rPr>
            <w:t>乙供物资管理要求</w:t>
          </w:r>
          <w:r>
            <w:rPr>
              <w:color w:val="auto"/>
              <w:highlight w:val="none"/>
            </w:rPr>
            <w:tab/>
          </w:r>
          <w:r>
            <w:rPr>
              <w:color w:val="auto"/>
              <w:highlight w:val="none"/>
            </w:rPr>
            <w:fldChar w:fldCharType="begin"/>
          </w:r>
          <w:r>
            <w:rPr>
              <w:color w:val="auto"/>
              <w:highlight w:val="none"/>
            </w:rPr>
            <w:instrText xml:space="preserve"> PAGEREF _Toc122371834 \h </w:instrText>
          </w:r>
          <w:r>
            <w:rPr>
              <w:color w:val="auto"/>
              <w:highlight w:val="none"/>
            </w:rPr>
            <w:fldChar w:fldCharType="separate"/>
          </w:r>
          <w:r>
            <w:rPr>
              <w:color w:val="auto"/>
              <w:highlight w:val="none"/>
            </w:rPr>
            <w:t>54</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"_Toc122371835" </w:instrText>
          </w:r>
          <w:r>
            <w:rPr>
              <w:color w:val="auto"/>
              <w:highlight w:val="none"/>
            </w:rPr>
            <w:fldChar w:fldCharType="separate"/>
          </w:r>
          <w:r>
            <w:rPr>
              <w:rStyle w:val="140"/>
              <w:color w:val="auto"/>
              <w:highlight w:val="none"/>
            </w:rPr>
            <w:t>6.10.</w:t>
          </w:r>
          <w:r>
            <w:rPr>
              <w:rFonts w:eastAsiaTheme="minorEastAsia" w:cstheme="minorBidi"/>
              <w:smallCaps w:val="0"/>
              <w:color w:val="auto"/>
              <w:kern w:val="2"/>
              <w:sz w:val="21"/>
              <w:szCs w:val="22"/>
              <w:highlight w:val="none"/>
              <w:lang w:eastAsia="zh-CN"/>
            </w:rPr>
            <w:tab/>
          </w:r>
          <w:r>
            <w:rPr>
              <w:rStyle w:val="140"/>
              <w:color w:val="auto"/>
              <w:highlight w:val="none"/>
            </w:rPr>
            <w:t>劳务队伍选择要求</w:t>
          </w:r>
          <w:r>
            <w:rPr>
              <w:color w:val="auto"/>
              <w:highlight w:val="none"/>
            </w:rPr>
            <w:tab/>
          </w:r>
          <w:r>
            <w:rPr>
              <w:color w:val="auto"/>
              <w:highlight w:val="none"/>
            </w:rPr>
            <w:fldChar w:fldCharType="begin"/>
          </w:r>
          <w:r>
            <w:rPr>
              <w:color w:val="auto"/>
              <w:highlight w:val="none"/>
            </w:rPr>
            <w:instrText xml:space="preserve"> PAGEREF _Toc122371835 \h </w:instrText>
          </w:r>
          <w:r>
            <w:rPr>
              <w:color w:val="auto"/>
              <w:highlight w:val="none"/>
            </w:rPr>
            <w:fldChar w:fldCharType="separate"/>
          </w:r>
          <w:r>
            <w:rPr>
              <w:color w:val="auto"/>
              <w:highlight w:val="none"/>
            </w:rPr>
            <w:t>55</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"_Toc122371836" </w:instrText>
          </w:r>
          <w:r>
            <w:rPr>
              <w:color w:val="auto"/>
              <w:highlight w:val="none"/>
            </w:rPr>
            <w:fldChar w:fldCharType="separate"/>
          </w:r>
          <w:r>
            <w:rPr>
              <w:rStyle w:val="140"/>
              <w:color w:val="auto"/>
              <w:highlight w:val="none"/>
            </w:rPr>
            <w:t>6.11.</w:t>
          </w:r>
          <w:r>
            <w:rPr>
              <w:rFonts w:eastAsiaTheme="minorEastAsia" w:cstheme="minorBidi"/>
              <w:smallCaps w:val="0"/>
              <w:color w:val="auto"/>
              <w:kern w:val="2"/>
              <w:sz w:val="21"/>
              <w:szCs w:val="22"/>
              <w:highlight w:val="none"/>
              <w:lang w:eastAsia="zh-CN"/>
            </w:rPr>
            <w:tab/>
          </w:r>
          <w:r>
            <w:rPr>
              <w:rStyle w:val="140"/>
              <w:color w:val="auto"/>
              <w:highlight w:val="none"/>
            </w:rPr>
            <w:t>工程验收及移交要求</w:t>
          </w:r>
          <w:r>
            <w:rPr>
              <w:color w:val="auto"/>
              <w:highlight w:val="none"/>
            </w:rPr>
            <w:tab/>
          </w:r>
          <w:r>
            <w:rPr>
              <w:color w:val="auto"/>
              <w:highlight w:val="none"/>
            </w:rPr>
            <w:fldChar w:fldCharType="begin"/>
          </w:r>
          <w:r>
            <w:rPr>
              <w:color w:val="auto"/>
              <w:highlight w:val="none"/>
            </w:rPr>
            <w:instrText xml:space="preserve"> PAGEREF _Toc122371836 \h </w:instrText>
          </w:r>
          <w:r>
            <w:rPr>
              <w:color w:val="auto"/>
              <w:highlight w:val="none"/>
            </w:rPr>
            <w:fldChar w:fldCharType="separate"/>
          </w:r>
          <w:r>
            <w:rPr>
              <w:color w:val="auto"/>
              <w:highlight w:val="none"/>
            </w:rPr>
            <w:t>56</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"_Toc122371837" </w:instrText>
          </w:r>
          <w:r>
            <w:rPr>
              <w:color w:val="auto"/>
              <w:highlight w:val="none"/>
            </w:rPr>
            <w:fldChar w:fldCharType="separate"/>
          </w:r>
          <w:r>
            <w:rPr>
              <w:rStyle w:val="140"/>
              <w:color w:val="auto"/>
              <w:highlight w:val="none"/>
            </w:rPr>
            <w:t>6.12.</w:t>
          </w:r>
          <w:r>
            <w:rPr>
              <w:rFonts w:eastAsiaTheme="minorEastAsia" w:cstheme="minorBidi"/>
              <w:smallCaps w:val="0"/>
              <w:color w:val="auto"/>
              <w:kern w:val="2"/>
              <w:sz w:val="21"/>
              <w:szCs w:val="22"/>
              <w:highlight w:val="none"/>
              <w:lang w:eastAsia="zh-CN"/>
            </w:rPr>
            <w:tab/>
          </w:r>
          <w:r>
            <w:rPr>
              <w:rStyle w:val="140"/>
              <w:color w:val="auto"/>
              <w:highlight w:val="none"/>
            </w:rPr>
            <w:t>检测与试验要求</w:t>
          </w:r>
          <w:r>
            <w:rPr>
              <w:color w:val="auto"/>
              <w:highlight w:val="none"/>
            </w:rPr>
            <w:tab/>
          </w:r>
          <w:r>
            <w:rPr>
              <w:color w:val="auto"/>
              <w:highlight w:val="none"/>
            </w:rPr>
            <w:fldChar w:fldCharType="begin"/>
          </w:r>
          <w:r>
            <w:rPr>
              <w:color w:val="auto"/>
              <w:highlight w:val="none"/>
            </w:rPr>
            <w:instrText xml:space="preserve"> PAGEREF _Toc122371837 \h </w:instrText>
          </w:r>
          <w:r>
            <w:rPr>
              <w:color w:val="auto"/>
              <w:highlight w:val="none"/>
            </w:rPr>
            <w:fldChar w:fldCharType="separate"/>
          </w:r>
          <w:r>
            <w:rPr>
              <w:color w:val="auto"/>
              <w:highlight w:val="none"/>
            </w:rPr>
            <w:t>56</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"_Toc122371838" </w:instrText>
          </w:r>
          <w:r>
            <w:rPr>
              <w:color w:val="auto"/>
              <w:highlight w:val="none"/>
            </w:rPr>
            <w:fldChar w:fldCharType="separate"/>
          </w:r>
          <w:r>
            <w:rPr>
              <w:rStyle w:val="140"/>
              <w:color w:val="auto"/>
              <w:highlight w:val="none"/>
            </w:rPr>
            <w:t>6.13.</w:t>
          </w:r>
          <w:r>
            <w:rPr>
              <w:rFonts w:eastAsiaTheme="minorEastAsia" w:cstheme="minorBidi"/>
              <w:smallCaps w:val="0"/>
              <w:color w:val="auto"/>
              <w:kern w:val="2"/>
              <w:sz w:val="21"/>
              <w:szCs w:val="22"/>
              <w:highlight w:val="none"/>
              <w:lang w:eastAsia="zh-CN"/>
            </w:rPr>
            <w:tab/>
          </w:r>
          <w:r>
            <w:rPr>
              <w:rStyle w:val="140"/>
              <w:color w:val="auto"/>
              <w:highlight w:val="none"/>
            </w:rPr>
            <w:t>撤场程序</w:t>
          </w:r>
          <w:r>
            <w:rPr>
              <w:color w:val="auto"/>
              <w:highlight w:val="none"/>
            </w:rPr>
            <w:tab/>
          </w:r>
          <w:r>
            <w:rPr>
              <w:color w:val="auto"/>
              <w:highlight w:val="none"/>
            </w:rPr>
            <w:fldChar w:fldCharType="begin"/>
          </w:r>
          <w:r>
            <w:rPr>
              <w:color w:val="auto"/>
              <w:highlight w:val="none"/>
            </w:rPr>
            <w:instrText xml:space="preserve"> PAGEREF _Toc122371838 \h </w:instrText>
          </w:r>
          <w:r>
            <w:rPr>
              <w:color w:val="auto"/>
              <w:highlight w:val="none"/>
            </w:rPr>
            <w:fldChar w:fldCharType="separate"/>
          </w:r>
          <w:r>
            <w:rPr>
              <w:color w:val="auto"/>
              <w:highlight w:val="none"/>
            </w:rPr>
            <w:t>57</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"_Toc122371839" </w:instrText>
          </w:r>
          <w:r>
            <w:rPr>
              <w:color w:val="auto"/>
              <w:highlight w:val="none"/>
            </w:rPr>
            <w:fldChar w:fldCharType="separate"/>
          </w:r>
          <w:r>
            <w:rPr>
              <w:rStyle w:val="140"/>
              <w:color w:val="auto"/>
              <w:highlight w:val="none"/>
            </w:rPr>
            <w:t>6.14.</w:t>
          </w:r>
          <w:r>
            <w:rPr>
              <w:rFonts w:eastAsiaTheme="minorEastAsia" w:cstheme="minorBidi"/>
              <w:smallCaps w:val="0"/>
              <w:color w:val="auto"/>
              <w:kern w:val="2"/>
              <w:sz w:val="21"/>
              <w:szCs w:val="22"/>
              <w:highlight w:val="none"/>
              <w:lang w:eastAsia="zh-CN"/>
            </w:rPr>
            <w:tab/>
          </w:r>
          <w:r>
            <w:rPr>
              <w:rStyle w:val="140"/>
              <w:color w:val="auto"/>
              <w:highlight w:val="none"/>
            </w:rPr>
            <w:t>治污减霾要求</w:t>
          </w:r>
          <w:r>
            <w:rPr>
              <w:color w:val="auto"/>
              <w:highlight w:val="none"/>
            </w:rPr>
            <w:tab/>
          </w:r>
          <w:r>
            <w:rPr>
              <w:color w:val="auto"/>
              <w:highlight w:val="none"/>
            </w:rPr>
            <w:fldChar w:fldCharType="begin"/>
          </w:r>
          <w:r>
            <w:rPr>
              <w:color w:val="auto"/>
              <w:highlight w:val="none"/>
            </w:rPr>
            <w:instrText xml:space="preserve"> PAGEREF _Toc122371839 \h </w:instrText>
          </w:r>
          <w:r>
            <w:rPr>
              <w:color w:val="auto"/>
              <w:highlight w:val="none"/>
            </w:rPr>
            <w:fldChar w:fldCharType="separate"/>
          </w:r>
          <w:r>
            <w:rPr>
              <w:color w:val="auto"/>
              <w:highlight w:val="none"/>
            </w:rPr>
            <w:t>58</w:t>
          </w:r>
          <w:r>
            <w:rPr>
              <w:color w:val="auto"/>
              <w:highlight w:val="none"/>
            </w:rPr>
            <w:fldChar w:fldCharType="end"/>
          </w:r>
          <w:r>
            <w:rPr>
              <w:color w:val="auto"/>
              <w:highlight w:val="none"/>
            </w:rPr>
            <w:fldChar w:fldCharType="end"/>
          </w:r>
        </w:p>
        <w:p>
          <w:pPr>
            <w:pStyle w:val="72"/>
            <w:tabs>
              <w:tab w:val="left" w:pos="880"/>
              <w:tab w:val="right" w:leader="dot" w:pos="9580"/>
            </w:tabs>
            <w:rPr>
              <w:rFonts w:hint="eastAsia" w:eastAsia="宋体" w:cstheme="minorBidi"/>
              <w:smallCaps w:val="0"/>
              <w:color w:val="auto"/>
              <w:kern w:val="2"/>
              <w:sz w:val="21"/>
              <w:szCs w:val="22"/>
              <w:highlight w:val="none"/>
              <w:lang w:val="en-US" w:eastAsia="zh-CN"/>
            </w:rPr>
          </w:pPr>
          <w:r>
            <w:rPr>
              <w:color w:val="auto"/>
              <w:highlight w:val="none"/>
            </w:rPr>
            <w:fldChar w:fldCharType="begin"/>
          </w:r>
          <w:r>
            <w:rPr>
              <w:color w:val="auto"/>
              <w:highlight w:val="none"/>
            </w:rPr>
            <w:instrText xml:space="preserve"> HYPERLINK \l "_Toc122371840" </w:instrText>
          </w:r>
          <w:r>
            <w:rPr>
              <w:color w:val="auto"/>
              <w:highlight w:val="none"/>
            </w:rPr>
            <w:fldChar w:fldCharType="separate"/>
          </w:r>
          <w:r>
            <w:rPr>
              <w:rStyle w:val="140"/>
              <w:color w:val="auto"/>
              <w:highlight w:val="none"/>
            </w:rPr>
            <w:t>6.15.</w:t>
          </w:r>
          <w:r>
            <w:rPr>
              <w:rFonts w:eastAsiaTheme="minorEastAsia" w:cstheme="minorBidi"/>
              <w:smallCaps w:val="0"/>
              <w:color w:val="auto"/>
              <w:kern w:val="2"/>
              <w:sz w:val="21"/>
              <w:szCs w:val="22"/>
              <w:highlight w:val="none"/>
              <w:lang w:eastAsia="zh-CN"/>
            </w:rPr>
            <w:tab/>
          </w:r>
          <w:r>
            <w:rPr>
              <w:rStyle w:val="140"/>
              <w:color w:val="auto"/>
              <w:highlight w:val="none"/>
            </w:rPr>
            <w:t>水土保持要求</w:t>
          </w:r>
          <w:r>
            <w:rPr>
              <w:color w:val="auto"/>
              <w:highlight w:val="none"/>
            </w:rPr>
            <w:tab/>
          </w:r>
          <w:r>
            <w:rPr>
              <w:rFonts w:hint="eastAsia"/>
              <w:color w:val="auto"/>
              <w:highlight w:val="none"/>
              <w:lang w:val="en-US" w:eastAsia="zh-CN"/>
            </w:rPr>
            <w:t>5</w:t>
          </w:r>
          <w:r>
            <w:rPr>
              <w:color w:val="auto"/>
              <w:highlight w:val="none"/>
            </w:rPr>
            <w:fldChar w:fldCharType="end"/>
          </w:r>
          <w:r>
            <w:rPr>
              <w:rFonts w:hint="eastAsia"/>
              <w:color w:val="auto"/>
              <w:highlight w:val="none"/>
              <w:lang w:val="en-US" w:eastAsia="zh-CN"/>
            </w:rPr>
            <w:t>9</w:t>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"_Toc122371841" </w:instrText>
          </w:r>
          <w:r>
            <w:rPr>
              <w:color w:val="auto"/>
              <w:highlight w:val="none"/>
            </w:rPr>
            <w:fldChar w:fldCharType="separate"/>
          </w:r>
          <w:r>
            <w:rPr>
              <w:rStyle w:val="140"/>
              <w:color w:val="auto"/>
              <w:highlight w:val="none"/>
            </w:rPr>
            <w:t>6.16.</w:t>
          </w:r>
          <w:r>
            <w:rPr>
              <w:rFonts w:eastAsiaTheme="minorEastAsia" w:cstheme="minorBidi"/>
              <w:smallCaps w:val="0"/>
              <w:color w:val="auto"/>
              <w:kern w:val="2"/>
              <w:sz w:val="21"/>
              <w:szCs w:val="22"/>
              <w:highlight w:val="none"/>
              <w:lang w:eastAsia="zh-CN"/>
            </w:rPr>
            <w:tab/>
          </w:r>
          <w:r>
            <w:rPr>
              <w:rStyle w:val="140"/>
              <w:color w:val="auto"/>
              <w:highlight w:val="none"/>
            </w:rPr>
            <w:t>项目管理系统使用及维护要求</w:t>
          </w:r>
          <w:r>
            <w:rPr>
              <w:color w:val="auto"/>
              <w:highlight w:val="none"/>
            </w:rPr>
            <w:tab/>
          </w:r>
          <w:r>
            <w:rPr>
              <w:color w:val="auto"/>
              <w:highlight w:val="none"/>
            </w:rPr>
            <w:fldChar w:fldCharType="begin"/>
          </w:r>
          <w:r>
            <w:rPr>
              <w:color w:val="auto"/>
              <w:highlight w:val="none"/>
            </w:rPr>
            <w:instrText xml:space="preserve"> PAGEREF _Toc122371841 \h </w:instrText>
          </w:r>
          <w:r>
            <w:rPr>
              <w:color w:val="auto"/>
              <w:highlight w:val="none"/>
            </w:rPr>
            <w:fldChar w:fldCharType="separate"/>
          </w:r>
          <w:r>
            <w:rPr>
              <w:color w:val="auto"/>
              <w:highlight w:val="none"/>
            </w:rPr>
            <w:t>59</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"_Toc122371842" </w:instrText>
          </w:r>
          <w:r>
            <w:rPr>
              <w:color w:val="auto"/>
              <w:highlight w:val="none"/>
            </w:rPr>
            <w:fldChar w:fldCharType="separate"/>
          </w:r>
          <w:r>
            <w:rPr>
              <w:rStyle w:val="140"/>
              <w:color w:val="auto"/>
              <w:highlight w:val="none"/>
            </w:rPr>
            <w:t>6.17.</w:t>
          </w:r>
          <w:r>
            <w:rPr>
              <w:rFonts w:eastAsiaTheme="minorEastAsia" w:cstheme="minorBidi"/>
              <w:smallCaps w:val="0"/>
              <w:color w:val="auto"/>
              <w:kern w:val="2"/>
              <w:sz w:val="21"/>
              <w:szCs w:val="22"/>
              <w:highlight w:val="none"/>
              <w:lang w:eastAsia="zh-CN"/>
            </w:rPr>
            <w:tab/>
          </w:r>
          <w:r>
            <w:rPr>
              <w:rStyle w:val="140"/>
              <w:color w:val="auto"/>
              <w:highlight w:val="none"/>
            </w:rPr>
            <w:t>维保要求</w:t>
          </w:r>
          <w:r>
            <w:rPr>
              <w:color w:val="auto"/>
              <w:highlight w:val="none"/>
            </w:rPr>
            <w:tab/>
          </w:r>
          <w:r>
            <w:rPr>
              <w:color w:val="auto"/>
              <w:highlight w:val="none"/>
            </w:rPr>
            <w:fldChar w:fldCharType="begin"/>
          </w:r>
          <w:r>
            <w:rPr>
              <w:color w:val="auto"/>
              <w:highlight w:val="none"/>
            </w:rPr>
            <w:instrText xml:space="preserve"> PAGEREF _Toc122371842 \h </w:instrText>
          </w:r>
          <w:r>
            <w:rPr>
              <w:color w:val="auto"/>
              <w:highlight w:val="none"/>
            </w:rPr>
            <w:fldChar w:fldCharType="separate"/>
          </w:r>
          <w:r>
            <w:rPr>
              <w:color w:val="auto"/>
              <w:highlight w:val="none"/>
            </w:rPr>
            <w:t>59</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"_Toc122371843" </w:instrText>
          </w:r>
          <w:r>
            <w:rPr>
              <w:color w:val="auto"/>
              <w:highlight w:val="none"/>
            </w:rPr>
            <w:fldChar w:fldCharType="separate"/>
          </w:r>
          <w:r>
            <w:rPr>
              <w:rStyle w:val="140"/>
              <w:color w:val="auto"/>
              <w:highlight w:val="none"/>
            </w:rPr>
            <w:t>6.18.</w:t>
          </w:r>
          <w:r>
            <w:rPr>
              <w:rFonts w:eastAsiaTheme="minorEastAsia" w:cstheme="minorBidi"/>
              <w:smallCaps w:val="0"/>
              <w:color w:val="auto"/>
              <w:kern w:val="2"/>
              <w:sz w:val="21"/>
              <w:szCs w:val="22"/>
              <w:highlight w:val="none"/>
              <w:lang w:eastAsia="zh-CN"/>
            </w:rPr>
            <w:tab/>
          </w:r>
          <w:r>
            <w:rPr>
              <w:rStyle w:val="140"/>
              <w:color w:val="auto"/>
              <w:highlight w:val="none"/>
            </w:rPr>
            <w:t>资料管理要求</w:t>
          </w:r>
          <w:r>
            <w:rPr>
              <w:color w:val="auto"/>
              <w:highlight w:val="none"/>
            </w:rPr>
            <w:tab/>
          </w:r>
          <w:r>
            <w:rPr>
              <w:color w:val="auto"/>
              <w:highlight w:val="none"/>
            </w:rPr>
            <w:fldChar w:fldCharType="begin"/>
          </w:r>
          <w:r>
            <w:rPr>
              <w:color w:val="auto"/>
              <w:highlight w:val="none"/>
            </w:rPr>
            <w:instrText xml:space="preserve"> PAGEREF _Toc122371843 \h </w:instrText>
          </w:r>
          <w:r>
            <w:rPr>
              <w:color w:val="auto"/>
              <w:highlight w:val="none"/>
            </w:rPr>
            <w:fldChar w:fldCharType="separate"/>
          </w:r>
          <w:r>
            <w:rPr>
              <w:color w:val="auto"/>
              <w:highlight w:val="none"/>
            </w:rPr>
            <w:t>59</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"_Toc122371844" </w:instrText>
          </w:r>
          <w:r>
            <w:rPr>
              <w:color w:val="auto"/>
              <w:highlight w:val="none"/>
            </w:rPr>
            <w:fldChar w:fldCharType="separate"/>
          </w:r>
          <w:r>
            <w:rPr>
              <w:rStyle w:val="140"/>
              <w:color w:val="auto"/>
              <w:highlight w:val="none"/>
            </w:rPr>
            <w:t>6.19.</w:t>
          </w:r>
          <w:r>
            <w:rPr>
              <w:rFonts w:eastAsiaTheme="minorEastAsia" w:cstheme="minorBidi"/>
              <w:smallCaps w:val="0"/>
              <w:color w:val="auto"/>
              <w:kern w:val="2"/>
              <w:sz w:val="21"/>
              <w:szCs w:val="22"/>
              <w:highlight w:val="none"/>
              <w:lang w:eastAsia="zh-CN"/>
            </w:rPr>
            <w:tab/>
          </w:r>
          <w:r>
            <w:rPr>
              <w:rStyle w:val="140"/>
              <w:color w:val="auto"/>
              <w:highlight w:val="none"/>
            </w:rPr>
            <w:t>EIM系统使用要求</w:t>
          </w:r>
          <w:r>
            <w:rPr>
              <w:color w:val="auto"/>
              <w:highlight w:val="none"/>
            </w:rPr>
            <w:tab/>
          </w:r>
          <w:r>
            <w:rPr>
              <w:color w:val="auto"/>
              <w:highlight w:val="none"/>
            </w:rPr>
            <w:fldChar w:fldCharType="begin"/>
          </w:r>
          <w:r>
            <w:rPr>
              <w:color w:val="auto"/>
              <w:highlight w:val="none"/>
            </w:rPr>
            <w:instrText xml:space="preserve"> PAGEREF _Toc122371844 \h </w:instrText>
          </w:r>
          <w:r>
            <w:rPr>
              <w:color w:val="auto"/>
              <w:highlight w:val="none"/>
            </w:rPr>
            <w:fldChar w:fldCharType="separate"/>
          </w:r>
          <w:r>
            <w:rPr>
              <w:color w:val="auto"/>
              <w:highlight w:val="none"/>
            </w:rPr>
            <w:t>60</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"_Toc122371845" </w:instrText>
          </w:r>
          <w:r>
            <w:rPr>
              <w:color w:val="auto"/>
              <w:highlight w:val="none"/>
            </w:rPr>
            <w:fldChar w:fldCharType="separate"/>
          </w:r>
          <w:r>
            <w:rPr>
              <w:rStyle w:val="140"/>
              <w:color w:val="auto"/>
              <w:highlight w:val="none"/>
            </w:rPr>
            <w:t>6.20.</w:t>
          </w:r>
          <w:r>
            <w:rPr>
              <w:rFonts w:eastAsiaTheme="minorEastAsia" w:cstheme="minorBidi"/>
              <w:smallCaps w:val="0"/>
              <w:color w:val="auto"/>
              <w:kern w:val="2"/>
              <w:sz w:val="21"/>
              <w:szCs w:val="22"/>
              <w:highlight w:val="none"/>
              <w:lang w:eastAsia="zh-CN"/>
            </w:rPr>
            <w:tab/>
          </w:r>
          <w:r>
            <w:rPr>
              <w:rStyle w:val="140"/>
              <w:rFonts w:ascii="黑体" w:hAnsi="黑体"/>
              <w:color w:val="auto"/>
              <w:highlight w:val="none"/>
            </w:rPr>
            <w:t>精细化管理要求</w:t>
          </w:r>
          <w:r>
            <w:rPr>
              <w:rStyle w:val="140"/>
              <w:color w:val="auto"/>
              <w:highlight w:val="none"/>
            </w:rPr>
            <w:t>（根据项目情况，视情况增加此项要求）</w:t>
          </w:r>
          <w:r>
            <w:rPr>
              <w:color w:val="auto"/>
              <w:highlight w:val="none"/>
            </w:rPr>
            <w:tab/>
          </w:r>
          <w:r>
            <w:rPr>
              <w:color w:val="auto"/>
              <w:highlight w:val="none"/>
            </w:rPr>
            <w:fldChar w:fldCharType="begin"/>
          </w:r>
          <w:r>
            <w:rPr>
              <w:color w:val="auto"/>
              <w:highlight w:val="none"/>
            </w:rPr>
            <w:instrText xml:space="preserve"> PAGEREF _Toc122371845 \h </w:instrText>
          </w:r>
          <w:r>
            <w:rPr>
              <w:color w:val="auto"/>
              <w:highlight w:val="none"/>
            </w:rPr>
            <w:fldChar w:fldCharType="separate"/>
          </w:r>
          <w:r>
            <w:rPr>
              <w:color w:val="auto"/>
              <w:highlight w:val="none"/>
            </w:rPr>
            <w:t>60</w:t>
          </w:r>
          <w:r>
            <w:rPr>
              <w:color w:val="auto"/>
              <w:highlight w:val="none"/>
            </w:rPr>
            <w:fldChar w:fldCharType="end"/>
          </w:r>
          <w:r>
            <w:rPr>
              <w:color w:val="auto"/>
              <w:highlight w:val="none"/>
            </w:rPr>
            <w:fldChar w:fldCharType="end"/>
          </w:r>
        </w:p>
        <w:p>
          <w:pPr>
            <w:pStyle w:val="58"/>
            <w:tabs>
              <w:tab w:val="left" w:pos="880"/>
              <w:tab w:val="right" w:leader="dot" w:pos="9580"/>
            </w:tabs>
            <w:rPr>
              <w:rFonts w:eastAsiaTheme="minorEastAsia" w:cstheme="minorBidi"/>
              <w:b w:val="0"/>
              <w:bCs w:val="0"/>
              <w: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"_Toc122371846" </w:instrText>
          </w:r>
          <w:r>
            <w:rPr>
              <w:color w:val="auto"/>
              <w:highlight w:val="none"/>
            </w:rPr>
            <w:fldChar w:fldCharType="separate"/>
          </w:r>
          <w:r>
            <w:rPr>
              <w:rStyle w:val="140"/>
              <w:color w:val="auto"/>
              <w:highlight w:val="none"/>
            </w:rPr>
            <w:t>第7章</w:t>
          </w:r>
          <w:r>
            <w:rPr>
              <w:rFonts w:eastAsiaTheme="minorEastAsia" w:cstheme="minorBidi"/>
              <w:b w:val="0"/>
              <w:bCs w:val="0"/>
              <w:caps w:val="0"/>
              <w:color w:val="auto"/>
              <w:kern w:val="2"/>
              <w:sz w:val="21"/>
              <w:szCs w:val="22"/>
              <w:highlight w:val="none"/>
              <w:lang w:eastAsia="zh-CN"/>
            </w:rPr>
            <w:tab/>
          </w:r>
          <w:r>
            <w:rPr>
              <w:rStyle w:val="140"/>
              <w:color w:val="auto"/>
              <w:highlight w:val="none"/>
            </w:rPr>
            <w:t>技术要求</w:t>
          </w:r>
          <w:r>
            <w:rPr>
              <w:color w:val="auto"/>
              <w:highlight w:val="none"/>
            </w:rPr>
            <w:tab/>
          </w:r>
          <w:r>
            <w:rPr>
              <w:color w:val="auto"/>
              <w:highlight w:val="none"/>
            </w:rPr>
            <w:fldChar w:fldCharType="begin"/>
          </w:r>
          <w:r>
            <w:rPr>
              <w:color w:val="auto"/>
              <w:highlight w:val="none"/>
            </w:rPr>
            <w:instrText xml:space="preserve"> PAGEREF _Toc122371846 \h </w:instrText>
          </w:r>
          <w:r>
            <w:rPr>
              <w:color w:val="auto"/>
              <w:highlight w:val="none"/>
            </w:rPr>
            <w:fldChar w:fldCharType="separate"/>
          </w:r>
          <w:r>
            <w:rPr>
              <w:color w:val="auto"/>
              <w:highlight w:val="none"/>
            </w:rPr>
            <w:t>62</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"_Toc122371847" </w:instrText>
          </w:r>
          <w:r>
            <w:rPr>
              <w:color w:val="auto"/>
              <w:highlight w:val="none"/>
            </w:rPr>
            <w:fldChar w:fldCharType="separate"/>
          </w:r>
          <w:r>
            <w:rPr>
              <w:rStyle w:val="140"/>
              <w:color w:val="auto"/>
              <w:highlight w:val="none"/>
            </w:rPr>
            <w:t>7.1.</w:t>
          </w:r>
          <w:r>
            <w:rPr>
              <w:rFonts w:eastAsiaTheme="minorEastAsia" w:cstheme="minorBidi"/>
              <w:smallCaps w:val="0"/>
              <w:color w:val="auto"/>
              <w:kern w:val="2"/>
              <w:sz w:val="21"/>
              <w:szCs w:val="22"/>
              <w:highlight w:val="none"/>
              <w:lang w:eastAsia="zh-CN"/>
            </w:rPr>
            <w:tab/>
          </w:r>
          <w:r>
            <w:rPr>
              <w:rStyle w:val="140"/>
              <w:color w:val="auto"/>
              <w:highlight w:val="none"/>
            </w:rPr>
            <w:t>技术规范和标准</w:t>
          </w:r>
          <w:r>
            <w:rPr>
              <w:color w:val="auto"/>
              <w:highlight w:val="none"/>
            </w:rPr>
            <w:tab/>
          </w:r>
          <w:r>
            <w:rPr>
              <w:color w:val="auto"/>
              <w:highlight w:val="none"/>
            </w:rPr>
            <w:fldChar w:fldCharType="begin"/>
          </w:r>
          <w:r>
            <w:rPr>
              <w:color w:val="auto"/>
              <w:highlight w:val="none"/>
            </w:rPr>
            <w:instrText xml:space="preserve"> PAGEREF _Toc122371847 \h </w:instrText>
          </w:r>
          <w:r>
            <w:rPr>
              <w:color w:val="auto"/>
              <w:highlight w:val="none"/>
            </w:rPr>
            <w:fldChar w:fldCharType="separate"/>
          </w:r>
          <w:r>
            <w:rPr>
              <w:color w:val="auto"/>
              <w:highlight w:val="none"/>
            </w:rPr>
            <w:t>62</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"_Toc122371848" </w:instrText>
          </w:r>
          <w:r>
            <w:rPr>
              <w:color w:val="auto"/>
              <w:highlight w:val="none"/>
            </w:rPr>
            <w:fldChar w:fldCharType="separate"/>
          </w:r>
          <w:r>
            <w:rPr>
              <w:rStyle w:val="140"/>
              <w:color w:val="auto"/>
              <w:highlight w:val="none"/>
            </w:rPr>
            <w:t>7.2.</w:t>
          </w:r>
          <w:r>
            <w:rPr>
              <w:rFonts w:eastAsiaTheme="minorEastAsia" w:cstheme="minorBidi"/>
              <w:smallCaps w:val="0"/>
              <w:color w:val="auto"/>
              <w:kern w:val="2"/>
              <w:sz w:val="21"/>
              <w:szCs w:val="22"/>
              <w:highlight w:val="none"/>
              <w:lang w:eastAsia="zh-CN"/>
            </w:rPr>
            <w:tab/>
          </w:r>
          <w:r>
            <w:rPr>
              <w:rStyle w:val="140"/>
              <w:color w:val="auto"/>
              <w:highlight w:val="none"/>
            </w:rPr>
            <w:t>通用要求</w:t>
          </w:r>
          <w:r>
            <w:rPr>
              <w:color w:val="auto"/>
              <w:highlight w:val="none"/>
            </w:rPr>
            <w:tab/>
          </w:r>
          <w:r>
            <w:rPr>
              <w:color w:val="auto"/>
              <w:highlight w:val="none"/>
            </w:rPr>
            <w:fldChar w:fldCharType="begin"/>
          </w:r>
          <w:r>
            <w:rPr>
              <w:color w:val="auto"/>
              <w:highlight w:val="none"/>
            </w:rPr>
            <w:instrText xml:space="preserve"> PAGEREF _Toc122371848 \h </w:instrText>
          </w:r>
          <w:r>
            <w:rPr>
              <w:color w:val="auto"/>
              <w:highlight w:val="none"/>
            </w:rPr>
            <w:fldChar w:fldCharType="separate"/>
          </w:r>
          <w:r>
            <w:rPr>
              <w:color w:val="auto"/>
              <w:highlight w:val="none"/>
            </w:rPr>
            <w:t>62</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"_Toc122371849" </w:instrText>
          </w:r>
          <w:r>
            <w:rPr>
              <w:color w:val="auto"/>
              <w:highlight w:val="none"/>
            </w:rPr>
            <w:fldChar w:fldCharType="separate"/>
          </w:r>
          <w:r>
            <w:rPr>
              <w:rStyle w:val="140"/>
              <w:color w:val="auto"/>
              <w:highlight w:val="none"/>
            </w:rPr>
            <w:t>7.3.</w:t>
          </w:r>
          <w:r>
            <w:rPr>
              <w:rFonts w:eastAsiaTheme="minorEastAsia" w:cstheme="minorBidi"/>
              <w:smallCaps w:val="0"/>
              <w:color w:val="auto"/>
              <w:kern w:val="2"/>
              <w:sz w:val="21"/>
              <w:szCs w:val="22"/>
              <w:highlight w:val="none"/>
              <w:lang w:eastAsia="zh-CN"/>
            </w:rPr>
            <w:tab/>
          </w:r>
          <w:r>
            <w:rPr>
              <w:rStyle w:val="140"/>
              <w:color w:val="auto"/>
              <w:highlight w:val="none"/>
            </w:rPr>
            <w:t>电动/手动防护门及铅玻璃观察窗技术要求</w:t>
          </w:r>
          <w:r>
            <w:rPr>
              <w:color w:val="auto"/>
              <w:highlight w:val="none"/>
            </w:rPr>
            <w:tab/>
          </w:r>
          <w:r>
            <w:rPr>
              <w:color w:val="auto"/>
              <w:highlight w:val="none"/>
            </w:rPr>
            <w:fldChar w:fldCharType="begin"/>
          </w:r>
          <w:r>
            <w:rPr>
              <w:color w:val="auto"/>
              <w:highlight w:val="none"/>
            </w:rPr>
            <w:instrText xml:space="preserve"> PAGEREF _Toc122371849 \h </w:instrText>
          </w:r>
          <w:r>
            <w:rPr>
              <w:color w:val="auto"/>
              <w:highlight w:val="none"/>
            </w:rPr>
            <w:fldChar w:fldCharType="separate"/>
          </w:r>
          <w:r>
            <w:rPr>
              <w:color w:val="auto"/>
              <w:highlight w:val="none"/>
            </w:rPr>
            <w:t>63</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"_Toc122371850" </w:instrText>
          </w:r>
          <w:r>
            <w:rPr>
              <w:color w:val="auto"/>
              <w:highlight w:val="none"/>
            </w:rPr>
            <w:fldChar w:fldCharType="separate"/>
          </w:r>
          <w:r>
            <w:rPr>
              <w:rStyle w:val="140"/>
              <w:color w:val="auto"/>
              <w:highlight w:val="none"/>
            </w:rPr>
            <w:t>7.4.</w:t>
          </w:r>
          <w:r>
            <w:rPr>
              <w:rFonts w:eastAsiaTheme="minorEastAsia" w:cstheme="minorBidi"/>
              <w:smallCaps w:val="0"/>
              <w:color w:val="auto"/>
              <w:kern w:val="2"/>
              <w:sz w:val="21"/>
              <w:szCs w:val="22"/>
              <w:highlight w:val="none"/>
              <w:lang w:eastAsia="zh-CN"/>
            </w:rPr>
            <w:tab/>
          </w:r>
          <w:r>
            <w:rPr>
              <w:rStyle w:val="140"/>
              <w:color w:val="auto"/>
              <w:highlight w:val="none"/>
            </w:rPr>
            <w:t>防护工程技术要求</w:t>
          </w:r>
          <w:r>
            <w:rPr>
              <w:color w:val="auto"/>
              <w:highlight w:val="none"/>
            </w:rPr>
            <w:tab/>
          </w:r>
          <w:r>
            <w:rPr>
              <w:color w:val="auto"/>
              <w:highlight w:val="none"/>
            </w:rPr>
            <w:fldChar w:fldCharType="begin"/>
          </w:r>
          <w:r>
            <w:rPr>
              <w:color w:val="auto"/>
              <w:highlight w:val="none"/>
            </w:rPr>
            <w:instrText xml:space="preserve"> PAGEREF _Toc122371850 \h </w:instrText>
          </w:r>
          <w:r>
            <w:rPr>
              <w:color w:val="auto"/>
              <w:highlight w:val="none"/>
            </w:rPr>
            <w:fldChar w:fldCharType="separate"/>
          </w:r>
          <w:r>
            <w:rPr>
              <w:color w:val="auto"/>
              <w:highlight w:val="none"/>
            </w:rPr>
            <w:t>66</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"_Toc122371851" </w:instrText>
          </w:r>
          <w:r>
            <w:rPr>
              <w:color w:val="auto"/>
              <w:highlight w:val="none"/>
            </w:rPr>
            <w:fldChar w:fldCharType="separate"/>
          </w:r>
          <w:r>
            <w:rPr>
              <w:rStyle w:val="140"/>
              <w:color w:val="auto"/>
              <w:highlight w:val="none"/>
            </w:rPr>
            <w:t>7.5.</w:t>
          </w:r>
          <w:r>
            <w:rPr>
              <w:rFonts w:eastAsiaTheme="minorEastAsia" w:cstheme="minorBidi"/>
              <w:smallCaps w:val="0"/>
              <w:color w:val="auto"/>
              <w:kern w:val="2"/>
              <w:sz w:val="21"/>
              <w:szCs w:val="22"/>
              <w:highlight w:val="none"/>
              <w:lang w:eastAsia="zh-CN"/>
            </w:rPr>
            <w:tab/>
          </w:r>
          <w:r>
            <w:rPr>
              <w:rStyle w:val="140"/>
              <w:color w:val="auto"/>
              <w:highlight w:val="none"/>
            </w:rPr>
            <w:t>装修工程技术要求</w:t>
          </w:r>
          <w:r>
            <w:rPr>
              <w:color w:val="auto"/>
              <w:highlight w:val="none"/>
            </w:rPr>
            <w:tab/>
          </w:r>
          <w:r>
            <w:rPr>
              <w:color w:val="auto"/>
              <w:highlight w:val="none"/>
            </w:rPr>
            <w:fldChar w:fldCharType="begin"/>
          </w:r>
          <w:r>
            <w:rPr>
              <w:color w:val="auto"/>
              <w:highlight w:val="none"/>
            </w:rPr>
            <w:instrText xml:space="preserve"> PAGEREF _Toc122371851 \h </w:instrText>
          </w:r>
          <w:r>
            <w:rPr>
              <w:color w:val="auto"/>
              <w:highlight w:val="none"/>
            </w:rPr>
            <w:fldChar w:fldCharType="separate"/>
          </w:r>
          <w:r>
            <w:rPr>
              <w:color w:val="auto"/>
              <w:highlight w:val="none"/>
            </w:rPr>
            <w:t>70</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"_Toc122371852" </w:instrText>
          </w:r>
          <w:r>
            <w:rPr>
              <w:color w:val="auto"/>
              <w:highlight w:val="none"/>
            </w:rPr>
            <w:fldChar w:fldCharType="separate"/>
          </w:r>
          <w:r>
            <w:rPr>
              <w:rStyle w:val="140"/>
              <w:color w:val="auto"/>
              <w:highlight w:val="none"/>
            </w:rPr>
            <w:t>7.6.</w:t>
          </w:r>
          <w:r>
            <w:rPr>
              <w:rFonts w:eastAsiaTheme="minorEastAsia" w:cstheme="minorBidi"/>
              <w:smallCaps w:val="0"/>
              <w:color w:val="auto"/>
              <w:kern w:val="2"/>
              <w:sz w:val="21"/>
              <w:szCs w:val="22"/>
              <w:highlight w:val="none"/>
              <w:lang w:eastAsia="zh-CN"/>
            </w:rPr>
            <w:tab/>
          </w:r>
          <w:r>
            <w:rPr>
              <w:rStyle w:val="140"/>
              <w:color w:val="auto"/>
              <w:highlight w:val="none"/>
            </w:rPr>
            <w:t>安装工程技术要求</w:t>
          </w:r>
          <w:r>
            <w:rPr>
              <w:color w:val="auto"/>
              <w:highlight w:val="none"/>
            </w:rPr>
            <w:tab/>
          </w:r>
          <w:r>
            <w:rPr>
              <w:color w:val="auto"/>
              <w:highlight w:val="none"/>
            </w:rPr>
            <w:fldChar w:fldCharType="begin"/>
          </w:r>
          <w:r>
            <w:rPr>
              <w:color w:val="auto"/>
              <w:highlight w:val="none"/>
            </w:rPr>
            <w:instrText xml:space="preserve"> PAGEREF _Toc122371852 \h </w:instrText>
          </w:r>
          <w:r>
            <w:rPr>
              <w:color w:val="auto"/>
              <w:highlight w:val="none"/>
            </w:rPr>
            <w:fldChar w:fldCharType="separate"/>
          </w:r>
          <w:r>
            <w:rPr>
              <w:color w:val="auto"/>
              <w:highlight w:val="none"/>
            </w:rPr>
            <w:t>90</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"_Toc122371853" </w:instrText>
          </w:r>
          <w:r>
            <w:rPr>
              <w:color w:val="auto"/>
              <w:highlight w:val="none"/>
            </w:rPr>
            <w:fldChar w:fldCharType="separate"/>
          </w:r>
          <w:r>
            <w:rPr>
              <w:rStyle w:val="140"/>
              <w:color w:val="auto"/>
              <w:highlight w:val="none"/>
            </w:rPr>
            <w:t>7.7.</w:t>
          </w:r>
          <w:r>
            <w:rPr>
              <w:rFonts w:eastAsiaTheme="minorEastAsia" w:cstheme="minorBidi"/>
              <w:smallCaps w:val="0"/>
              <w:color w:val="auto"/>
              <w:kern w:val="2"/>
              <w:sz w:val="21"/>
              <w:szCs w:val="22"/>
              <w:highlight w:val="none"/>
              <w:lang w:eastAsia="zh-CN"/>
            </w:rPr>
            <w:tab/>
          </w:r>
          <w:r>
            <w:rPr>
              <w:rStyle w:val="140"/>
              <w:color w:val="auto"/>
              <w:highlight w:val="none"/>
            </w:rPr>
            <w:t>以上各章节之技术要求，如与设计图纸或国家相关规范、规程及行业标准不符，则以较严标准为准。</w:t>
          </w:r>
          <w:r>
            <w:rPr>
              <w:color w:val="auto"/>
              <w:highlight w:val="none"/>
            </w:rPr>
            <w:tab/>
          </w:r>
          <w:r>
            <w:rPr>
              <w:color w:val="auto"/>
              <w:highlight w:val="none"/>
            </w:rPr>
            <w:fldChar w:fldCharType="begin"/>
          </w:r>
          <w:r>
            <w:rPr>
              <w:color w:val="auto"/>
              <w:highlight w:val="none"/>
            </w:rPr>
            <w:instrText xml:space="preserve"> PAGEREF _Toc122371853 \h </w:instrText>
          </w:r>
          <w:r>
            <w:rPr>
              <w:color w:val="auto"/>
              <w:highlight w:val="none"/>
            </w:rPr>
            <w:fldChar w:fldCharType="separate"/>
          </w:r>
          <w:r>
            <w:rPr>
              <w:color w:val="auto"/>
              <w:highlight w:val="none"/>
            </w:rPr>
            <w:t>120</w:t>
          </w:r>
          <w:r>
            <w:rPr>
              <w:color w:val="auto"/>
              <w:highlight w:val="none"/>
            </w:rPr>
            <w:fldChar w:fldCharType="end"/>
          </w:r>
          <w:r>
            <w:rPr>
              <w:color w:val="auto"/>
              <w:highlight w:val="none"/>
            </w:rPr>
            <w:fldChar w:fldCharType="end"/>
          </w:r>
        </w:p>
        <w:p>
          <w:pPr>
            <w:pStyle w:val="58"/>
            <w:tabs>
              <w:tab w:val="left" w:pos="880"/>
              <w:tab w:val="right" w:leader="dot" w:pos="9580"/>
            </w:tabs>
            <w:rPr>
              <w:rFonts w:eastAsiaTheme="minorEastAsia" w:cstheme="minorBidi"/>
              <w:b w:val="0"/>
              <w:bCs w:val="0"/>
              <w: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"_Toc122371854" </w:instrText>
          </w:r>
          <w:r>
            <w:rPr>
              <w:color w:val="auto"/>
              <w:highlight w:val="none"/>
            </w:rPr>
            <w:fldChar w:fldCharType="separate"/>
          </w:r>
          <w:r>
            <w:rPr>
              <w:rStyle w:val="140"/>
              <w:color w:val="auto"/>
              <w:highlight w:val="none"/>
            </w:rPr>
            <w:t>第8章</w:t>
          </w:r>
          <w:r>
            <w:rPr>
              <w:rFonts w:eastAsiaTheme="minorEastAsia" w:cstheme="minorBidi"/>
              <w:b w:val="0"/>
              <w:bCs w:val="0"/>
              <w:caps w:val="0"/>
              <w:color w:val="auto"/>
              <w:kern w:val="2"/>
              <w:sz w:val="21"/>
              <w:szCs w:val="22"/>
              <w:highlight w:val="none"/>
              <w:lang w:eastAsia="zh-CN"/>
            </w:rPr>
            <w:tab/>
          </w:r>
          <w:r>
            <w:rPr>
              <w:rStyle w:val="140"/>
              <w:color w:val="auto"/>
              <w:highlight w:val="none"/>
            </w:rPr>
            <w:t>EHS</w:t>
          </w:r>
          <w:r>
            <w:rPr>
              <w:rStyle w:val="140"/>
              <w:color w:val="auto"/>
              <w:spacing w:val="-90"/>
              <w:highlight w:val="none"/>
            </w:rPr>
            <w:t xml:space="preserve"> </w:t>
          </w:r>
          <w:r>
            <w:rPr>
              <w:rStyle w:val="140"/>
              <w:color w:val="auto"/>
              <w:highlight w:val="none"/>
            </w:rPr>
            <w:t>管理规定</w:t>
          </w:r>
          <w:r>
            <w:rPr>
              <w:color w:val="auto"/>
              <w:highlight w:val="none"/>
            </w:rPr>
            <w:tab/>
          </w:r>
          <w:r>
            <w:rPr>
              <w:color w:val="auto"/>
              <w:highlight w:val="none"/>
            </w:rPr>
            <w:fldChar w:fldCharType="begin"/>
          </w:r>
          <w:r>
            <w:rPr>
              <w:color w:val="auto"/>
              <w:highlight w:val="none"/>
            </w:rPr>
            <w:instrText xml:space="preserve"> PAGEREF _Toc122371854 \h </w:instrText>
          </w:r>
          <w:r>
            <w:rPr>
              <w:color w:val="auto"/>
              <w:highlight w:val="none"/>
            </w:rPr>
            <w:fldChar w:fldCharType="separate"/>
          </w:r>
          <w:r>
            <w:rPr>
              <w:color w:val="auto"/>
              <w:highlight w:val="none"/>
            </w:rPr>
            <w:t>248</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"_Toc122371855" </w:instrText>
          </w:r>
          <w:r>
            <w:rPr>
              <w:color w:val="auto"/>
              <w:highlight w:val="none"/>
            </w:rPr>
            <w:fldChar w:fldCharType="separate"/>
          </w:r>
          <w:r>
            <w:rPr>
              <w:rStyle w:val="140"/>
              <w:color w:val="auto"/>
              <w:highlight w:val="none"/>
            </w:rPr>
            <w:t>8.1.</w:t>
          </w:r>
          <w:r>
            <w:rPr>
              <w:rFonts w:eastAsiaTheme="minorEastAsia" w:cstheme="minorBidi"/>
              <w:smallCaps w:val="0"/>
              <w:color w:val="auto"/>
              <w:kern w:val="2"/>
              <w:sz w:val="21"/>
              <w:szCs w:val="22"/>
              <w:highlight w:val="none"/>
              <w:lang w:eastAsia="zh-CN"/>
            </w:rPr>
            <w:tab/>
          </w:r>
          <w:r>
            <w:rPr>
              <w:rStyle w:val="140"/>
              <w:color w:val="auto"/>
              <w:highlight w:val="none"/>
            </w:rPr>
            <w:t>总则</w:t>
          </w:r>
          <w:r>
            <w:rPr>
              <w:color w:val="auto"/>
              <w:highlight w:val="none"/>
            </w:rPr>
            <w:tab/>
          </w:r>
          <w:r>
            <w:rPr>
              <w:color w:val="auto"/>
              <w:highlight w:val="none"/>
            </w:rPr>
            <w:fldChar w:fldCharType="begin"/>
          </w:r>
          <w:r>
            <w:rPr>
              <w:color w:val="auto"/>
              <w:highlight w:val="none"/>
            </w:rPr>
            <w:instrText xml:space="preserve"> PAGEREF _Toc122371855 \h </w:instrText>
          </w:r>
          <w:r>
            <w:rPr>
              <w:color w:val="auto"/>
              <w:highlight w:val="none"/>
            </w:rPr>
            <w:fldChar w:fldCharType="separate"/>
          </w:r>
          <w:r>
            <w:rPr>
              <w:color w:val="auto"/>
              <w:highlight w:val="none"/>
            </w:rPr>
            <w:t>248</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"_Toc122371856" </w:instrText>
          </w:r>
          <w:r>
            <w:rPr>
              <w:color w:val="auto"/>
              <w:highlight w:val="none"/>
            </w:rPr>
            <w:fldChar w:fldCharType="separate"/>
          </w:r>
          <w:r>
            <w:rPr>
              <w:rStyle w:val="140"/>
              <w:color w:val="auto"/>
              <w:highlight w:val="none"/>
            </w:rPr>
            <w:t>8.2.</w:t>
          </w:r>
          <w:r>
            <w:rPr>
              <w:rFonts w:eastAsiaTheme="minorEastAsia" w:cstheme="minorBidi"/>
              <w:smallCaps w:val="0"/>
              <w:color w:val="auto"/>
              <w:kern w:val="2"/>
              <w:sz w:val="21"/>
              <w:szCs w:val="22"/>
              <w:highlight w:val="none"/>
              <w:lang w:eastAsia="zh-CN"/>
            </w:rPr>
            <w:tab/>
          </w:r>
          <w:r>
            <w:rPr>
              <w:rStyle w:val="140"/>
              <w:color w:val="auto"/>
              <w:highlight w:val="none"/>
            </w:rPr>
            <w:t>EHS 原则、方针、理念与目标</w:t>
          </w:r>
          <w:r>
            <w:rPr>
              <w:color w:val="auto"/>
              <w:highlight w:val="none"/>
            </w:rPr>
            <w:tab/>
          </w:r>
          <w:r>
            <w:rPr>
              <w:color w:val="auto"/>
              <w:highlight w:val="none"/>
            </w:rPr>
            <w:fldChar w:fldCharType="begin"/>
          </w:r>
          <w:r>
            <w:rPr>
              <w:color w:val="auto"/>
              <w:highlight w:val="none"/>
            </w:rPr>
            <w:instrText xml:space="preserve"> PAGEREF _Toc122371856 \h </w:instrText>
          </w:r>
          <w:r>
            <w:rPr>
              <w:color w:val="auto"/>
              <w:highlight w:val="none"/>
            </w:rPr>
            <w:fldChar w:fldCharType="separate"/>
          </w:r>
          <w:r>
            <w:rPr>
              <w:color w:val="auto"/>
              <w:highlight w:val="none"/>
            </w:rPr>
            <w:t>248</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"_Toc122371857" </w:instrText>
          </w:r>
          <w:r>
            <w:rPr>
              <w:color w:val="auto"/>
              <w:highlight w:val="none"/>
            </w:rPr>
            <w:fldChar w:fldCharType="separate"/>
          </w:r>
          <w:r>
            <w:rPr>
              <w:rStyle w:val="140"/>
              <w:color w:val="auto"/>
              <w:highlight w:val="none"/>
            </w:rPr>
            <w:t>8.3.</w:t>
          </w:r>
          <w:r>
            <w:rPr>
              <w:rFonts w:eastAsiaTheme="minorEastAsia" w:cstheme="minorBidi"/>
              <w:smallCaps w:val="0"/>
              <w:color w:val="auto"/>
              <w:kern w:val="2"/>
              <w:sz w:val="21"/>
              <w:szCs w:val="22"/>
              <w:highlight w:val="none"/>
              <w:lang w:eastAsia="zh-CN"/>
            </w:rPr>
            <w:tab/>
          </w:r>
          <w:r>
            <w:rPr>
              <w:rStyle w:val="140"/>
              <w:color w:val="auto"/>
              <w:spacing w:val="-25"/>
              <w:highlight w:val="none"/>
            </w:rPr>
            <w:t xml:space="preserve">双方 </w:t>
          </w:r>
          <w:r>
            <w:rPr>
              <w:rStyle w:val="140"/>
              <w:color w:val="auto"/>
              <w:highlight w:val="none"/>
            </w:rPr>
            <w:t>EHS 管理权利与义务</w:t>
          </w:r>
          <w:r>
            <w:rPr>
              <w:color w:val="auto"/>
              <w:highlight w:val="none"/>
            </w:rPr>
            <w:tab/>
          </w:r>
          <w:r>
            <w:rPr>
              <w:color w:val="auto"/>
              <w:highlight w:val="none"/>
            </w:rPr>
            <w:fldChar w:fldCharType="begin"/>
          </w:r>
          <w:r>
            <w:rPr>
              <w:color w:val="auto"/>
              <w:highlight w:val="none"/>
            </w:rPr>
            <w:instrText xml:space="preserve"> PAGEREF _Toc122371857 \h </w:instrText>
          </w:r>
          <w:r>
            <w:rPr>
              <w:color w:val="auto"/>
              <w:highlight w:val="none"/>
            </w:rPr>
            <w:fldChar w:fldCharType="separate"/>
          </w:r>
          <w:r>
            <w:rPr>
              <w:color w:val="auto"/>
              <w:highlight w:val="none"/>
            </w:rPr>
            <w:t>249</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"_Toc122371858" </w:instrText>
          </w:r>
          <w:r>
            <w:rPr>
              <w:color w:val="auto"/>
              <w:highlight w:val="none"/>
            </w:rPr>
            <w:fldChar w:fldCharType="separate"/>
          </w:r>
          <w:r>
            <w:rPr>
              <w:rStyle w:val="140"/>
              <w:color w:val="auto"/>
              <w:highlight w:val="none"/>
            </w:rPr>
            <w:t>8.4.</w:t>
          </w:r>
          <w:r>
            <w:rPr>
              <w:rFonts w:eastAsiaTheme="minorEastAsia" w:cstheme="minorBidi"/>
              <w:smallCaps w:val="0"/>
              <w:color w:val="auto"/>
              <w:kern w:val="2"/>
              <w:sz w:val="21"/>
              <w:szCs w:val="22"/>
              <w:highlight w:val="none"/>
              <w:lang w:eastAsia="zh-CN"/>
            </w:rPr>
            <w:tab/>
          </w:r>
          <w:r>
            <w:rPr>
              <w:rStyle w:val="140"/>
              <w:color w:val="auto"/>
              <w:highlight w:val="none"/>
            </w:rPr>
            <w:t>EHS</w:t>
          </w:r>
          <w:r>
            <w:rPr>
              <w:rStyle w:val="140"/>
              <w:color w:val="auto"/>
              <w:spacing w:val="-2"/>
              <w:highlight w:val="none"/>
            </w:rPr>
            <w:t xml:space="preserve"> </w:t>
          </w:r>
          <w:r>
            <w:rPr>
              <w:rStyle w:val="140"/>
              <w:color w:val="auto"/>
              <w:highlight w:val="none"/>
            </w:rPr>
            <w:t>管理责任划分</w:t>
          </w:r>
          <w:r>
            <w:rPr>
              <w:color w:val="auto"/>
              <w:highlight w:val="none"/>
            </w:rPr>
            <w:tab/>
          </w:r>
          <w:r>
            <w:rPr>
              <w:color w:val="auto"/>
              <w:highlight w:val="none"/>
            </w:rPr>
            <w:fldChar w:fldCharType="begin"/>
          </w:r>
          <w:r>
            <w:rPr>
              <w:color w:val="auto"/>
              <w:highlight w:val="none"/>
            </w:rPr>
            <w:instrText xml:space="preserve"> PAGEREF _Toc122371858 \h </w:instrText>
          </w:r>
          <w:r>
            <w:rPr>
              <w:color w:val="auto"/>
              <w:highlight w:val="none"/>
            </w:rPr>
            <w:fldChar w:fldCharType="separate"/>
          </w:r>
          <w:r>
            <w:rPr>
              <w:color w:val="auto"/>
              <w:highlight w:val="none"/>
            </w:rPr>
            <w:t>251</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"_Toc122371859" </w:instrText>
          </w:r>
          <w:r>
            <w:rPr>
              <w:color w:val="auto"/>
              <w:highlight w:val="none"/>
            </w:rPr>
            <w:fldChar w:fldCharType="separate"/>
          </w:r>
          <w:r>
            <w:rPr>
              <w:rStyle w:val="140"/>
              <w:color w:val="auto"/>
              <w:highlight w:val="none"/>
            </w:rPr>
            <w:t>8.5.</w:t>
          </w:r>
          <w:r>
            <w:rPr>
              <w:rFonts w:eastAsiaTheme="minorEastAsia" w:cstheme="minorBidi"/>
              <w:smallCaps w:val="0"/>
              <w:color w:val="auto"/>
              <w:kern w:val="2"/>
              <w:sz w:val="21"/>
              <w:szCs w:val="22"/>
              <w:highlight w:val="none"/>
              <w:lang w:eastAsia="zh-CN"/>
            </w:rPr>
            <w:tab/>
          </w:r>
          <w:r>
            <w:rPr>
              <w:rStyle w:val="140"/>
              <w:color w:val="auto"/>
              <w:spacing w:val="-19"/>
              <w:highlight w:val="none"/>
            </w:rPr>
            <w:t xml:space="preserve">专业工程承包人 </w:t>
          </w:r>
          <w:r>
            <w:rPr>
              <w:rStyle w:val="140"/>
              <w:color w:val="auto"/>
              <w:highlight w:val="none"/>
            </w:rPr>
            <w:t>EHS</w:t>
          </w:r>
          <w:r>
            <w:rPr>
              <w:rStyle w:val="140"/>
              <w:color w:val="auto"/>
              <w:spacing w:val="-1"/>
              <w:highlight w:val="none"/>
            </w:rPr>
            <w:t xml:space="preserve"> </w:t>
          </w:r>
          <w:r>
            <w:rPr>
              <w:rStyle w:val="140"/>
              <w:color w:val="auto"/>
              <w:highlight w:val="none"/>
            </w:rPr>
            <w:t>责任落实的要求</w:t>
          </w:r>
          <w:r>
            <w:rPr>
              <w:color w:val="auto"/>
              <w:highlight w:val="none"/>
            </w:rPr>
            <w:tab/>
          </w:r>
          <w:r>
            <w:rPr>
              <w:color w:val="auto"/>
              <w:highlight w:val="none"/>
            </w:rPr>
            <w:fldChar w:fldCharType="begin"/>
          </w:r>
          <w:r>
            <w:rPr>
              <w:color w:val="auto"/>
              <w:highlight w:val="none"/>
            </w:rPr>
            <w:instrText xml:space="preserve"> PAGEREF _Toc122371859 \h </w:instrText>
          </w:r>
          <w:r>
            <w:rPr>
              <w:color w:val="auto"/>
              <w:highlight w:val="none"/>
            </w:rPr>
            <w:fldChar w:fldCharType="separate"/>
          </w:r>
          <w:r>
            <w:rPr>
              <w:color w:val="auto"/>
              <w:highlight w:val="none"/>
            </w:rPr>
            <w:t>251</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"_Toc122371860" </w:instrText>
          </w:r>
          <w:r>
            <w:rPr>
              <w:color w:val="auto"/>
              <w:highlight w:val="none"/>
            </w:rPr>
            <w:fldChar w:fldCharType="separate"/>
          </w:r>
          <w:r>
            <w:rPr>
              <w:rStyle w:val="140"/>
              <w:color w:val="auto"/>
              <w:highlight w:val="none"/>
            </w:rPr>
            <w:t>8.6.</w:t>
          </w:r>
          <w:r>
            <w:rPr>
              <w:rFonts w:eastAsiaTheme="minorEastAsia" w:cstheme="minorBidi"/>
              <w:smallCaps w:val="0"/>
              <w:color w:val="auto"/>
              <w:kern w:val="2"/>
              <w:sz w:val="21"/>
              <w:szCs w:val="22"/>
              <w:highlight w:val="none"/>
              <w:lang w:eastAsia="zh-CN"/>
            </w:rPr>
            <w:tab/>
          </w:r>
          <w:r>
            <w:rPr>
              <w:rStyle w:val="140"/>
              <w:color w:val="auto"/>
              <w:highlight w:val="none"/>
            </w:rPr>
            <w:t>EHS</w:t>
          </w:r>
          <w:r>
            <w:rPr>
              <w:rStyle w:val="140"/>
              <w:color w:val="auto"/>
              <w:spacing w:val="-2"/>
              <w:highlight w:val="none"/>
            </w:rPr>
            <w:t xml:space="preserve"> </w:t>
          </w:r>
          <w:r>
            <w:rPr>
              <w:rStyle w:val="140"/>
              <w:color w:val="auto"/>
              <w:highlight w:val="none"/>
            </w:rPr>
            <w:t>管理组织及人员要求</w:t>
          </w:r>
          <w:r>
            <w:rPr>
              <w:color w:val="auto"/>
              <w:highlight w:val="none"/>
            </w:rPr>
            <w:tab/>
          </w:r>
          <w:r>
            <w:rPr>
              <w:color w:val="auto"/>
              <w:highlight w:val="none"/>
            </w:rPr>
            <w:fldChar w:fldCharType="begin"/>
          </w:r>
          <w:r>
            <w:rPr>
              <w:color w:val="auto"/>
              <w:highlight w:val="none"/>
            </w:rPr>
            <w:instrText xml:space="preserve"> PAGEREF _Toc122371860 \h </w:instrText>
          </w:r>
          <w:r>
            <w:rPr>
              <w:color w:val="auto"/>
              <w:highlight w:val="none"/>
            </w:rPr>
            <w:fldChar w:fldCharType="separate"/>
          </w:r>
          <w:r>
            <w:rPr>
              <w:color w:val="auto"/>
              <w:highlight w:val="none"/>
            </w:rPr>
            <w:t>251</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"_Toc122371861" </w:instrText>
          </w:r>
          <w:r>
            <w:rPr>
              <w:color w:val="auto"/>
              <w:highlight w:val="none"/>
            </w:rPr>
            <w:fldChar w:fldCharType="separate"/>
          </w:r>
          <w:r>
            <w:rPr>
              <w:rStyle w:val="140"/>
              <w:color w:val="auto"/>
              <w:highlight w:val="none"/>
            </w:rPr>
            <w:t>8.7.</w:t>
          </w:r>
          <w:r>
            <w:rPr>
              <w:rFonts w:eastAsiaTheme="minorEastAsia" w:cstheme="minorBidi"/>
              <w:smallCaps w:val="0"/>
              <w:color w:val="auto"/>
              <w:kern w:val="2"/>
              <w:sz w:val="21"/>
              <w:szCs w:val="22"/>
              <w:highlight w:val="none"/>
              <w:lang w:eastAsia="zh-CN"/>
            </w:rPr>
            <w:tab/>
          </w:r>
          <w:r>
            <w:rPr>
              <w:rStyle w:val="140"/>
              <w:color w:val="auto"/>
              <w:highlight w:val="none"/>
            </w:rPr>
            <w:t>安全生产管理协议</w:t>
          </w:r>
          <w:r>
            <w:rPr>
              <w:color w:val="auto"/>
              <w:highlight w:val="none"/>
            </w:rPr>
            <w:tab/>
          </w:r>
          <w:r>
            <w:rPr>
              <w:color w:val="auto"/>
              <w:highlight w:val="none"/>
            </w:rPr>
            <w:fldChar w:fldCharType="begin"/>
          </w:r>
          <w:r>
            <w:rPr>
              <w:color w:val="auto"/>
              <w:highlight w:val="none"/>
            </w:rPr>
            <w:instrText xml:space="preserve"> PAGEREF _Toc122371861 \h </w:instrText>
          </w:r>
          <w:r>
            <w:rPr>
              <w:color w:val="auto"/>
              <w:highlight w:val="none"/>
            </w:rPr>
            <w:fldChar w:fldCharType="separate"/>
          </w:r>
          <w:r>
            <w:rPr>
              <w:color w:val="auto"/>
              <w:highlight w:val="none"/>
            </w:rPr>
            <w:t>252</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"_Toc122371862" </w:instrText>
          </w:r>
          <w:r>
            <w:rPr>
              <w:color w:val="auto"/>
              <w:highlight w:val="none"/>
            </w:rPr>
            <w:fldChar w:fldCharType="separate"/>
          </w:r>
          <w:r>
            <w:rPr>
              <w:rStyle w:val="140"/>
              <w:color w:val="auto"/>
              <w:highlight w:val="none"/>
            </w:rPr>
            <w:t>8.8.</w:t>
          </w:r>
          <w:r>
            <w:rPr>
              <w:rFonts w:eastAsiaTheme="minorEastAsia" w:cstheme="minorBidi"/>
              <w:smallCaps w:val="0"/>
              <w:color w:val="auto"/>
              <w:kern w:val="2"/>
              <w:sz w:val="21"/>
              <w:szCs w:val="22"/>
              <w:highlight w:val="none"/>
              <w:lang w:eastAsia="zh-CN"/>
            </w:rPr>
            <w:tab/>
          </w:r>
          <w:r>
            <w:rPr>
              <w:rStyle w:val="140"/>
              <w:color w:val="auto"/>
              <w:highlight w:val="none"/>
            </w:rPr>
            <w:t>安全生产费用</w:t>
          </w:r>
          <w:r>
            <w:rPr>
              <w:color w:val="auto"/>
              <w:highlight w:val="none"/>
            </w:rPr>
            <w:tab/>
          </w:r>
          <w:r>
            <w:rPr>
              <w:color w:val="auto"/>
              <w:highlight w:val="none"/>
            </w:rPr>
            <w:fldChar w:fldCharType="begin"/>
          </w:r>
          <w:r>
            <w:rPr>
              <w:color w:val="auto"/>
              <w:highlight w:val="none"/>
            </w:rPr>
            <w:instrText xml:space="preserve"> PAGEREF _Toc122371862 \h </w:instrText>
          </w:r>
          <w:r>
            <w:rPr>
              <w:color w:val="auto"/>
              <w:highlight w:val="none"/>
            </w:rPr>
            <w:fldChar w:fldCharType="separate"/>
          </w:r>
          <w:r>
            <w:rPr>
              <w:color w:val="auto"/>
              <w:highlight w:val="none"/>
            </w:rPr>
            <w:t>252</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"_Toc122371863" </w:instrText>
          </w:r>
          <w:r>
            <w:rPr>
              <w:color w:val="auto"/>
              <w:highlight w:val="none"/>
            </w:rPr>
            <w:fldChar w:fldCharType="separate"/>
          </w:r>
          <w:r>
            <w:rPr>
              <w:rStyle w:val="140"/>
              <w:color w:val="auto"/>
              <w:highlight w:val="none"/>
            </w:rPr>
            <w:t>8.9.</w:t>
          </w:r>
          <w:r>
            <w:rPr>
              <w:rFonts w:eastAsiaTheme="minorEastAsia" w:cstheme="minorBidi"/>
              <w:smallCaps w:val="0"/>
              <w:color w:val="auto"/>
              <w:kern w:val="2"/>
              <w:sz w:val="21"/>
              <w:szCs w:val="22"/>
              <w:highlight w:val="none"/>
              <w:lang w:eastAsia="zh-CN"/>
            </w:rPr>
            <w:tab/>
          </w:r>
          <w:r>
            <w:rPr>
              <w:rStyle w:val="140"/>
              <w:color w:val="auto"/>
              <w:highlight w:val="none"/>
            </w:rPr>
            <w:t>应急与事故管理</w:t>
          </w:r>
          <w:r>
            <w:rPr>
              <w:color w:val="auto"/>
              <w:highlight w:val="none"/>
            </w:rPr>
            <w:tab/>
          </w:r>
          <w:r>
            <w:rPr>
              <w:color w:val="auto"/>
              <w:highlight w:val="none"/>
            </w:rPr>
            <w:fldChar w:fldCharType="begin"/>
          </w:r>
          <w:r>
            <w:rPr>
              <w:color w:val="auto"/>
              <w:highlight w:val="none"/>
            </w:rPr>
            <w:instrText xml:space="preserve"> PAGEREF _Toc122371863 \h </w:instrText>
          </w:r>
          <w:r>
            <w:rPr>
              <w:color w:val="auto"/>
              <w:highlight w:val="none"/>
            </w:rPr>
            <w:fldChar w:fldCharType="separate"/>
          </w:r>
          <w:r>
            <w:rPr>
              <w:color w:val="auto"/>
              <w:highlight w:val="none"/>
            </w:rPr>
            <w:t>252</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"_Toc122371864" </w:instrText>
          </w:r>
          <w:r>
            <w:rPr>
              <w:color w:val="auto"/>
              <w:highlight w:val="none"/>
            </w:rPr>
            <w:fldChar w:fldCharType="separate"/>
          </w:r>
          <w:r>
            <w:rPr>
              <w:rStyle w:val="140"/>
              <w:color w:val="auto"/>
              <w:highlight w:val="none"/>
            </w:rPr>
            <w:t>8.10.</w:t>
          </w:r>
          <w:r>
            <w:rPr>
              <w:rFonts w:eastAsiaTheme="minorEastAsia" w:cstheme="minorBidi"/>
              <w:smallCaps w:val="0"/>
              <w:color w:val="auto"/>
              <w:kern w:val="2"/>
              <w:sz w:val="21"/>
              <w:szCs w:val="22"/>
              <w:highlight w:val="none"/>
              <w:lang w:eastAsia="zh-CN"/>
            </w:rPr>
            <w:tab/>
          </w:r>
          <w:r>
            <w:rPr>
              <w:rStyle w:val="140"/>
              <w:color w:val="auto"/>
              <w:highlight w:val="none"/>
            </w:rPr>
            <w:t>保险</w:t>
          </w:r>
          <w:r>
            <w:rPr>
              <w:color w:val="auto"/>
              <w:highlight w:val="none"/>
            </w:rPr>
            <w:tab/>
          </w:r>
          <w:r>
            <w:rPr>
              <w:color w:val="auto"/>
              <w:highlight w:val="none"/>
            </w:rPr>
            <w:fldChar w:fldCharType="begin"/>
          </w:r>
          <w:r>
            <w:rPr>
              <w:color w:val="auto"/>
              <w:highlight w:val="none"/>
            </w:rPr>
            <w:instrText xml:space="preserve"> PAGEREF _Toc122371864 \h </w:instrText>
          </w:r>
          <w:r>
            <w:rPr>
              <w:color w:val="auto"/>
              <w:highlight w:val="none"/>
            </w:rPr>
            <w:fldChar w:fldCharType="separate"/>
          </w:r>
          <w:r>
            <w:rPr>
              <w:color w:val="auto"/>
              <w:highlight w:val="none"/>
            </w:rPr>
            <w:t>253</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"_Toc122371865" </w:instrText>
          </w:r>
          <w:r>
            <w:rPr>
              <w:color w:val="auto"/>
              <w:highlight w:val="none"/>
            </w:rPr>
            <w:fldChar w:fldCharType="separate"/>
          </w:r>
          <w:r>
            <w:rPr>
              <w:rStyle w:val="140"/>
              <w:color w:val="auto"/>
              <w:highlight w:val="none"/>
            </w:rPr>
            <w:t>8.11.</w:t>
          </w:r>
          <w:r>
            <w:rPr>
              <w:rFonts w:eastAsiaTheme="minorEastAsia" w:cstheme="minorBidi"/>
              <w:smallCaps w:val="0"/>
              <w:color w:val="auto"/>
              <w:kern w:val="2"/>
              <w:sz w:val="21"/>
              <w:szCs w:val="22"/>
              <w:highlight w:val="none"/>
              <w:lang w:eastAsia="zh-CN"/>
            </w:rPr>
            <w:tab/>
          </w:r>
          <w:r>
            <w:rPr>
              <w:rStyle w:val="140"/>
              <w:color w:val="auto"/>
              <w:highlight w:val="none"/>
            </w:rPr>
            <w:t>人员素质资格要求</w:t>
          </w:r>
          <w:r>
            <w:rPr>
              <w:color w:val="auto"/>
              <w:highlight w:val="none"/>
            </w:rPr>
            <w:tab/>
          </w:r>
          <w:r>
            <w:rPr>
              <w:color w:val="auto"/>
              <w:highlight w:val="none"/>
            </w:rPr>
            <w:fldChar w:fldCharType="begin"/>
          </w:r>
          <w:r>
            <w:rPr>
              <w:color w:val="auto"/>
              <w:highlight w:val="none"/>
            </w:rPr>
            <w:instrText xml:space="preserve"> PAGEREF _Toc122371865 \h </w:instrText>
          </w:r>
          <w:r>
            <w:rPr>
              <w:color w:val="auto"/>
              <w:highlight w:val="none"/>
            </w:rPr>
            <w:fldChar w:fldCharType="separate"/>
          </w:r>
          <w:r>
            <w:rPr>
              <w:color w:val="auto"/>
              <w:highlight w:val="none"/>
            </w:rPr>
            <w:t>253</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"_Toc122371866" </w:instrText>
          </w:r>
          <w:r>
            <w:rPr>
              <w:color w:val="auto"/>
              <w:highlight w:val="none"/>
            </w:rPr>
            <w:fldChar w:fldCharType="separate"/>
          </w:r>
          <w:r>
            <w:rPr>
              <w:rStyle w:val="140"/>
              <w:color w:val="auto"/>
              <w:highlight w:val="none"/>
            </w:rPr>
            <w:t>8.12.</w:t>
          </w:r>
          <w:r>
            <w:rPr>
              <w:rFonts w:eastAsiaTheme="minorEastAsia" w:cstheme="minorBidi"/>
              <w:smallCaps w:val="0"/>
              <w:color w:val="auto"/>
              <w:kern w:val="2"/>
              <w:sz w:val="21"/>
              <w:szCs w:val="22"/>
              <w:highlight w:val="none"/>
              <w:lang w:eastAsia="zh-CN"/>
            </w:rPr>
            <w:tab/>
          </w:r>
          <w:r>
            <w:rPr>
              <w:rStyle w:val="140"/>
              <w:color w:val="auto"/>
              <w:highlight w:val="none"/>
            </w:rPr>
            <w:t>劳务管理</w:t>
          </w:r>
          <w:r>
            <w:rPr>
              <w:color w:val="auto"/>
              <w:highlight w:val="none"/>
            </w:rPr>
            <w:tab/>
          </w:r>
          <w:r>
            <w:rPr>
              <w:color w:val="auto"/>
              <w:highlight w:val="none"/>
            </w:rPr>
            <w:fldChar w:fldCharType="begin"/>
          </w:r>
          <w:r>
            <w:rPr>
              <w:color w:val="auto"/>
              <w:highlight w:val="none"/>
            </w:rPr>
            <w:instrText xml:space="preserve"> PAGEREF _Toc122371866 \h </w:instrText>
          </w:r>
          <w:r>
            <w:rPr>
              <w:color w:val="auto"/>
              <w:highlight w:val="none"/>
            </w:rPr>
            <w:fldChar w:fldCharType="separate"/>
          </w:r>
          <w:r>
            <w:rPr>
              <w:color w:val="auto"/>
              <w:highlight w:val="none"/>
            </w:rPr>
            <w:t>253</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"_Toc122371867" </w:instrText>
          </w:r>
          <w:r>
            <w:rPr>
              <w:color w:val="auto"/>
              <w:highlight w:val="none"/>
            </w:rPr>
            <w:fldChar w:fldCharType="separate"/>
          </w:r>
          <w:r>
            <w:rPr>
              <w:rStyle w:val="140"/>
              <w:color w:val="auto"/>
              <w:highlight w:val="none"/>
            </w:rPr>
            <w:t>8.13.</w:t>
          </w:r>
          <w:r>
            <w:rPr>
              <w:rFonts w:eastAsiaTheme="minorEastAsia" w:cstheme="minorBidi"/>
              <w:smallCaps w:val="0"/>
              <w:color w:val="auto"/>
              <w:kern w:val="2"/>
              <w:sz w:val="21"/>
              <w:szCs w:val="22"/>
              <w:highlight w:val="none"/>
              <w:lang w:eastAsia="zh-CN"/>
            </w:rPr>
            <w:tab/>
          </w:r>
          <w:r>
            <w:rPr>
              <w:rStyle w:val="140"/>
              <w:color w:val="auto"/>
              <w:highlight w:val="none"/>
            </w:rPr>
            <w:t>安全培训教育的要求</w:t>
          </w:r>
          <w:r>
            <w:rPr>
              <w:color w:val="auto"/>
              <w:highlight w:val="none"/>
            </w:rPr>
            <w:tab/>
          </w:r>
          <w:r>
            <w:rPr>
              <w:color w:val="auto"/>
              <w:highlight w:val="none"/>
            </w:rPr>
            <w:fldChar w:fldCharType="begin"/>
          </w:r>
          <w:r>
            <w:rPr>
              <w:color w:val="auto"/>
              <w:highlight w:val="none"/>
            </w:rPr>
            <w:instrText xml:space="preserve"> PAGEREF _Toc122371867 \h </w:instrText>
          </w:r>
          <w:r>
            <w:rPr>
              <w:color w:val="auto"/>
              <w:highlight w:val="none"/>
            </w:rPr>
            <w:fldChar w:fldCharType="separate"/>
          </w:r>
          <w:r>
            <w:rPr>
              <w:color w:val="auto"/>
              <w:highlight w:val="none"/>
            </w:rPr>
            <w:t>254</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"_Toc122371868" </w:instrText>
          </w:r>
          <w:r>
            <w:rPr>
              <w:color w:val="auto"/>
              <w:highlight w:val="none"/>
            </w:rPr>
            <w:fldChar w:fldCharType="separate"/>
          </w:r>
          <w:r>
            <w:rPr>
              <w:rStyle w:val="140"/>
              <w:color w:val="auto"/>
              <w:highlight w:val="none"/>
            </w:rPr>
            <w:t>8.14.</w:t>
          </w:r>
          <w:r>
            <w:rPr>
              <w:rFonts w:eastAsiaTheme="minorEastAsia" w:cstheme="minorBidi"/>
              <w:smallCaps w:val="0"/>
              <w:color w:val="auto"/>
              <w:kern w:val="2"/>
              <w:sz w:val="21"/>
              <w:szCs w:val="22"/>
              <w:highlight w:val="none"/>
              <w:lang w:eastAsia="zh-CN"/>
            </w:rPr>
            <w:tab/>
          </w:r>
          <w:r>
            <w:rPr>
              <w:rStyle w:val="140"/>
              <w:color w:val="auto"/>
              <w:highlight w:val="none"/>
            </w:rPr>
            <w:t>风险管理与事故预防</w:t>
          </w:r>
          <w:r>
            <w:rPr>
              <w:color w:val="auto"/>
              <w:highlight w:val="none"/>
            </w:rPr>
            <w:tab/>
          </w:r>
          <w:r>
            <w:rPr>
              <w:color w:val="auto"/>
              <w:highlight w:val="none"/>
            </w:rPr>
            <w:fldChar w:fldCharType="begin"/>
          </w:r>
          <w:r>
            <w:rPr>
              <w:color w:val="auto"/>
              <w:highlight w:val="none"/>
            </w:rPr>
            <w:instrText xml:space="preserve"> PAGEREF _Toc122371868 \h </w:instrText>
          </w:r>
          <w:r>
            <w:rPr>
              <w:color w:val="auto"/>
              <w:highlight w:val="none"/>
            </w:rPr>
            <w:fldChar w:fldCharType="separate"/>
          </w:r>
          <w:r>
            <w:rPr>
              <w:color w:val="auto"/>
              <w:highlight w:val="none"/>
            </w:rPr>
            <w:t>254</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"_Toc122371869" </w:instrText>
          </w:r>
          <w:r>
            <w:rPr>
              <w:color w:val="auto"/>
              <w:highlight w:val="none"/>
            </w:rPr>
            <w:fldChar w:fldCharType="separate"/>
          </w:r>
          <w:r>
            <w:rPr>
              <w:rStyle w:val="140"/>
              <w:color w:val="auto"/>
              <w:highlight w:val="none"/>
            </w:rPr>
            <w:t>8.15.</w:t>
          </w:r>
          <w:r>
            <w:rPr>
              <w:rFonts w:eastAsiaTheme="minorEastAsia" w:cstheme="minorBidi"/>
              <w:smallCaps w:val="0"/>
              <w:color w:val="auto"/>
              <w:kern w:val="2"/>
              <w:sz w:val="21"/>
              <w:szCs w:val="22"/>
              <w:highlight w:val="none"/>
              <w:lang w:eastAsia="zh-CN"/>
            </w:rPr>
            <w:tab/>
          </w:r>
          <w:r>
            <w:rPr>
              <w:rStyle w:val="140"/>
              <w:color w:val="auto"/>
              <w:highlight w:val="none"/>
            </w:rPr>
            <w:t>EHS 信息管理要求</w:t>
          </w:r>
          <w:r>
            <w:rPr>
              <w:color w:val="auto"/>
              <w:highlight w:val="none"/>
            </w:rPr>
            <w:tab/>
          </w:r>
          <w:r>
            <w:rPr>
              <w:color w:val="auto"/>
              <w:highlight w:val="none"/>
            </w:rPr>
            <w:fldChar w:fldCharType="begin"/>
          </w:r>
          <w:r>
            <w:rPr>
              <w:color w:val="auto"/>
              <w:highlight w:val="none"/>
            </w:rPr>
            <w:instrText xml:space="preserve"> PAGEREF _Toc122371869 \h </w:instrText>
          </w:r>
          <w:r>
            <w:rPr>
              <w:color w:val="auto"/>
              <w:highlight w:val="none"/>
            </w:rPr>
            <w:fldChar w:fldCharType="separate"/>
          </w:r>
          <w:r>
            <w:rPr>
              <w:color w:val="auto"/>
              <w:highlight w:val="none"/>
            </w:rPr>
            <w:t>255</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"_Toc122371870" </w:instrText>
          </w:r>
          <w:r>
            <w:rPr>
              <w:color w:val="auto"/>
              <w:highlight w:val="none"/>
            </w:rPr>
            <w:fldChar w:fldCharType="separate"/>
          </w:r>
          <w:r>
            <w:rPr>
              <w:rStyle w:val="140"/>
              <w:color w:val="auto"/>
              <w:highlight w:val="none"/>
            </w:rPr>
            <w:t>8.16.</w:t>
          </w:r>
          <w:r>
            <w:rPr>
              <w:rFonts w:eastAsiaTheme="minorEastAsia" w:cstheme="minorBidi"/>
              <w:smallCaps w:val="0"/>
              <w:color w:val="auto"/>
              <w:kern w:val="2"/>
              <w:sz w:val="21"/>
              <w:szCs w:val="22"/>
              <w:highlight w:val="none"/>
              <w:lang w:eastAsia="zh-CN"/>
            </w:rPr>
            <w:tab/>
          </w:r>
          <w:r>
            <w:rPr>
              <w:rStyle w:val="140"/>
              <w:color w:val="auto"/>
              <w:highlight w:val="none"/>
            </w:rPr>
            <w:t>扬尘噪声污染管理要求</w:t>
          </w:r>
          <w:r>
            <w:rPr>
              <w:color w:val="auto"/>
              <w:highlight w:val="none"/>
            </w:rPr>
            <w:tab/>
          </w:r>
          <w:r>
            <w:rPr>
              <w:color w:val="auto"/>
              <w:highlight w:val="none"/>
            </w:rPr>
            <w:fldChar w:fldCharType="begin"/>
          </w:r>
          <w:r>
            <w:rPr>
              <w:color w:val="auto"/>
              <w:highlight w:val="none"/>
            </w:rPr>
            <w:instrText xml:space="preserve"> PAGEREF _Toc122371870 \h </w:instrText>
          </w:r>
          <w:r>
            <w:rPr>
              <w:color w:val="auto"/>
              <w:highlight w:val="none"/>
            </w:rPr>
            <w:fldChar w:fldCharType="separate"/>
          </w:r>
          <w:r>
            <w:rPr>
              <w:color w:val="auto"/>
              <w:highlight w:val="none"/>
            </w:rPr>
            <w:t>255</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"_Toc122371871" </w:instrText>
          </w:r>
          <w:r>
            <w:rPr>
              <w:color w:val="auto"/>
              <w:highlight w:val="none"/>
            </w:rPr>
            <w:fldChar w:fldCharType="separate"/>
          </w:r>
          <w:r>
            <w:rPr>
              <w:rStyle w:val="140"/>
              <w:color w:val="auto"/>
              <w:highlight w:val="none"/>
            </w:rPr>
            <w:t>8.17.</w:t>
          </w:r>
          <w:r>
            <w:rPr>
              <w:rFonts w:eastAsiaTheme="minorEastAsia" w:cstheme="minorBidi"/>
              <w:smallCaps w:val="0"/>
              <w:color w:val="auto"/>
              <w:kern w:val="2"/>
              <w:sz w:val="21"/>
              <w:szCs w:val="22"/>
              <w:highlight w:val="none"/>
              <w:lang w:eastAsia="zh-CN"/>
            </w:rPr>
            <w:tab/>
          </w:r>
          <w:r>
            <w:rPr>
              <w:rStyle w:val="140"/>
              <w:color w:val="auto"/>
              <w:highlight w:val="none"/>
            </w:rPr>
            <w:t>其他 EHS 管理要求</w:t>
          </w:r>
          <w:r>
            <w:rPr>
              <w:color w:val="auto"/>
              <w:highlight w:val="none"/>
            </w:rPr>
            <w:tab/>
          </w:r>
          <w:r>
            <w:rPr>
              <w:color w:val="auto"/>
              <w:highlight w:val="none"/>
            </w:rPr>
            <w:fldChar w:fldCharType="begin"/>
          </w:r>
          <w:r>
            <w:rPr>
              <w:color w:val="auto"/>
              <w:highlight w:val="none"/>
            </w:rPr>
            <w:instrText xml:space="preserve"> PAGEREF _Toc122371871 \h </w:instrText>
          </w:r>
          <w:r>
            <w:rPr>
              <w:color w:val="auto"/>
              <w:highlight w:val="none"/>
            </w:rPr>
            <w:fldChar w:fldCharType="separate"/>
          </w:r>
          <w:r>
            <w:rPr>
              <w:color w:val="auto"/>
              <w:highlight w:val="none"/>
            </w:rPr>
            <w:t>256</w:t>
          </w:r>
          <w:r>
            <w:rPr>
              <w:color w:val="auto"/>
              <w:highlight w:val="none"/>
            </w:rPr>
            <w:fldChar w:fldCharType="end"/>
          </w:r>
          <w:r>
            <w:rPr>
              <w:color w:val="auto"/>
              <w:highlight w:val="none"/>
            </w:rPr>
            <w:fldChar w:fldCharType="end"/>
          </w:r>
        </w:p>
        <w:p>
          <w:pPr>
            <w:pStyle w:val="58"/>
            <w:tabs>
              <w:tab w:val="left" w:pos="880"/>
              <w:tab w:val="right" w:leader="dot" w:pos="9580"/>
            </w:tabs>
            <w:rPr>
              <w:rFonts w:eastAsiaTheme="minorEastAsia" w:cstheme="minorBidi"/>
              <w:b w:val="0"/>
              <w:bCs w:val="0"/>
              <w: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"_Toc122371872" </w:instrText>
          </w:r>
          <w:r>
            <w:rPr>
              <w:color w:val="auto"/>
              <w:highlight w:val="none"/>
            </w:rPr>
            <w:fldChar w:fldCharType="separate"/>
          </w:r>
          <w:r>
            <w:rPr>
              <w:rStyle w:val="140"/>
              <w:color w:val="auto"/>
              <w:highlight w:val="none"/>
            </w:rPr>
            <w:t>第9章</w:t>
          </w:r>
          <w:r>
            <w:rPr>
              <w:rFonts w:eastAsiaTheme="minorEastAsia" w:cstheme="minorBidi"/>
              <w:b w:val="0"/>
              <w:bCs w:val="0"/>
              <w:caps w:val="0"/>
              <w:color w:val="auto"/>
              <w:kern w:val="2"/>
              <w:sz w:val="21"/>
              <w:szCs w:val="22"/>
              <w:highlight w:val="none"/>
              <w:lang w:eastAsia="zh-CN"/>
            </w:rPr>
            <w:tab/>
          </w:r>
          <w:r>
            <w:rPr>
              <w:rStyle w:val="140"/>
              <w:color w:val="auto"/>
              <w:highlight w:val="none"/>
            </w:rPr>
            <w:t>工程主要材料的选用</w:t>
          </w:r>
          <w:r>
            <w:rPr>
              <w:color w:val="auto"/>
              <w:highlight w:val="none"/>
            </w:rPr>
            <w:tab/>
          </w:r>
          <w:r>
            <w:rPr>
              <w:color w:val="auto"/>
              <w:highlight w:val="none"/>
            </w:rPr>
            <w:fldChar w:fldCharType="begin"/>
          </w:r>
          <w:r>
            <w:rPr>
              <w:color w:val="auto"/>
              <w:highlight w:val="none"/>
            </w:rPr>
            <w:instrText xml:space="preserve"> PAGEREF _Toc122371872 \h </w:instrText>
          </w:r>
          <w:r>
            <w:rPr>
              <w:color w:val="auto"/>
              <w:highlight w:val="none"/>
            </w:rPr>
            <w:fldChar w:fldCharType="separate"/>
          </w:r>
          <w:r>
            <w:rPr>
              <w:color w:val="auto"/>
              <w:highlight w:val="none"/>
            </w:rPr>
            <w:t>256</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"_Toc122371873" </w:instrText>
          </w:r>
          <w:r>
            <w:rPr>
              <w:color w:val="auto"/>
              <w:highlight w:val="none"/>
            </w:rPr>
            <w:fldChar w:fldCharType="separate"/>
          </w:r>
          <w:r>
            <w:rPr>
              <w:rStyle w:val="140"/>
              <w:color w:val="auto"/>
              <w:highlight w:val="none"/>
            </w:rPr>
            <w:t>9.1.</w:t>
          </w:r>
          <w:r>
            <w:rPr>
              <w:rFonts w:eastAsiaTheme="minorEastAsia" w:cstheme="minorBidi"/>
              <w:smallCaps w:val="0"/>
              <w:color w:val="auto"/>
              <w:kern w:val="2"/>
              <w:sz w:val="21"/>
              <w:szCs w:val="22"/>
              <w:highlight w:val="none"/>
              <w:lang w:eastAsia="zh-CN"/>
            </w:rPr>
            <w:tab/>
          </w:r>
          <w:r>
            <w:rPr>
              <w:rStyle w:val="140"/>
              <w:color w:val="auto"/>
              <w:highlight w:val="none"/>
            </w:rPr>
            <w:t>工程承包范围内材料采购的说明</w:t>
          </w:r>
          <w:r>
            <w:rPr>
              <w:color w:val="auto"/>
              <w:highlight w:val="none"/>
            </w:rPr>
            <w:tab/>
          </w:r>
          <w:r>
            <w:rPr>
              <w:color w:val="auto"/>
              <w:highlight w:val="none"/>
            </w:rPr>
            <w:fldChar w:fldCharType="begin"/>
          </w:r>
          <w:r>
            <w:rPr>
              <w:color w:val="auto"/>
              <w:highlight w:val="none"/>
            </w:rPr>
            <w:instrText xml:space="preserve"> PAGEREF _Toc122371873 \h </w:instrText>
          </w:r>
          <w:r>
            <w:rPr>
              <w:color w:val="auto"/>
              <w:highlight w:val="none"/>
            </w:rPr>
            <w:fldChar w:fldCharType="separate"/>
          </w:r>
          <w:r>
            <w:rPr>
              <w:color w:val="auto"/>
              <w:highlight w:val="none"/>
            </w:rPr>
            <w:t>256</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"_Toc122371874" </w:instrText>
          </w:r>
          <w:r>
            <w:rPr>
              <w:color w:val="auto"/>
              <w:highlight w:val="none"/>
            </w:rPr>
            <w:fldChar w:fldCharType="separate"/>
          </w:r>
          <w:r>
            <w:rPr>
              <w:rStyle w:val="140"/>
              <w:color w:val="auto"/>
              <w:highlight w:val="none"/>
            </w:rPr>
            <w:t>9.2.</w:t>
          </w:r>
          <w:r>
            <w:rPr>
              <w:rFonts w:eastAsiaTheme="minorEastAsia" w:cstheme="minorBidi"/>
              <w:smallCaps w:val="0"/>
              <w:color w:val="auto"/>
              <w:kern w:val="2"/>
              <w:sz w:val="21"/>
              <w:szCs w:val="22"/>
              <w:highlight w:val="none"/>
              <w:lang w:eastAsia="zh-CN"/>
            </w:rPr>
            <w:tab/>
          </w:r>
          <w:r>
            <w:rPr>
              <w:rStyle w:val="140"/>
              <w:color w:val="auto"/>
              <w:highlight w:val="none"/>
            </w:rPr>
            <w:t>主要材料参考品牌及生产厂家或供货单位选用表</w:t>
          </w:r>
          <w:r>
            <w:rPr>
              <w:color w:val="auto"/>
              <w:highlight w:val="none"/>
            </w:rPr>
            <w:tab/>
          </w:r>
          <w:r>
            <w:rPr>
              <w:color w:val="auto"/>
              <w:highlight w:val="none"/>
            </w:rPr>
            <w:fldChar w:fldCharType="begin"/>
          </w:r>
          <w:r>
            <w:rPr>
              <w:color w:val="auto"/>
              <w:highlight w:val="none"/>
            </w:rPr>
            <w:instrText xml:space="preserve"> PAGEREF _Toc122371874 \h </w:instrText>
          </w:r>
          <w:r>
            <w:rPr>
              <w:color w:val="auto"/>
              <w:highlight w:val="none"/>
            </w:rPr>
            <w:fldChar w:fldCharType="separate"/>
          </w:r>
          <w:r>
            <w:rPr>
              <w:color w:val="auto"/>
              <w:highlight w:val="none"/>
            </w:rPr>
            <w:t>257</w:t>
          </w:r>
          <w:r>
            <w:rPr>
              <w:color w:val="auto"/>
              <w:highlight w:val="none"/>
            </w:rPr>
            <w:fldChar w:fldCharType="end"/>
          </w:r>
          <w:r>
            <w:rPr>
              <w:color w:val="auto"/>
              <w:highlight w:val="none"/>
            </w:rPr>
            <w:fldChar w:fldCharType="end"/>
          </w:r>
        </w:p>
        <w:p>
          <w:pPr>
            <w:pStyle w:val="58"/>
            <w:tabs>
              <w:tab w:val="left" w:pos="880"/>
              <w:tab w:val="right" w:leader="dot" w:pos="9580"/>
            </w:tabs>
            <w:rPr>
              <w:rFonts w:eastAsiaTheme="minorEastAsia" w:cstheme="minorBidi"/>
              <w:b w:val="0"/>
              <w:bCs w:val="0"/>
              <w: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"_Toc122371875" </w:instrText>
          </w:r>
          <w:r>
            <w:rPr>
              <w:color w:val="auto"/>
              <w:highlight w:val="none"/>
            </w:rPr>
            <w:fldChar w:fldCharType="separate"/>
          </w:r>
          <w:r>
            <w:rPr>
              <w:rStyle w:val="140"/>
              <w:color w:val="auto"/>
              <w:highlight w:val="none"/>
            </w:rPr>
            <w:t>第10章</w:t>
          </w:r>
          <w:r>
            <w:rPr>
              <w:rFonts w:eastAsiaTheme="minorEastAsia" w:cstheme="minorBidi"/>
              <w:b w:val="0"/>
              <w:bCs w:val="0"/>
              <w:caps w:val="0"/>
              <w:color w:val="auto"/>
              <w:kern w:val="2"/>
              <w:sz w:val="21"/>
              <w:szCs w:val="22"/>
              <w:highlight w:val="none"/>
              <w:lang w:eastAsia="zh-CN"/>
            </w:rPr>
            <w:tab/>
          </w:r>
          <w:r>
            <w:rPr>
              <w:rStyle w:val="140"/>
              <w:color w:val="auto"/>
              <w:highlight w:val="none"/>
            </w:rPr>
            <w:t>附件</w:t>
          </w:r>
          <w:r>
            <w:rPr>
              <w:color w:val="auto"/>
              <w:highlight w:val="none"/>
            </w:rPr>
            <w:tab/>
          </w:r>
          <w:r>
            <w:rPr>
              <w:color w:val="auto"/>
              <w:highlight w:val="none"/>
            </w:rPr>
            <w:fldChar w:fldCharType="begin"/>
          </w:r>
          <w:r>
            <w:rPr>
              <w:color w:val="auto"/>
              <w:highlight w:val="none"/>
            </w:rPr>
            <w:instrText xml:space="preserve"> PAGEREF _Toc122371875 \h </w:instrText>
          </w:r>
          <w:r>
            <w:rPr>
              <w:color w:val="auto"/>
              <w:highlight w:val="none"/>
            </w:rPr>
            <w:fldChar w:fldCharType="separate"/>
          </w:r>
          <w:r>
            <w:rPr>
              <w:color w:val="auto"/>
              <w:highlight w:val="none"/>
            </w:rPr>
            <w:t>278</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"_Toc122371876" </w:instrText>
          </w:r>
          <w:r>
            <w:rPr>
              <w:color w:val="auto"/>
              <w:highlight w:val="none"/>
            </w:rPr>
            <w:fldChar w:fldCharType="separate"/>
          </w:r>
          <w:r>
            <w:rPr>
              <w:rStyle w:val="140"/>
              <w:color w:val="auto"/>
              <w:highlight w:val="none"/>
            </w:rPr>
            <w:t>10.1.</w:t>
          </w:r>
          <w:r>
            <w:rPr>
              <w:rFonts w:eastAsiaTheme="minorEastAsia" w:cstheme="minorBidi"/>
              <w:smallCaps w:val="0"/>
              <w:color w:val="auto"/>
              <w:kern w:val="2"/>
              <w:sz w:val="21"/>
              <w:szCs w:val="22"/>
              <w:highlight w:val="none"/>
              <w:lang w:eastAsia="zh-CN"/>
            </w:rPr>
            <w:tab/>
          </w:r>
          <w:r>
            <w:rPr>
              <w:rStyle w:val="140"/>
              <w:color w:val="auto"/>
              <w:highlight w:val="none"/>
            </w:rPr>
            <w:t>项目基本信息</w:t>
          </w:r>
          <w:r>
            <w:rPr>
              <w:color w:val="auto"/>
              <w:highlight w:val="none"/>
            </w:rPr>
            <w:tab/>
          </w:r>
          <w:r>
            <w:rPr>
              <w:color w:val="auto"/>
              <w:highlight w:val="none"/>
            </w:rPr>
            <w:fldChar w:fldCharType="begin"/>
          </w:r>
          <w:r>
            <w:rPr>
              <w:color w:val="auto"/>
              <w:highlight w:val="none"/>
            </w:rPr>
            <w:instrText xml:space="preserve"> PAGEREF _Toc122371876 \h </w:instrText>
          </w:r>
          <w:r>
            <w:rPr>
              <w:color w:val="auto"/>
              <w:highlight w:val="none"/>
            </w:rPr>
            <w:fldChar w:fldCharType="separate"/>
          </w:r>
          <w:r>
            <w:rPr>
              <w:color w:val="auto"/>
              <w:highlight w:val="none"/>
            </w:rPr>
            <w:t>279</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"_Toc122371877" </w:instrText>
          </w:r>
          <w:r>
            <w:rPr>
              <w:color w:val="auto"/>
              <w:highlight w:val="none"/>
            </w:rPr>
            <w:fldChar w:fldCharType="separate"/>
          </w:r>
          <w:r>
            <w:rPr>
              <w:rStyle w:val="140"/>
              <w:color w:val="auto"/>
              <w:highlight w:val="none"/>
            </w:rPr>
            <w:t>10.2.</w:t>
          </w:r>
          <w:r>
            <w:rPr>
              <w:rFonts w:eastAsiaTheme="minorEastAsia" w:cstheme="minorBidi"/>
              <w:smallCaps w:val="0"/>
              <w:color w:val="auto"/>
              <w:kern w:val="2"/>
              <w:sz w:val="21"/>
              <w:szCs w:val="22"/>
              <w:highlight w:val="none"/>
              <w:lang w:eastAsia="zh-CN"/>
            </w:rPr>
            <w:tab/>
          </w:r>
          <w:r>
            <w:rPr>
              <w:rStyle w:val="140"/>
              <w:color w:val="auto"/>
              <w:highlight w:val="none"/>
            </w:rPr>
            <w:t>华润置地总部/华南大区文件</w:t>
          </w:r>
          <w:r>
            <w:rPr>
              <w:color w:val="auto"/>
              <w:highlight w:val="none"/>
            </w:rPr>
            <w:tab/>
          </w:r>
          <w:r>
            <w:rPr>
              <w:color w:val="auto"/>
              <w:highlight w:val="none"/>
            </w:rPr>
            <w:fldChar w:fldCharType="begin"/>
          </w:r>
          <w:r>
            <w:rPr>
              <w:color w:val="auto"/>
              <w:highlight w:val="none"/>
            </w:rPr>
            <w:instrText xml:space="preserve"> PAGEREF _Toc122371877 \h </w:instrText>
          </w:r>
          <w:r>
            <w:rPr>
              <w:color w:val="auto"/>
              <w:highlight w:val="none"/>
            </w:rPr>
            <w:fldChar w:fldCharType="separate"/>
          </w:r>
          <w:r>
            <w:rPr>
              <w:color w:val="auto"/>
              <w:highlight w:val="none"/>
            </w:rPr>
            <w:t>279</w:t>
          </w:r>
          <w:r>
            <w:rPr>
              <w:color w:val="auto"/>
              <w:highlight w:val="none"/>
            </w:rPr>
            <w:fldChar w:fldCharType="end"/>
          </w:r>
          <w:r>
            <w:rPr>
              <w:color w:val="auto"/>
              <w:highlight w:val="none"/>
            </w:rPr>
            <w:fldChar w:fldCharType="end"/>
          </w:r>
        </w:p>
        <w:p>
          <w:pPr>
            <w:pStyle w:val="72"/>
            <w:tabs>
              <w:tab w:val="left" w:pos="880"/>
              <w:tab w:val="right" w:leader="dot" w:pos="9580"/>
            </w:tabs>
            <w:rPr>
              <w:rFonts w:eastAsiaTheme="minorEastAsia" w:cstheme="minorBidi"/>
              <w:smallCaps w:val="0"/>
              <w:color w:val="auto"/>
              <w:kern w:val="2"/>
              <w:sz w:val="21"/>
              <w:szCs w:val="22"/>
              <w:highlight w:val="none"/>
              <w:lang w:eastAsia="zh-CN"/>
            </w:rPr>
          </w:pPr>
          <w:r>
            <w:rPr>
              <w:color w:val="auto"/>
              <w:highlight w:val="none"/>
            </w:rPr>
            <w:fldChar w:fldCharType="begin"/>
          </w:r>
          <w:r>
            <w:rPr>
              <w:color w:val="auto"/>
              <w:highlight w:val="none"/>
            </w:rPr>
            <w:instrText xml:space="preserve"> HYPERLINK \l "_Toc122371878" </w:instrText>
          </w:r>
          <w:r>
            <w:rPr>
              <w:color w:val="auto"/>
              <w:highlight w:val="none"/>
            </w:rPr>
            <w:fldChar w:fldCharType="separate"/>
          </w:r>
          <w:r>
            <w:rPr>
              <w:rStyle w:val="140"/>
              <w:color w:val="auto"/>
              <w:highlight w:val="none"/>
            </w:rPr>
            <w:t>10.3.</w:t>
          </w:r>
          <w:r>
            <w:rPr>
              <w:rFonts w:eastAsiaTheme="minorEastAsia" w:cstheme="minorBidi"/>
              <w:smallCaps w:val="0"/>
              <w:color w:val="auto"/>
              <w:kern w:val="2"/>
              <w:sz w:val="21"/>
              <w:szCs w:val="22"/>
              <w:highlight w:val="none"/>
              <w:lang w:eastAsia="zh-CN"/>
            </w:rPr>
            <w:tab/>
          </w:r>
          <w:r>
            <w:rPr>
              <w:rStyle w:val="140"/>
              <w:color w:val="auto"/>
              <w:highlight w:val="none"/>
            </w:rPr>
            <w:t>城市建设运营事业部/项目文件</w:t>
          </w:r>
          <w:r>
            <w:rPr>
              <w:color w:val="auto"/>
              <w:highlight w:val="none"/>
            </w:rPr>
            <w:tab/>
          </w:r>
          <w:r>
            <w:rPr>
              <w:color w:val="auto"/>
              <w:highlight w:val="none"/>
            </w:rPr>
            <w:fldChar w:fldCharType="begin"/>
          </w:r>
          <w:r>
            <w:rPr>
              <w:color w:val="auto"/>
              <w:highlight w:val="none"/>
            </w:rPr>
            <w:instrText xml:space="preserve"> PAGEREF _Toc122371878 \h </w:instrText>
          </w:r>
          <w:r>
            <w:rPr>
              <w:color w:val="auto"/>
              <w:highlight w:val="none"/>
            </w:rPr>
            <w:fldChar w:fldCharType="separate"/>
          </w:r>
          <w:r>
            <w:rPr>
              <w:color w:val="auto"/>
              <w:highlight w:val="none"/>
            </w:rPr>
            <w:t>279</w:t>
          </w:r>
          <w:r>
            <w:rPr>
              <w:color w:val="auto"/>
              <w:highlight w:val="none"/>
            </w:rPr>
            <w:fldChar w:fldCharType="end"/>
          </w:r>
          <w:r>
            <w:rPr>
              <w:color w:val="auto"/>
              <w:highlight w:val="none"/>
            </w:rPr>
            <w:fldChar w:fldCharType="end"/>
          </w:r>
        </w:p>
        <w:p>
          <w:pPr>
            <w:pStyle w:val="58"/>
            <w:tabs>
              <w:tab w:val="right" w:leader="dot" w:pos="9580"/>
            </w:tabs>
            <w:ind w:firstLine="774"/>
            <w:rPr>
              <w:color w:val="auto"/>
              <w:highlight w:val="none"/>
            </w:rPr>
          </w:pPr>
          <w:r>
            <w:rPr>
              <w:rFonts w:asciiTheme="majorHAnsi" w:hAnsiTheme="majorHAnsi" w:eastAsiaTheme="majorEastAsia" w:cstheme="majorBidi"/>
              <w:b w:val="0"/>
              <w:bCs w:val="0"/>
              <w:color w:val="auto"/>
              <w:sz w:val="32"/>
              <w:szCs w:val="32"/>
              <w:highlight w:val="none"/>
              <w:lang w:val="zh-CN" w:eastAsia="zh-CN"/>
            </w:rPr>
            <w:fldChar w:fldCharType="end"/>
          </w:r>
        </w:p>
      </w:sdtContent>
    </w:sdt>
    <w:p>
      <w:pPr>
        <w:ind w:firstLine="581"/>
        <w:rPr>
          <w:rFonts w:asciiTheme="majorHAnsi" w:hAnsiTheme="majorHAnsi" w:cstheme="majorBidi"/>
          <w:b/>
          <w:bCs/>
          <w:color w:val="auto"/>
          <w:kern w:val="2"/>
          <w:sz w:val="32"/>
          <w:szCs w:val="32"/>
          <w:highlight w:val="none"/>
          <w:lang w:eastAsia="zh-CN"/>
        </w:rPr>
      </w:pPr>
    </w:p>
    <w:p>
      <w:pPr>
        <w:ind w:firstLine="581"/>
        <w:rPr>
          <w:rFonts w:asciiTheme="majorHAnsi" w:hAnsiTheme="majorHAnsi" w:cstheme="majorBidi"/>
          <w:b/>
          <w:bCs/>
          <w:color w:val="auto"/>
          <w:kern w:val="2"/>
          <w:sz w:val="32"/>
          <w:szCs w:val="32"/>
          <w:highlight w:val="none"/>
          <w:lang w:eastAsia="zh-CN"/>
        </w:rPr>
      </w:pPr>
    </w:p>
    <w:p>
      <w:pPr>
        <w:ind w:firstLine="581"/>
        <w:rPr>
          <w:rFonts w:asciiTheme="majorHAnsi" w:hAnsiTheme="majorHAnsi" w:cstheme="majorBidi"/>
          <w:b/>
          <w:bCs/>
          <w:color w:val="auto"/>
          <w:kern w:val="2"/>
          <w:sz w:val="32"/>
          <w:szCs w:val="32"/>
          <w:highlight w:val="none"/>
          <w:lang w:eastAsia="zh-CN"/>
        </w:rPr>
      </w:pPr>
    </w:p>
    <w:p>
      <w:pPr>
        <w:ind w:firstLine="581"/>
        <w:rPr>
          <w:rFonts w:asciiTheme="majorHAnsi" w:hAnsiTheme="majorHAnsi" w:cstheme="majorBidi"/>
          <w:b/>
          <w:bCs/>
          <w:color w:val="auto"/>
          <w:kern w:val="2"/>
          <w:sz w:val="32"/>
          <w:szCs w:val="32"/>
          <w:highlight w:val="none"/>
          <w:lang w:eastAsia="zh-CN"/>
        </w:rPr>
      </w:pPr>
    </w:p>
    <w:p>
      <w:pPr>
        <w:ind w:firstLine="581"/>
        <w:rPr>
          <w:rFonts w:asciiTheme="majorHAnsi" w:hAnsiTheme="majorHAnsi" w:cstheme="majorBidi"/>
          <w:b/>
          <w:bCs/>
          <w:color w:val="auto"/>
          <w:kern w:val="2"/>
          <w:sz w:val="32"/>
          <w:szCs w:val="32"/>
          <w:highlight w:val="none"/>
          <w:lang w:eastAsia="zh-CN"/>
        </w:rPr>
      </w:pPr>
    </w:p>
    <w:p>
      <w:pPr>
        <w:ind w:firstLine="581"/>
        <w:rPr>
          <w:rFonts w:asciiTheme="majorHAnsi" w:hAnsiTheme="majorHAnsi" w:cstheme="majorBidi"/>
          <w:b/>
          <w:bCs/>
          <w:color w:val="auto"/>
          <w:kern w:val="2"/>
          <w:sz w:val="32"/>
          <w:szCs w:val="32"/>
          <w:highlight w:val="none"/>
          <w:lang w:eastAsia="zh-CN"/>
        </w:rPr>
      </w:pPr>
    </w:p>
    <w:p>
      <w:pPr>
        <w:ind w:firstLine="581"/>
        <w:rPr>
          <w:rFonts w:asciiTheme="majorHAnsi" w:hAnsiTheme="majorHAnsi" w:cstheme="majorBidi"/>
          <w:b/>
          <w:bCs/>
          <w:color w:val="auto"/>
          <w:kern w:val="2"/>
          <w:sz w:val="32"/>
          <w:szCs w:val="32"/>
          <w:highlight w:val="none"/>
          <w:lang w:eastAsia="zh-CN"/>
        </w:rPr>
      </w:pPr>
    </w:p>
    <w:p>
      <w:pPr>
        <w:ind w:firstLine="581"/>
        <w:rPr>
          <w:rFonts w:asciiTheme="majorHAnsi" w:hAnsiTheme="majorHAnsi" w:cstheme="majorBidi"/>
          <w:b/>
          <w:bCs/>
          <w:color w:val="auto"/>
          <w:kern w:val="2"/>
          <w:sz w:val="32"/>
          <w:szCs w:val="32"/>
          <w:highlight w:val="none"/>
          <w:lang w:eastAsia="zh-CN"/>
        </w:rPr>
      </w:pPr>
    </w:p>
    <w:p>
      <w:pPr>
        <w:ind w:firstLine="581"/>
        <w:rPr>
          <w:rFonts w:asciiTheme="majorHAnsi" w:hAnsiTheme="majorHAnsi" w:cstheme="majorBidi"/>
          <w:b/>
          <w:bCs/>
          <w:color w:val="auto"/>
          <w:kern w:val="2"/>
          <w:sz w:val="32"/>
          <w:szCs w:val="32"/>
          <w:highlight w:val="none"/>
          <w:lang w:eastAsia="zh-CN"/>
        </w:rPr>
      </w:pPr>
    </w:p>
    <w:p>
      <w:pPr>
        <w:ind w:firstLine="581"/>
        <w:rPr>
          <w:rFonts w:asciiTheme="majorHAnsi" w:hAnsiTheme="majorHAnsi" w:cstheme="majorBidi"/>
          <w:b/>
          <w:bCs/>
          <w:color w:val="auto"/>
          <w:kern w:val="2"/>
          <w:sz w:val="32"/>
          <w:szCs w:val="32"/>
          <w:highlight w:val="none"/>
          <w:lang w:eastAsia="zh-CN"/>
        </w:rPr>
      </w:pPr>
    </w:p>
    <w:p>
      <w:pPr>
        <w:ind w:firstLine="581"/>
        <w:rPr>
          <w:rFonts w:asciiTheme="majorHAnsi" w:hAnsiTheme="majorHAnsi" w:cstheme="majorBidi"/>
          <w:b/>
          <w:bCs/>
          <w:color w:val="auto"/>
          <w:kern w:val="2"/>
          <w:sz w:val="32"/>
          <w:szCs w:val="32"/>
          <w:highlight w:val="none"/>
          <w:lang w:eastAsia="zh-CN"/>
        </w:rPr>
      </w:pPr>
    </w:p>
    <w:p>
      <w:pPr>
        <w:ind w:firstLine="581"/>
        <w:rPr>
          <w:rFonts w:asciiTheme="majorHAnsi" w:hAnsiTheme="majorHAnsi" w:cstheme="majorBidi"/>
          <w:b/>
          <w:bCs/>
          <w:color w:val="auto"/>
          <w:kern w:val="2"/>
          <w:sz w:val="32"/>
          <w:szCs w:val="32"/>
          <w:highlight w:val="none"/>
          <w:lang w:eastAsia="zh-CN"/>
        </w:rPr>
      </w:pPr>
    </w:p>
    <w:p>
      <w:pPr>
        <w:ind w:firstLine="581"/>
        <w:rPr>
          <w:rFonts w:asciiTheme="majorHAnsi" w:hAnsiTheme="majorHAnsi" w:cstheme="majorBidi"/>
          <w:b/>
          <w:bCs/>
          <w:color w:val="auto"/>
          <w:kern w:val="2"/>
          <w:sz w:val="32"/>
          <w:szCs w:val="32"/>
          <w:highlight w:val="none"/>
          <w:lang w:eastAsia="zh-CN"/>
        </w:rPr>
      </w:pPr>
    </w:p>
    <w:p>
      <w:pPr>
        <w:ind w:firstLine="581"/>
        <w:rPr>
          <w:rFonts w:asciiTheme="majorHAnsi" w:hAnsiTheme="majorHAnsi" w:cstheme="majorBidi"/>
          <w:b/>
          <w:bCs/>
          <w:color w:val="auto"/>
          <w:kern w:val="2"/>
          <w:sz w:val="32"/>
          <w:szCs w:val="32"/>
          <w:highlight w:val="none"/>
          <w:lang w:eastAsia="zh-CN"/>
        </w:rPr>
      </w:pPr>
    </w:p>
    <w:p>
      <w:pPr>
        <w:ind w:firstLine="581"/>
        <w:rPr>
          <w:rFonts w:asciiTheme="majorHAnsi" w:hAnsiTheme="majorHAnsi" w:cstheme="majorBidi"/>
          <w:b/>
          <w:bCs/>
          <w:color w:val="auto"/>
          <w:kern w:val="2"/>
          <w:sz w:val="32"/>
          <w:szCs w:val="32"/>
          <w:highlight w:val="none"/>
          <w:lang w:eastAsia="zh-CN"/>
        </w:rPr>
      </w:pPr>
    </w:p>
    <w:p>
      <w:pPr>
        <w:ind w:firstLine="581"/>
        <w:rPr>
          <w:rFonts w:asciiTheme="majorHAnsi" w:hAnsiTheme="majorHAnsi" w:cstheme="majorBidi"/>
          <w:b/>
          <w:bCs/>
          <w:color w:val="auto"/>
          <w:kern w:val="2"/>
          <w:sz w:val="32"/>
          <w:szCs w:val="32"/>
          <w:highlight w:val="none"/>
          <w:lang w:eastAsia="zh-CN"/>
        </w:rPr>
      </w:pPr>
    </w:p>
    <w:p>
      <w:pPr>
        <w:ind w:firstLine="581"/>
        <w:rPr>
          <w:rFonts w:asciiTheme="majorHAnsi" w:hAnsiTheme="majorHAnsi" w:cstheme="majorBidi"/>
          <w:b/>
          <w:bCs/>
          <w:color w:val="auto"/>
          <w:kern w:val="2"/>
          <w:sz w:val="32"/>
          <w:szCs w:val="32"/>
          <w:highlight w:val="none"/>
          <w:lang w:eastAsia="zh-CN"/>
        </w:rPr>
      </w:pPr>
    </w:p>
    <w:p>
      <w:pPr>
        <w:pStyle w:val="2"/>
        <w:rPr>
          <w:color w:val="auto"/>
          <w:highlight w:val="none"/>
          <w:lang w:eastAsia="zh-CN"/>
        </w:rPr>
      </w:pPr>
    </w:p>
    <w:p>
      <w:pPr>
        <w:pStyle w:val="2"/>
        <w:rPr>
          <w:color w:val="auto"/>
          <w:highlight w:val="none"/>
          <w:lang w:eastAsia="zh-CN"/>
        </w:rPr>
      </w:pPr>
    </w:p>
    <w:p>
      <w:pPr>
        <w:pStyle w:val="2"/>
        <w:rPr>
          <w:color w:val="auto"/>
          <w:highlight w:val="none"/>
          <w:lang w:eastAsia="zh-CN"/>
        </w:rPr>
      </w:pPr>
    </w:p>
    <w:p>
      <w:pPr>
        <w:pStyle w:val="2"/>
        <w:rPr>
          <w:color w:val="auto"/>
          <w:highlight w:val="none"/>
          <w:lang w:eastAsia="zh-CN"/>
        </w:rPr>
      </w:pPr>
    </w:p>
    <w:p>
      <w:pPr>
        <w:pStyle w:val="2"/>
        <w:rPr>
          <w:color w:val="auto"/>
          <w:highlight w:val="none"/>
          <w:lang w:eastAsia="zh-CN"/>
        </w:rPr>
      </w:pPr>
    </w:p>
    <w:p>
      <w:pPr>
        <w:pStyle w:val="2"/>
        <w:rPr>
          <w:color w:val="auto"/>
          <w:highlight w:val="none"/>
          <w:lang w:eastAsia="zh-CN"/>
        </w:rPr>
      </w:pPr>
    </w:p>
    <w:p>
      <w:pPr>
        <w:pStyle w:val="2"/>
        <w:rPr>
          <w:color w:val="auto"/>
          <w:highlight w:val="none"/>
          <w:lang w:eastAsia="zh-CN"/>
        </w:rPr>
      </w:pPr>
    </w:p>
    <w:p>
      <w:pPr>
        <w:pStyle w:val="2"/>
        <w:rPr>
          <w:color w:val="auto"/>
          <w:highlight w:val="none"/>
          <w:lang w:eastAsia="zh-CN"/>
        </w:rPr>
      </w:pPr>
    </w:p>
    <w:p>
      <w:pPr>
        <w:pStyle w:val="2"/>
        <w:rPr>
          <w:color w:val="auto"/>
          <w:highlight w:val="none"/>
          <w:lang w:eastAsia="zh-CN"/>
        </w:rPr>
      </w:pPr>
    </w:p>
    <w:p>
      <w:pPr>
        <w:ind w:firstLine="581"/>
        <w:rPr>
          <w:rFonts w:asciiTheme="majorHAnsi" w:hAnsiTheme="majorHAnsi" w:cstheme="majorBidi"/>
          <w:b/>
          <w:bCs/>
          <w:color w:val="auto"/>
          <w:kern w:val="2"/>
          <w:sz w:val="32"/>
          <w:szCs w:val="32"/>
          <w:highlight w:val="none"/>
          <w:lang w:eastAsia="zh-CN"/>
        </w:rPr>
      </w:pPr>
    </w:p>
    <w:p>
      <w:pPr>
        <w:rPr>
          <w:color w:val="auto"/>
          <w:highlight w:val="none"/>
          <w:lang w:eastAsia="zh-CN"/>
        </w:rPr>
      </w:pPr>
    </w:p>
    <w:p>
      <w:pPr>
        <w:pStyle w:val="4"/>
        <w:rPr>
          <w:color w:val="auto"/>
          <w:highlight w:val="none"/>
        </w:rPr>
      </w:pPr>
      <w:bookmarkStart w:id="1" w:name="_Toc122371801"/>
      <w:r>
        <w:rPr>
          <w:rFonts w:hint="eastAsia"/>
          <w:color w:val="auto"/>
          <w:highlight w:val="none"/>
        </w:rPr>
        <w:t>工程概况</w:t>
      </w:r>
      <w:bookmarkEnd w:id="1"/>
    </w:p>
    <w:p>
      <w:pPr>
        <w:pStyle w:val="5"/>
        <w:rPr>
          <w:color w:val="auto"/>
          <w:highlight w:val="none"/>
        </w:rPr>
      </w:pPr>
      <w:r>
        <w:rPr>
          <w:rFonts w:hint="eastAsia"/>
          <w:color w:val="auto"/>
          <w:highlight w:val="none"/>
        </w:rPr>
        <w:t>工程规模</w:t>
      </w:r>
    </w:p>
    <w:p>
      <w:pPr>
        <w:ind w:firstLine="169"/>
        <w:rPr>
          <w:rFonts w:ascii="Times New Roman" w:hAnsi="Times New Roman" w:cs="Times New Roman"/>
          <w:color w:val="auto"/>
          <w:sz w:val="7"/>
          <w:szCs w:val="24"/>
          <w:highlight w:val="none"/>
        </w:rPr>
      </w:pPr>
    </w:p>
    <w:p>
      <w:pPr>
        <w:spacing w:line="360" w:lineRule="auto"/>
        <w:ind w:firstLine="720" w:firstLineChars="300"/>
        <w:jc w:val="both"/>
        <w:rPr>
          <w:color w:val="auto"/>
          <w:szCs w:val="24"/>
          <w:highlight w:val="none"/>
          <w:lang w:eastAsia="zh-CN"/>
        </w:rPr>
      </w:pPr>
      <w:r>
        <w:rPr>
          <w:rFonts w:hint="eastAsia"/>
          <w:color w:val="auto"/>
          <w:szCs w:val="24"/>
          <w:highlight w:val="none"/>
          <w:lang w:eastAsia="zh-CN"/>
        </w:rPr>
        <w:t>项目建设地点位于广东省湛江市坡头区海湾大道以南、海东大道以西。</w:t>
      </w:r>
    </w:p>
    <w:p>
      <w:pPr>
        <w:spacing w:line="360" w:lineRule="auto"/>
        <w:ind w:firstLine="720" w:firstLineChars="300"/>
        <w:jc w:val="both"/>
        <w:rPr>
          <w:color w:val="auto"/>
          <w:szCs w:val="24"/>
          <w:highlight w:val="none"/>
          <w:lang w:eastAsia="zh-CN"/>
        </w:rPr>
      </w:pPr>
      <w:r>
        <w:rPr>
          <w:rFonts w:hint="eastAsia"/>
          <w:color w:val="auto"/>
          <w:szCs w:val="24"/>
          <w:highlight w:val="none"/>
          <w:lang w:eastAsia="zh-CN"/>
        </w:rPr>
        <w:t>用地面积</w:t>
      </w:r>
      <w:r>
        <w:rPr>
          <w:color w:val="auto"/>
          <w:szCs w:val="24"/>
          <w:highlight w:val="none"/>
          <w:lang w:eastAsia="zh-CN"/>
        </w:rPr>
        <w:t>310亩（206658.98平方米），设置床位950张。总建筑面积为164900平方米，其中包括地上建筑面积为112367平方米，地下建筑面积为52533平方米（含计容医疗功能用房24533平方米）。建设内容包括门急诊楼、医技综合楼、1#住院综合楼、2#住院综合楼、行政综合楼、后勤综合楼、感染疾病楼、垃圾站及污水处理站、制氧站等工程，具体情况如下（实际以施工图纸为准）：</w:t>
      </w:r>
    </w:p>
    <w:p>
      <w:pPr>
        <w:spacing w:line="360" w:lineRule="auto"/>
        <w:ind w:firstLine="720" w:firstLineChars="300"/>
        <w:jc w:val="both"/>
        <w:rPr>
          <w:color w:val="auto"/>
          <w:szCs w:val="24"/>
          <w:highlight w:val="none"/>
          <w:lang w:eastAsia="zh-CN"/>
        </w:rPr>
      </w:pPr>
      <w:r>
        <w:rPr>
          <w:rFonts w:hint="eastAsia"/>
          <w:color w:val="auto"/>
          <w:szCs w:val="24"/>
          <w:highlight w:val="none"/>
          <w:lang w:eastAsia="zh-CN"/>
        </w:rPr>
        <w:t>（</w:t>
      </w:r>
      <w:r>
        <w:rPr>
          <w:color w:val="auto"/>
          <w:szCs w:val="24"/>
          <w:highlight w:val="none"/>
          <w:lang w:eastAsia="zh-CN"/>
        </w:rPr>
        <w:t xml:space="preserve">1）门急诊楼地上建筑面积29010.35平方米，地下2层，地上4层，檐口高度19.2米，建筑物高度为 20.7米，框架结构，预制钢筋混凝土管桩基础； </w:t>
      </w:r>
    </w:p>
    <w:p>
      <w:pPr>
        <w:spacing w:line="360" w:lineRule="auto"/>
        <w:ind w:firstLine="720" w:firstLineChars="300"/>
        <w:jc w:val="both"/>
        <w:rPr>
          <w:color w:val="auto"/>
          <w:szCs w:val="24"/>
          <w:highlight w:val="none"/>
          <w:lang w:eastAsia="zh-CN"/>
        </w:rPr>
      </w:pPr>
      <w:r>
        <w:rPr>
          <w:color w:val="auto"/>
          <w:szCs w:val="24"/>
          <w:highlight w:val="none"/>
          <w:lang w:eastAsia="zh-CN"/>
        </w:rPr>
        <w:t xml:space="preserve">（2）医技综合楼地上建筑面积26561.02平方米，地下2层，地上4层，檐口高度19.2米，建筑物高度为 24 米，框架结构；预制钢筋混凝土管桩基础； </w:t>
      </w:r>
    </w:p>
    <w:p>
      <w:pPr>
        <w:spacing w:line="360" w:lineRule="auto"/>
        <w:ind w:firstLine="720" w:firstLineChars="300"/>
        <w:jc w:val="both"/>
        <w:rPr>
          <w:color w:val="auto"/>
          <w:szCs w:val="24"/>
          <w:highlight w:val="none"/>
          <w:lang w:eastAsia="zh-CN"/>
        </w:rPr>
      </w:pPr>
      <w:r>
        <w:rPr>
          <w:color w:val="auto"/>
          <w:szCs w:val="24"/>
          <w:highlight w:val="none"/>
          <w:lang w:eastAsia="zh-CN"/>
        </w:rPr>
        <w:t xml:space="preserve">（3）1#住院综合楼地上建筑面积20159.99平方米，地下2层，地上12层，檐口高度49.6米，建筑物高度为56.4米框架剪力墙结构；预制钢筋混凝土管桩基础； </w:t>
      </w:r>
    </w:p>
    <w:p>
      <w:pPr>
        <w:spacing w:line="360" w:lineRule="auto"/>
        <w:ind w:firstLine="720" w:firstLineChars="300"/>
        <w:jc w:val="both"/>
        <w:rPr>
          <w:color w:val="auto"/>
          <w:szCs w:val="24"/>
          <w:highlight w:val="none"/>
          <w:lang w:eastAsia="zh-CN"/>
        </w:rPr>
      </w:pPr>
      <w:r>
        <w:rPr>
          <w:color w:val="auto"/>
          <w:szCs w:val="24"/>
          <w:highlight w:val="none"/>
          <w:lang w:eastAsia="zh-CN"/>
        </w:rPr>
        <w:t>（4）2#住院综合楼地上建筑面积20235.23平方米，地下2层，地上12层，檐口高度49.6米，建筑物高度为56.4米，框架剪力墙结构；预制钢筋混凝土管桩基础；</w:t>
      </w:r>
    </w:p>
    <w:p>
      <w:pPr>
        <w:spacing w:line="360" w:lineRule="auto"/>
        <w:ind w:firstLine="720" w:firstLineChars="300"/>
        <w:jc w:val="both"/>
        <w:rPr>
          <w:color w:val="auto"/>
          <w:szCs w:val="24"/>
          <w:highlight w:val="none"/>
          <w:lang w:eastAsia="zh-CN"/>
        </w:rPr>
      </w:pPr>
      <w:r>
        <w:rPr>
          <w:rFonts w:hint="eastAsia"/>
          <w:color w:val="auto"/>
          <w:szCs w:val="24"/>
          <w:highlight w:val="none"/>
          <w:lang w:eastAsia="zh-CN"/>
        </w:rPr>
        <w:t>（</w:t>
      </w:r>
      <w:r>
        <w:rPr>
          <w:color w:val="auto"/>
          <w:szCs w:val="24"/>
          <w:highlight w:val="none"/>
          <w:lang w:eastAsia="zh-CN"/>
        </w:rPr>
        <w:t xml:space="preserve">5）行政综合楼地上建筑面积7014.14平方米，地下1层，地上9层，檐口高度37.3米，建筑物高度为44.3 米，框架结构；预制钢筋混凝土管桩基础； </w:t>
      </w:r>
    </w:p>
    <w:p>
      <w:pPr>
        <w:spacing w:line="360" w:lineRule="auto"/>
        <w:ind w:firstLine="720" w:firstLineChars="300"/>
        <w:jc w:val="both"/>
        <w:rPr>
          <w:color w:val="auto"/>
          <w:szCs w:val="24"/>
          <w:highlight w:val="none"/>
          <w:lang w:eastAsia="zh-CN"/>
        </w:rPr>
      </w:pPr>
      <w:r>
        <w:rPr>
          <w:color w:val="auto"/>
          <w:szCs w:val="24"/>
          <w:highlight w:val="none"/>
          <w:lang w:eastAsia="zh-CN"/>
        </w:rPr>
        <w:t>（6）后勤综合楼地上建筑面积4395.77平方米，地下1层，地上3层，檐口高度17.9米，建筑物高度为21.5米，框架结构；预制钢筋混凝土管桩基础；</w:t>
      </w:r>
    </w:p>
    <w:p>
      <w:pPr>
        <w:spacing w:line="360" w:lineRule="auto"/>
        <w:ind w:firstLine="720" w:firstLineChars="300"/>
        <w:jc w:val="both"/>
        <w:rPr>
          <w:color w:val="auto"/>
          <w:szCs w:val="24"/>
          <w:highlight w:val="none"/>
          <w:lang w:eastAsia="zh-CN"/>
        </w:rPr>
      </w:pPr>
      <w:r>
        <w:rPr>
          <w:rFonts w:hint="eastAsia"/>
          <w:color w:val="auto"/>
          <w:szCs w:val="24"/>
          <w:highlight w:val="none"/>
          <w:lang w:eastAsia="zh-CN"/>
        </w:rPr>
        <w:t>（</w:t>
      </w:r>
      <w:r>
        <w:rPr>
          <w:color w:val="auto"/>
          <w:szCs w:val="24"/>
          <w:highlight w:val="none"/>
          <w:lang w:eastAsia="zh-CN"/>
        </w:rPr>
        <w:t xml:space="preserve">7）感染疾病楼建筑面积3930.33平方米，建筑层数3层，檐口高度12.6米，建筑物高度为15.5米，框架结构；预制钢筋混凝土管桩基础，独立式桩承台； </w:t>
      </w:r>
    </w:p>
    <w:p>
      <w:pPr>
        <w:spacing w:line="360" w:lineRule="auto"/>
        <w:ind w:firstLine="720" w:firstLineChars="300"/>
        <w:jc w:val="both"/>
        <w:rPr>
          <w:color w:val="auto"/>
          <w:szCs w:val="24"/>
          <w:highlight w:val="none"/>
          <w:lang w:eastAsia="zh-CN"/>
        </w:rPr>
      </w:pPr>
      <w:r>
        <w:rPr>
          <w:color w:val="auto"/>
          <w:szCs w:val="24"/>
          <w:highlight w:val="none"/>
          <w:lang w:eastAsia="zh-CN"/>
        </w:rPr>
        <w:t xml:space="preserve">（8）垃圾站及污水处理站建筑面积289.22平方米,建筑层数1层，檐口高度4.7米，建筑物高度为5.6米，框架结构；天然独立基础； </w:t>
      </w:r>
    </w:p>
    <w:p>
      <w:pPr>
        <w:spacing w:line="360" w:lineRule="auto"/>
        <w:ind w:firstLine="720" w:firstLineChars="300"/>
        <w:jc w:val="both"/>
        <w:rPr>
          <w:color w:val="auto"/>
          <w:szCs w:val="24"/>
          <w:highlight w:val="none"/>
          <w:lang w:eastAsia="zh-CN"/>
        </w:rPr>
      </w:pPr>
      <w:r>
        <w:rPr>
          <w:rFonts w:hint="eastAsia"/>
          <w:color w:val="auto"/>
          <w:szCs w:val="24"/>
          <w:highlight w:val="none"/>
          <w:lang w:eastAsia="zh-CN"/>
        </w:rPr>
        <w:t>（</w:t>
      </w:r>
      <w:r>
        <w:rPr>
          <w:color w:val="auto"/>
          <w:szCs w:val="24"/>
          <w:highlight w:val="none"/>
          <w:lang w:eastAsia="zh-CN"/>
        </w:rPr>
        <w:t>9）制氧站建筑面积525平方米,建筑层数1层，檐口高度5.3米，建筑物高度为6.2米，框架结构；预制钢筋混凝土管桩基础，独立式桩承台。</w:t>
      </w:r>
    </w:p>
    <w:p>
      <w:pPr>
        <w:spacing w:line="360" w:lineRule="auto"/>
        <w:ind w:firstLine="720" w:firstLineChars="300"/>
        <w:jc w:val="both"/>
        <w:rPr>
          <w:bCs/>
          <w:color w:val="auto"/>
          <w:szCs w:val="24"/>
          <w:highlight w:val="none"/>
        </w:rPr>
      </w:pPr>
      <w:r>
        <w:rPr>
          <w:rFonts w:hint="eastAsia"/>
          <w:bCs/>
          <w:color w:val="auto"/>
          <w:szCs w:val="24"/>
          <w:highlight w:val="none"/>
        </w:rPr>
        <w:t>总平面图图如下：</w:t>
      </w:r>
    </w:p>
    <w:p>
      <w:pPr>
        <w:spacing w:line="360" w:lineRule="auto"/>
        <w:ind w:firstLine="720" w:firstLineChars="300"/>
        <w:jc w:val="center"/>
        <w:rPr>
          <w:color w:val="auto"/>
          <w:szCs w:val="21"/>
          <w:highlight w:val="none"/>
          <w:lang w:eastAsia="zh-CN"/>
        </w:rPr>
      </w:pPr>
      <w:r>
        <w:rPr>
          <w:color w:val="auto"/>
          <w:szCs w:val="21"/>
          <w:highlight w:val="none"/>
          <w:lang w:eastAsia="zh-CN"/>
        </w:rPr>
        <w:drawing>
          <wp:inline distT="0" distB="0" distL="0" distR="0">
            <wp:extent cx="4641850" cy="2838450"/>
            <wp:effectExtent l="0" t="0" r="6350" b="0"/>
            <wp:docPr id="7" name="图片 7" descr="微信截图_2020121301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微信截图_2020121301144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4641850" cy="2838450"/>
                    </a:xfrm>
                    <a:prstGeom prst="rect">
                      <a:avLst/>
                    </a:prstGeom>
                    <a:noFill/>
                    <a:ln>
                      <a:noFill/>
                    </a:ln>
                  </pic:spPr>
                </pic:pic>
              </a:graphicData>
            </a:graphic>
          </wp:inline>
        </w:drawing>
      </w:r>
    </w:p>
    <w:p>
      <w:pPr>
        <w:pStyle w:val="34"/>
        <w:ind w:firstLine="720" w:firstLineChars="300"/>
        <w:jc w:val="both"/>
        <w:rPr>
          <w:bCs/>
          <w:color w:val="auto"/>
          <w:szCs w:val="21"/>
          <w:highlight w:val="none"/>
        </w:rPr>
      </w:pPr>
      <w:r>
        <w:rPr>
          <w:rFonts w:hint="eastAsia"/>
          <w:bCs/>
          <w:color w:val="auto"/>
          <w:szCs w:val="21"/>
          <w:highlight w:val="none"/>
        </w:rPr>
        <w:t>效果图如下：</w:t>
      </w:r>
    </w:p>
    <w:p>
      <w:pPr>
        <w:spacing w:line="360" w:lineRule="auto"/>
        <w:ind w:firstLine="720" w:firstLineChars="300"/>
        <w:jc w:val="center"/>
        <w:rPr>
          <w:color w:val="auto"/>
          <w:szCs w:val="21"/>
          <w:highlight w:val="none"/>
          <w:lang w:eastAsia="zh-CN"/>
        </w:rPr>
      </w:pPr>
      <w:r>
        <w:rPr>
          <w:color w:val="auto"/>
          <w:szCs w:val="21"/>
          <w:highlight w:val="none"/>
          <w:lang w:eastAsia="zh-CN"/>
        </w:rPr>
        <w:drawing>
          <wp:inline distT="0" distB="0" distL="0" distR="0">
            <wp:extent cx="5181600" cy="3346450"/>
            <wp:effectExtent l="0" t="0" r="0" b="6350"/>
            <wp:docPr id="6" name="图片 6" descr="新建 Microsoft PowerPoint 演示文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新建 Microsoft PowerPoint 演示文稿"/>
                    <pic:cNvPicPr>
                      <a:picLocks noChangeAspect="1" noChangeArrowheads="1"/>
                    </pic:cNvPicPr>
                  </pic:nvPicPr>
                  <pic:blipFill>
                    <a:blip r:embed="rId9">
                      <a:extLst>
                        <a:ext uri="{28A0092B-C50C-407E-A947-70E740481C1C}">
                          <a14:useLocalDpi xmlns:a14="http://schemas.microsoft.com/office/drawing/2010/main" val="0"/>
                        </a:ext>
                      </a:extLst>
                    </a:blip>
                    <a:srcRect l="8710" r="7115" b="3517"/>
                    <a:stretch>
                      <a:fillRect/>
                    </a:stretch>
                  </pic:blipFill>
                  <pic:spPr>
                    <a:xfrm>
                      <a:off x="0" y="0"/>
                      <a:ext cx="5181600" cy="3346450"/>
                    </a:xfrm>
                    <a:prstGeom prst="rect">
                      <a:avLst/>
                    </a:prstGeom>
                    <a:noFill/>
                    <a:ln>
                      <a:noFill/>
                    </a:ln>
                  </pic:spPr>
                </pic:pic>
              </a:graphicData>
            </a:graphic>
          </wp:inline>
        </w:drawing>
      </w:r>
    </w:p>
    <w:p>
      <w:pPr>
        <w:spacing w:line="360" w:lineRule="auto"/>
        <w:ind w:firstLine="720" w:firstLineChars="300"/>
        <w:jc w:val="center"/>
        <w:rPr>
          <w:color w:val="auto"/>
          <w:szCs w:val="24"/>
          <w:highlight w:val="none"/>
        </w:rPr>
      </w:pPr>
      <w:r>
        <w:rPr>
          <w:color w:val="auto"/>
          <w:szCs w:val="21"/>
          <w:highlight w:val="none"/>
          <w:lang w:eastAsia="zh-CN"/>
        </w:rPr>
        <w:drawing>
          <wp:inline distT="0" distB="0" distL="0" distR="0">
            <wp:extent cx="5181600" cy="3448050"/>
            <wp:effectExtent l="0" t="0" r="0" b="0"/>
            <wp:docPr id="5" name="图片 5" descr="微信图片_2020050210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微信图片_2020050210414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181600" cy="3448050"/>
                    </a:xfrm>
                    <a:prstGeom prst="rect">
                      <a:avLst/>
                    </a:prstGeom>
                    <a:noFill/>
                    <a:ln>
                      <a:noFill/>
                    </a:ln>
                  </pic:spPr>
                </pic:pic>
              </a:graphicData>
            </a:graphic>
          </wp:inline>
        </w:drawing>
      </w:r>
    </w:p>
    <w:p>
      <w:pPr>
        <w:pStyle w:val="5"/>
        <w:rPr>
          <w:color w:val="auto"/>
          <w:highlight w:val="none"/>
        </w:rPr>
      </w:pPr>
      <w:r>
        <w:rPr>
          <w:rFonts w:hint="eastAsia"/>
          <w:color w:val="auto"/>
          <w:highlight w:val="none"/>
        </w:rPr>
        <w:t>现场情况</w:t>
      </w:r>
    </w:p>
    <w:p>
      <w:pPr>
        <w:pStyle w:val="173"/>
        <w:tabs>
          <w:tab w:val="left" w:pos="1041"/>
        </w:tabs>
        <w:spacing w:before="0" w:line="300" w:lineRule="auto"/>
        <w:ind w:left="1033" w:right="29" w:rightChars="12" w:firstLine="0"/>
        <w:rPr>
          <w:color w:val="auto"/>
          <w:sz w:val="24"/>
          <w:highlight w:val="none"/>
        </w:rPr>
      </w:pPr>
      <w:r>
        <w:rPr>
          <w:rFonts w:hint="eastAsia"/>
          <w:bCs/>
          <w:color w:val="auto"/>
          <w:sz w:val="24"/>
          <w:highlight w:val="none"/>
          <w:lang w:bidi="zh-CN"/>
        </w:rPr>
        <w:t>本项目采用精装验收精装交付的形式。现场不提供办公和住宿场地场所，总承包单位已搭设好临时办公及住宿场所，承包人自行申请并解决，请投标人在投标报价时将相关费用充分考虑在内。总承包提供每层一个DN32的施工用水接驳点，提供门诊楼及医技楼每1层设1台二级箱，行政综合楼、后勤楼及住院楼每2层设置1台二级箱供应临电接驳，施工期间产生的临水临电费用承包人负责。</w:t>
      </w:r>
    </w:p>
    <w:p>
      <w:pPr>
        <w:pStyle w:val="5"/>
        <w:rPr>
          <w:color w:val="auto"/>
          <w:highlight w:val="none"/>
        </w:rPr>
      </w:pPr>
      <w:r>
        <w:rPr>
          <w:rFonts w:hint="eastAsia"/>
          <w:color w:val="auto"/>
          <w:highlight w:val="none"/>
        </w:rPr>
        <w:t>主要参建单位</w:t>
      </w:r>
    </w:p>
    <w:p>
      <w:pPr>
        <w:pStyle w:val="173"/>
        <w:tabs>
          <w:tab w:val="left" w:pos="1041"/>
        </w:tabs>
        <w:spacing w:before="0" w:line="300" w:lineRule="auto"/>
        <w:ind w:left="1066" w:right="29" w:rightChars="12" w:firstLine="0"/>
        <w:rPr>
          <w:bCs/>
          <w:color w:val="auto"/>
          <w:sz w:val="24"/>
          <w:highlight w:val="none"/>
          <w:lang w:bidi="zh-CN"/>
        </w:rPr>
      </w:pPr>
      <w:r>
        <w:rPr>
          <w:rFonts w:hint="eastAsia"/>
          <w:bCs/>
          <w:color w:val="auto"/>
          <w:sz w:val="24"/>
          <w:highlight w:val="none"/>
          <w:lang w:bidi="zh-CN"/>
        </w:rPr>
        <w:t>建设单位：湛江市代建项目管理局、华润置地(湛江)有限公司(代建执行单位)</w:t>
      </w:r>
    </w:p>
    <w:p>
      <w:pPr>
        <w:pStyle w:val="173"/>
        <w:tabs>
          <w:tab w:val="left" w:pos="1041"/>
        </w:tabs>
        <w:spacing w:before="0" w:line="300" w:lineRule="auto"/>
        <w:ind w:left="1033" w:right="29" w:rightChars="12" w:firstLine="0"/>
        <w:rPr>
          <w:bCs/>
          <w:color w:val="auto"/>
          <w:sz w:val="24"/>
          <w:highlight w:val="none"/>
          <w:lang w:bidi="zh-CN"/>
        </w:rPr>
      </w:pPr>
      <w:r>
        <w:rPr>
          <w:rFonts w:hint="eastAsia"/>
          <w:bCs/>
          <w:color w:val="auto"/>
          <w:sz w:val="24"/>
          <w:highlight w:val="none"/>
          <w:lang w:bidi="zh-CN"/>
        </w:rPr>
        <w:t>设计单位：中南建筑设计院股份有限公司</w:t>
      </w:r>
    </w:p>
    <w:p>
      <w:pPr>
        <w:pStyle w:val="173"/>
        <w:tabs>
          <w:tab w:val="left" w:pos="1041"/>
        </w:tabs>
        <w:spacing w:before="0" w:line="300" w:lineRule="auto"/>
        <w:ind w:left="1033" w:right="29" w:rightChars="12" w:firstLine="0"/>
        <w:rPr>
          <w:bCs/>
          <w:color w:val="auto"/>
          <w:sz w:val="24"/>
          <w:highlight w:val="none"/>
          <w:lang w:bidi="zh-CN"/>
        </w:rPr>
      </w:pPr>
      <w:r>
        <w:rPr>
          <w:rFonts w:hint="eastAsia"/>
          <w:bCs/>
          <w:color w:val="auto"/>
          <w:sz w:val="24"/>
          <w:highlight w:val="none"/>
          <w:lang w:bidi="zh-CN"/>
        </w:rPr>
        <w:t>总承包单位：中建三局集团有限公司</w:t>
      </w:r>
    </w:p>
    <w:p>
      <w:pPr>
        <w:pStyle w:val="173"/>
        <w:tabs>
          <w:tab w:val="left" w:pos="1041"/>
        </w:tabs>
        <w:spacing w:before="0" w:line="300" w:lineRule="auto"/>
        <w:ind w:left="1033" w:right="29" w:rightChars="12" w:firstLine="0"/>
        <w:rPr>
          <w:bCs/>
          <w:color w:val="auto"/>
          <w:sz w:val="24"/>
          <w:highlight w:val="none"/>
          <w:lang w:bidi="zh-CN"/>
        </w:rPr>
      </w:pPr>
      <w:r>
        <w:rPr>
          <w:rFonts w:hint="eastAsia"/>
          <w:bCs/>
          <w:color w:val="auto"/>
          <w:sz w:val="24"/>
          <w:highlight w:val="none"/>
          <w:lang w:bidi="zh-CN"/>
        </w:rPr>
        <w:t>监理单位：广东海外建设咨询有限公司</w:t>
      </w:r>
    </w:p>
    <w:p>
      <w:pPr>
        <w:pStyle w:val="4"/>
        <w:rPr>
          <w:rFonts w:asciiTheme="minorEastAsia" w:hAnsiTheme="minorEastAsia" w:eastAsiaTheme="minorEastAsia"/>
          <w:color w:val="auto"/>
          <w:highlight w:val="none"/>
        </w:rPr>
      </w:pPr>
      <w:r>
        <w:rPr>
          <w:rFonts w:hint="eastAsia"/>
          <w:color w:val="auto"/>
          <w:highlight w:val="none"/>
        </w:rPr>
        <w:t xml:space="preserve"> </w:t>
      </w:r>
      <w:bookmarkStart w:id="2" w:name="_Toc122371802"/>
      <w:r>
        <w:rPr>
          <w:rFonts w:hint="eastAsia" w:asciiTheme="minorEastAsia" w:hAnsiTheme="minorEastAsia" w:eastAsiaTheme="minorEastAsia"/>
          <w:color w:val="auto"/>
          <w:highlight w:val="none"/>
        </w:rPr>
        <w:t>工程内容</w:t>
      </w:r>
      <w:bookmarkEnd w:id="2"/>
    </w:p>
    <w:p>
      <w:pPr>
        <w:ind w:firstLine="480" w:firstLineChars="200"/>
        <w:rPr>
          <w:color w:val="auto"/>
          <w:highlight w:val="none"/>
          <w:lang w:eastAsia="zh-CN"/>
        </w:rPr>
      </w:pPr>
      <w:r>
        <w:rPr>
          <w:rFonts w:hint="eastAsia"/>
          <w:color w:val="auto"/>
          <w:szCs w:val="24"/>
          <w:highlight w:val="none"/>
          <w:lang w:eastAsia="zh-CN"/>
        </w:rPr>
        <w:t>一期</w:t>
      </w:r>
      <w:r>
        <w:rPr>
          <w:color w:val="auto"/>
          <w:szCs w:val="24"/>
          <w:highlight w:val="none"/>
          <w:lang w:eastAsia="zh-CN"/>
        </w:rPr>
        <w:t>建设内容包括门急诊楼、医技综合楼、1#住院综合楼、2#住院综合楼、行政综合楼、后勤综合楼、感染疾病楼、垃圾站及污水处理站、制氧站等工程</w:t>
      </w:r>
    </w:p>
    <w:p>
      <w:pPr>
        <w:ind w:left="987" w:firstLine="569"/>
        <w:jc w:val="both"/>
        <w:rPr>
          <w:rFonts w:ascii="Times New Roman" w:hAnsi="Times New Roman" w:cs="Times New Roman"/>
          <w:color w:val="auto"/>
          <w:spacing w:val="-5"/>
          <w:szCs w:val="24"/>
          <w:highlight w:val="none"/>
          <w:u w:val="single"/>
          <w:lang w:eastAsia="zh-CN"/>
        </w:rPr>
      </w:pPr>
      <w:r>
        <w:rPr>
          <w:color w:val="auto"/>
          <w:szCs w:val="21"/>
          <w:highlight w:val="none"/>
          <w:lang w:eastAsia="zh-CN"/>
        </w:rPr>
        <w:drawing>
          <wp:inline distT="0" distB="0" distL="0" distR="0">
            <wp:extent cx="5181600" cy="3346450"/>
            <wp:effectExtent l="0" t="0" r="0" b="6350"/>
            <wp:docPr id="8" name="图片 8" descr="新建 Microsoft PowerPoint 演示文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新建 Microsoft PowerPoint 演示文稿"/>
                    <pic:cNvPicPr>
                      <a:picLocks noChangeAspect="1" noChangeArrowheads="1"/>
                    </pic:cNvPicPr>
                  </pic:nvPicPr>
                  <pic:blipFill>
                    <a:blip r:embed="rId9">
                      <a:extLst>
                        <a:ext uri="{28A0092B-C50C-407E-A947-70E740481C1C}">
                          <a14:useLocalDpi xmlns:a14="http://schemas.microsoft.com/office/drawing/2010/main" val="0"/>
                        </a:ext>
                      </a:extLst>
                    </a:blip>
                    <a:srcRect l="8710" r="7115" b="3517"/>
                    <a:stretch>
                      <a:fillRect/>
                    </a:stretch>
                  </pic:blipFill>
                  <pic:spPr>
                    <a:xfrm>
                      <a:off x="0" y="0"/>
                      <a:ext cx="5181600" cy="3346450"/>
                    </a:xfrm>
                    <a:prstGeom prst="rect">
                      <a:avLst/>
                    </a:prstGeom>
                    <a:noFill/>
                    <a:ln>
                      <a:noFill/>
                    </a:ln>
                  </pic:spPr>
                </pic:pic>
              </a:graphicData>
            </a:graphic>
          </wp:inline>
        </w:drawing>
      </w:r>
    </w:p>
    <w:p>
      <w:pPr>
        <w:ind w:left="987" w:firstLine="569"/>
        <w:jc w:val="both"/>
        <w:rPr>
          <w:rFonts w:ascii="Times New Roman" w:hAnsi="Times New Roman" w:cs="Times New Roman"/>
          <w:color w:val="auto"/>
          <w:spacing w:val="-5"/>
          <w:szCs w:val="24"/>
          <w:highlight w:val="none"/>
          <w:u w:val="single"/>
          <w:lang w:eastAsia="zh-CN"/>
        </w:rPr>
      </w:pPr>
      <w:r>
        <w:rPr>
          <w:rFonts w:hint="eastAsia" w:ascii="Times New Roman" w:hAnsi="Times New Roman" w:cs="Times New Roman"/>
          <w:color w:val="auto"/>
          <w:spacing w:val="-5"/>
          <w:szCs w:val="24"/>
          <w:highlight w:val="none"/>
          <w:u w:val="single"/>
          <w:lang w:eastAsia="zh-CN"/>
        </w:rPr>
        <w:t>。</w:t>
      </w:r>
    </w:p>
    <w:p>
      <w:pPr>
        <w:pStyle w:val="4"/>
        <w:rPr>
          <w:color w:val="auto"/>
          <w:highlight w:val="none"/>
        </w:rPr>
      </w:pPr>
      <w:bookmarkStart w:id="3" w:name="_Toc122371803"/>
      <w:r>
        <w:rPr>
          <w:rFonts w:hint="eastAsia"/>
          <w:color w:val="auto"/>
          <w:highlight w:val="none"/>
        </w:rPr>
        <w:t>工程重难点</w:t>
      </w:r>
      <w:bookmarkEnd w:id="3"/>
    </w:p>
    <w:p>
      <w:pPr>
        <w:spacing w:line="360" w:lineRule="auto"/>
        <w:ind w:firstLine="720" w:firstLineChars="300"/>
        <w:jc w:val="both"/>
        <w:rPr>
          <w:color w:val="auto"/>
          <w:szCs w:val="24"/>
          <w:highlight w:val="none"/>
          <w:lang w:eastAsia="zh-CN"/>
        </w:rPr>
      </w:pPr>
      <w:r>
        <w:rPr>
          <w:rFonts w:hint="eastAsia"/>
          <w:color w:val="auto"/>
          <w:szCs w:val="24"/>
          <w:highlight w:val="none"/>
          <w:lang w:eastAsia="zh-CN"/>
        </w:rPr>
        <w:t>（1）因本工程质量目标和安全文明生产目标高，故对投标人的施工管理水平、施工技术水平及综合协调管理能力提出了较高要求，投标人应针对本工程制定创优规划措施，建立健全施工组织管理机构和技术管理体系、质量保证体系、安全保证体系，以可靠的施工方法与工艺、优质的材料设备、优良的工序确保本工程质量目标的实现。并应督促各专业指定承包单位加强质量创优管理，共同努力实现工程质量创优目标。</w:t>
      </w:r>
    </w:p>
    <w:p>
      <w:pPr>
        <w:spacing w:line="360" w:lineRule="auto"/>
        <w:ind w:firstLine="720" w:firstLineChars="300"/>
        <w:jc w:val="both"/>
        <w:rPr>
          <w:color w:val="auto"/>
          <w:szCs w:val="24"/>
          <w:highlight w:val="none"/>
          <w:lang w:eastAsia="zh-CN"/>
        </w:rPr>
      </w:pPr>
      <w:r>
        <w:rPr>
          <w:rFonts w:hint="eastAsia"/>
          <w:color w:val="auto"/>
          <w:szCs w:val="24"/>
          <w:highlight w:val="none"/>
          <w:lang w:eastAsia="zh-CN"/>
        </w:rPr>
        <w:t>（2）本工程任务重、工期紧，承包方应根据招标人的工期要求制定进度计划，采取严密的计划管理措施，综合协调各专业指定承包单位的施工进度计划，组织好各专业各单位之间的流水施工和穿插作业，确保实现节点工期和总工期目标。在进度保证措施方面，应从环境、材料（特别是材料周转、外加工等）、机械设备、劳动力、施工方法上重点提出。</w:t>
      </w:r>
    </w:p>
    <w:p>
      <w:pPr>
        <w:spacing w:line="360" w:lineRule="auto"/>
        <w:ind w:firstLine="720" w:firstLineChars="300"/>
        <w:jc w:val="both"/>
        <w:rPr>
          <w:color w:val="auto"/>
          <w:szCs w:val="24"/>
          <w:highlight w:val="none"/>
          <w:lang w:eastAsia="zh-CN"/>
        </w:rPr>
      </w:pPr>
      <w:r>
        <w:rPr>
          <w:rFonts w:hint="eastAsia"/>
          <w:color w:val="auto"/>
          <w:szCs w:val="24"/>
          <w:highlight w:val="none"/>
          <w:lang w:eastAsia="zh-CN"/>
        </w:rPr>
        <w:t>（3）本工程属于政府工程，工程进度款等资金批复下拨流程复杂、环节较多，不可因工程进度款支付滞后而导致工程现场工作推动缓慢，资金压力也是本工程一大重点，投标人应充分考虑准备。</w:t>
      </w:r>
    </w:p>
    <w:p>
      <w:pPr>
        <w:spacing w:line="360" w:lineRule="auto"/>
        <w:ind w:firstLine="720" w:firstLineChars="300"/>
        <w:jc w:val="both"/>
        <w:rPr>
          <w:color w:val="auto"/>
          <w:szCs w:val="24"/>
          <w:highlight w:val="none"/>
          <w:lang w:eastAsia="zh-CN"/>
        </w:rPr>
      </w:pPr>
      <w:r>
        <w:rPr>
          <w:rFonts w:hint="eastAsia"/>
          <w:color w:val="auto"/>
          <w:szCs w:val="24"/>
          <w:highlight w:val="none"/>
          <w:lang w:eastAsia="zh-CN"/>
        </w:rPr>
        <w:t>（4）本工程为医疗卫生建筑，技术复杂和功能需求多，充分做好施工准备、合理安排好施工顺序及强化技术协调和管理是保障医疗卫生建筑功能实现的重点。</w:t>
      </w:r>
    </w:p>
    <w:p>
      <w:pPr>
        <w:spacing w:line="360" w:lineRule="auto"/>
        <w:ind w:firstLine="720" w:firstLineChars="300"/>
        <w:jc w:val="both"/>
        <w:rPr>
          <w:color w:val="auto"/>
          <w:szCs w:val="24"/>
          <w:highlight w:val="none"/>
          <w:lang w:eastAsia="zh-CN"/>
        </w:rPr>
      </w:pPr>
      <w:r>
        <w:rPr>
          <w:rFonts w:hint="eastAsia"/>
          <w:color w:val="auto"/>
          <w:szCs w:val="24"/>
          <w:highlight w:val="none"/>
          <w:lang w:eastAsia="zh-CN"/>
        </w:rPr>
        <w:t>（5）本项目交叉作业多、作业点多、用电部位多，场地内的交通物流状况复杂，水平运输过程中如何确保人员、机具、施工用电等安全是施工过程中安全管理的重难点；施工中各工种间的交叉作业、高空作业较多，如何确保施工中对高空施工作业的安全是施工过程中安全管理的重难点；投标人应针对本标段的现场情况依据各项安全生产法规、标准规范的具体要求，制定切实可行、又可操作的安全控制管理措施，确保施工过程中的人员、设备和消防安全；并应督促各专业指定承包单位加强安全生产管理，建立有效的安全生产保障体系，加强各项安全生产管理工作，保证安全设施措施到位，确保不发生重大安全事故，争创安全文明双优工地。</w:t>
      </w:r>
    </w:p>
    <w:p>
      <w:pPr>
        <w:spacing w:line="360" w:lineRule="auto"/>
        <w:ind w:firstLine="720" w:firstLineChars="300"/>
        <w:jc w:val="both"/>
        <w:rPr>
          <w:color w:val="auto"/>
          <w:szCs w:val="24"/>
          <w:highlight w:val="none"/>
          <w:lang w:eastAsia="zh-CN"/>
        </w:rPr>
      </w:pPr>
      <w:r>
        <w:rPr>
          <w:rFonts w:hint="eastAsia"/>
          <w:color w:val="auto"/>
          <w:szCs w:val="24"/>
          <w:highlight w:val="none"/>
          <w:lang w:eastAsia="zh-CN"/>
        </w:rPr>
        <w:t>（6）本工程为医疗卫生建筑，技术复杂和功能需求多，交叉作业和相互干扰多，做好与其他专业承包商的配合是施工和管理的重点又是难点（如与总承包、洁净工程、医用气体、防护、物流等专业施工的相互配合）。</w:t>
      </w:r>
    </w:p>
    <w:p>
      <w:pPr>
        <w:spacing w:line="360" w:lineRule="auto"/>
        <w:ind w:firstLine="720" w:firstLineChars="300"/>
        <w:jc w:val="both"/>
        <w:rPr>
          <w:color w:val="auto"/>
          <w:szCs w:val="24"/>
          <w:highlight w:val="none"/>
          <w:lang w:eastAsia="zh-CN"/>
        </w:rPr>
      </w:pPr>
      <w:r>
        <w:rPr>
          <w:rFonts w:hint="eastAsia"/>
          <w:color w:val="auto"/>
          <w:szCs w:val="24"/>
          <w:highlight w:val="none"/>
          <w:lang w:eastAsia="zh-CN"/>
        </w:rPr>
        <w:t>（</w:t>
      </w:r>
      <w:r>
        <w:rPr>
          <w:color w:val="auto"/>
          <w:szCs w:val="24"/>
          <w:highlight w:val="none"/>
          <w:lang w:eastAsia="zh-CN"/>
        </w:rPr>
        <w:t>7</w:t>
      </w:r>
      <w:r>
        <w:rPr>
          <w:rFonts w:hint="eastAsia"/>
          <w:color w:val="auto"/>
          <w:szCs w:val="24"/>
          <w:highlight w:val="none"/>
          <w:lang w:eastAsia="zh-CN"/>
        </w:rPr>
        <w:t>）本项目为医院工程，对建筑围护结构的气密、隔声、水密、防潮性能要求高，对各类管线与围护结构、装饰面层的间隙密封，对各类门窗的气密性和水密性等（比如手术部、ICU等部位）要求极高。</w:t>
      </w:r>
    </w:p>
    <w:p>
      <w:pPr>
        <w:ind w:left="985" w:firstLine="581"/>
        <w:rPr>
          <w:rFonts w:ascii="Times New Roman" w:hAnsi="Times New Roman" w:cs="Times New Roman"/>
          <w:color w:val="auto"/>
          <w:szCs w:val="24"/>
          <w:highlight w:val="none"/>
          <w:lang w:eastAsia="zh-CN"/>
        </w:rPr>
      </w:pPr>
    </w:p>
    <w:p>
      <w:pPr>
        <w:ind w:firstLine="484"/>
        <w:rPr>
          <w:rFonts w:ascii="Times New Roman" w:hAnsi="Times New Roman" w:cs="Times New Roman"/>
          <w:color w:val="auto"/>
          <w:sz w:val="20"/>
          <w:szCs w:val="24"/>
          <w:highlight w:val="none"/>
          <w:lang w:eastAsia="zh-CN"/>
        </w:rPr>
      </w:pPr>
      <w:r>
        <w:rPr>
          <w:rFonts w:ascii="Times New Roman" w:hAnsi="Times New Roman" w:cs="Times New Roman"/>
          <w:color w:val="auto"/>
          <w:sz w:val="20"/>
          <w:highlight w:val="none"/>
          <w:lang w:eastAsia="zh-CN"/>
        </w:rPr>
        <w:br w:type="page"/>
      </w:r>
    </w:p>
    <w:p>
      <w:pPr>
        <w:pStyle w:val="3"/>
        <w:rPr>
          <w:color w:val="auto"/>
          <w:highlight w:val="none"/>
        </w:rPr>
      </w:pPr>
      <w:bookmarkStart w:id="4" w:name="_Toc122371804"/>
      <w:r>
        <w:rPr>
          <w:rFonts w:hint="eastAsia"/>
          <w:color w:val="auto"/>
          <w:highlight w:val="none"/>
        </w:rPr>
        <w:t>工程目标</w:t>
      </w:r>
      <w:bookmarkEnd w:id="4"/>
    </w:p>
    <w:p>
      <w:pPr>
        <w:pStyle w:val="4"/>
        <w:rPr>
          <w:color w:val="auto"/>
          <w:highlight w:val="none"/>
        </w:rPr>
      </w:pPr>
      <w:bookmarkStart w:id="5" w:name="_Toc122371805"/>
      <w:r>
        <w:rPr>
          <w:rFonts w:hint="eastAsia"/>
          <w:color w:val="auto"/>
          <w:highlight w:val="none"/>
        </w:rPr>
        <w:t>工程质量目标</w:t>
      </w:r>
      <w:bookmarkEnd w:id="5"/>
    </w:p>
    <w:p>
      <w:pPr>
        <w:pStyle w:val="5"/>
        <w:rPr>
          <w:color w:val="auto"/>
          <w:highlight w:val="none"/>
        </w:rPr>
      </w:pPr>
      <w:r>
        <w:rPr>
          <w:rFonts w:hint="eastAsia"/>
          <w:color w:val="auto"/>
          <w:highlight w:val="none"/>
        </w:rPr>
        <w:t>符合现行国家、行业及地方质量验收规范。</w:t>
      </w:r>
    </w:p>
    <w:p>
      <w:pPr>
        <w:pStyle w:val="5"/>
        <w:rPr>
          <w:color w:val="auto"/>
          <w:highlight w:val="none"/>
        </w:rPr>
      </w:pPr>
      <w:r>
        <w:rPr>
          <w:rFonts w:hint="eastAsia"/>
          <w:color w:val="auto"/>
          <w:highlight w:val="none"/>
        </w:rPr>
        <w:t>符合华润置地工程高品质标准。</w:t>
      </w:r>
    </w:p>
    <w:p>
      <w:pPr>
        <w:pStyle w:val="5"/>
        <w:rPr>
          <w:color w:val="auto"/>
          <w:highlight w:val="none"/>
        </w:rPr>
      </w:pPr>
      <w:r>
        <w:rPr>
          <w:rFonts w:hint="eastAsia"/>
          <w:color w:val="auto"/>
          <w:highlight w:val="none"/>
        </w:rPr>
        <w:t>华润置地第三方检查过程及交付评估要求。</w:t>
      </w:r>
    </w:p>
    <w:p>
      <w:pPr>
        <w:pStyle w:val="176"/>
        <w:tabs>
          <w:tab w:val="left" w:pos="1045"/>
        </w:tabs>
        <w:spacing w:before="0" w:after="72" w:line="300" w:lineRule="auto"/>
        <w:ind w:left="1246" w:firstLine="480"/>
        <w:rPr>
          <w:rFonts w:ascii="Times New Roman" w:hAnsi="Times New Roman" w:cs="Times New Roman"/>
          <w:color w:val="auto"/>
          <w:sz w:val="28"/>
          <w:highlight w:val="none"/>
          <w:lang w:eastAsia="zh-CN"/>
        </w:rPr>
      </w:pPr>
      <w:r>
        <w:rPr>
          <w:rFonts w:hint="eastAsia" w:ascii="Times New Roman" w:hAnsi="Times New Roman"/>
          <w:color w:val="auto"/>
          <w:sz w:val="24"/>
          <w:highlight w:val="none"/>
          <w:lang w:eastAsia="zh-CN"/>
        </w:rPr>
        <w:t>华润置地项目第三方检查过程及交付评估：</w:t>
      </w:r>
      <w:r>
        <w:rPr>
          <w:rFonts w:hint="eastAsia" w:ascii="Times New Roman" w:hAnsi="Times New Roman" w:cs="Times New Roman"/>
          <w:color w:val="auto"/>
          <w:sz w:val="24"/>
          <w:szCs w:val="24"/>
          <w:highlight w:val="none"/>
          <w:lang w:eastAsia="zh-CN"/>
        </w:rPr>
        <w:t>根据《华润置地公建项目评估体系》、《华润置地公建项目第三方实测适量质量检查实施办法》、《华润置地公建项目第三方实测适量操作指引》的要求执行。</w:t>
      </w:r>
    </w:p>
    <w:p>
      <w:pPr>
        <w:pStyle w:val="5"/>
        <w:rPr>
          <w:color w:val="auto"/>
          <w:highlight w:val="none"/>
        </w:rPr>
      </w:pPr>
      <w:r>
        <w:rPr>
          <w:rFonts w:hint="eastAsia"/>
          <w:color w:val="auto"/>
          <w:highlight w:val="none"/>
        </w:rPr>
        <w:t>奖项</w:t>
      </w:r>
      <w:r>
        <w:rPr>
          <w:color w:val="auto"/>
          <w:highlight w:val="none"/>
        </w:rPr>
        <w:t>:</w:t>
      </w:r>
    </w:p>
    <w:p>
      <w:pPr>
        <w:pStyle w:val="34"/>
        <w:ind w:left="1066" w:right="29" w:rightChars="12" w:firstLine="480"/>
        <w:rPr>
          <w:rFonts w:ascii="Times New Roman" w:hAnsi="Times New Roman" w:cs="Times New Roman"/>
          <w:color w:val="auto"/>
          <w:highlight w:val="none"/>
        </w:rPr>
      </w:pPr>
      <w:r>
        <w:rPr>
          <w:rFonts w:hint="eastAsia" w:ascii="Times New Roman" w:hAnsi="Times New Roman" w:cs="Times New Roman"/>
          <w:bCs/>
          <w:color w:val="auto"/>
          <w:kern w:val="44"/>
          <w:highlight w:val="none"/>
          <w:lang w:bidi="zh-CN"/>
        </w:rPr>
        <w:t>配合总包获得省级优质工程奖，配合总包争创鲁班奖。</w:t>
      </w:r>
    </w:p>
    <w:p>
      <w:pPr>
        <w:pStyle w:val="5"/>
        <w:rPr>
          <w:color w:val="auto"/>
          <w:highlight w:val="none"/>
          <w:u w:val="single"/>
        </w:rPr>
      </w:pPr>
      <w:r>
        <w:rPr>
          <w:rFonts w:hint="eastAsia"/>
          <w:color w:val="auto"/>
          <w:highlight w:val="none"/>
        </w:rPr>
        <w:t>参照标准</w:t>
      </w:r>
      <w:r>
        <w:rPr>
          <w:color w:val="auto"/>
          <w:highlight w:val="none"/>
        </w:rPr>
        <w:t>:</w:t>
      </w:r>
      <w:r>
        <w:rPr>
          <w:rFonts w:hint="eastAsia"/>
          <w:color w:val="auto"/>
          <w:highlight w:val="none"/>
        </w:rPr>
        <w:t>最新的现行国家、行业和地方相关技术规范和标准、《华润置地工程高品质标准</w:t>
      </w:r>
      <w:r>
        <w:rPr>
          <w:color w:val="auto"/>
          <w:highlight w:val="none"/>
        </w:rPr>
        <w:t xml:space="preserve"> V2.0 </w:t>
      </w:r>
      <w:r>
        <w:rPr>
          <w:rFonts w:hint="eastAsia"/>
          <w:color w:val="auto"/>
          <w:highlight w:val="none"/>
        </w:rPr>
        <w:t>及局部修订》（附件）、《华润置地项目过程评估体系》（附件）</w:t>
      </w:r>
    </w:p>
    <w:p>
      <w:pPr>
        <w:pStyle w:val="4"/>
        <w:rPr>
          <w:color w:val="auto"/>
          <w:highlight w:val="none"/>
        </w:rPr>
      </w:pPr>
      <w:bookmarkStart w:id="6" w:name="_Toc122371806"/>
      <w:r>
        <w:rPr>
          <w:rFonts w:hint="eastAsia"/>
          <w:color w:val="auto"/>
          <w:highlight w:val="none"/>
        </w:rPr>
        <w:t>工程进度目标</w:t>
      </w:r>
      <w:bookmarkEnd w:id="6"/>
    </w:p>
    <w:p>
      <w:pPr>
        <w:pStyle w:val="5"/>
        <w:rPr>
          <w:color w:val="auto"/>
          <w:highlight w:val="none"/>
          <w:u w:val="single"/>
        </w:rPr>
      </w:pPr>
      <w:bookmarkStart w:id="7" w:name="_Toc522544821"/>
      <w:bookmarkStart w:id="8" w:name="_Toc520381930"/>
      <w:bookmarkStart w:id="9" w:name="_Toc520391744"/>
      <w:bookmarkStart w:id="10" w:name="_Toc520280219"/>
      <w:bookmarkStart w:id="11" w:name="_Toc526011546"/>
      <w:r>
        <w:rPr>
          <w:rFonts w:hint="eastAsia"/>
          <w:color w:val="auto"/>
          <w:highlight w:val="none"/>
        </w:rPr>
        <w:t>暂定施工时间为</w:t>
      </w:r>
      <w:r>
        <w:rPr>
          <w:color w:val="auto"/>
          <w:highlight w:val="none"/>
        </w:rPr>
        <w:t>:</w:t>
      </w:r>
      <w:r>
        <w:rPr>
          <w:color w:val="auto"/>
          <w:highlight w:val="none"/>
          <w:u w:val="single"/>
        </w:rPr>
        <w:t xml:space="preserve">   2023</w:t>
      </w:r>
      <w:r>
        <w:rPr>
          <w:rFonts w:hint="eastAsia"/>
          <w:color w:val="auto"/>
          <w:highlight w:val="none"/>
          <w:u w:val="single"/>
        </w:rPr>
        <w:t>年</w:t>
      </w:r>
      <w:r>
        <w:rPr>
          <w:color w:val="auto"/>
          <w:highlight w:val="none"/>
          <w:u w:val="single"/>
        </w:rPr>
        <w:t xml:space="preserve">5 </w:t>
      </w:r>
      <w:r>
        <w:rPr>
          <w:rFonts w:hint="eastAsia"/>
          <w:color w:val="auto"/>
          <w:highlight w:val="none"/>
          <w:u w:val="single"/>
        </w:rPr>
        <w:t>月</w:t>
      </w:r>
      <w:r>
        <w:rPr>
          <w:color w:val="auto"/>
          <w:highlight w:val="none"/>
          <w:u w:val="single"/>
        </w:rPr>
        <w:t xml:space="preserve"> </w:t>
      </w:r>
      <w:r>
        <w:rPr>
          <w:rFonts w:hint="eastAsia"/>
          <w:color w:val="auto"/>
          <w:highlight w:val="none"/>
          <w:u w:val="single"/>
          <w:lang w:val="en-US" w:eastAsia="zh-CN"/>
        </w:rPr>
        <w:t>3</w:t>
      </w:r>
      <w:r>
        <w:rPr>
          <w:color w:val="auto"/>
          <w:highlight w:val="none"/>
          <w:u w:val="single"/>
        </w:rPr>
        <w:t xml:space="preserve">0 </w:t>
      </w:r>
      <w:r>
        <w:rPr>
          <w:rFonts w:hint="eastAsia"/>
          <w:color w:val="auto"/>
          <w:highlight w:val="none"/>
          <w:u w:val="single"/>
        </w:rPr>
        <w:t>日至</w:t>
      </w:r>
      <w:r>
        <w:rPr>
          <w:color w:val="auto"/>
          <w:highlight w:val="none"/>
          <w:u w:val="single"/>
        </w:rPr>
        <w:t xml:space="preserve"> 2023 </w:t>
      </w:r>
      <w:r>
        <w:rPr>
          <w:rFonts w:hint="eastAsia"/>
          <w:color w:val="auto"/>
          <w:highlight w:val="none"/>
          <w:u w:val="single"/>
        </w:rPr>
        <w:t>年</w:t>
      </w:r>
      <w:r>
        <w:rPr>
          <w:color w:val="auto"/>
          <w:highlight w:val="none"/>
          <w:u w:val="single"/>
        </w:rPr>
        <w:t>1</w:t>
      </w:r>
      <w:r>
        <w:rPr>
          <w:rFonts w:hint="eastAsia"/>
          <w:color w:val="auto"/>
          <w:highlight w:val="none"/>
          <w:u w:val="single"/>
          <w:lang w:val="en-US" w:eastAsia="zh-CN"/>
        </w:rPr>
        <w:t>1</w:t>
      </w:r>
      <w:r>
        <w:rPr>
          <w:color w:val="auto"/>
          <w:highlight w:val="none"/>
          <w:u w:val="single"/>
        </w:rPr>
        <w:t xml:space="preserve">  </w:t>
      </w:r>
      <w:r>
        <w:rPr>
          <w:rFonts w:hint="eastAsia"/>
          <w:color w:val="auto"/>
          <w:highlight w:val="none"/>
          <w:u w:val="single"/>
        </w:rPr>
        <w:t>月</w:t>
      </w:r>
      <w:r>
        <w:rPr>
          <w:color w:val="auto"/>
          <w:highlight w:val="none"/>
          <w:u w:val="single"/>
        </w:rPr>
        <w:t xml:space="preserve">  </w:t>
      </w:r>
      <w:r>
        <w:rPr>
          <w:rFonts w:hint="eastAsia"/>
          <w:color w:val="auto"/>
          <w:highlight w:val="none"/>
          <w:u w:val="single"/>
          <w:lang w:val="en-US" w:eastAsia="zh-CN"/>
        </w:rPr>
        <w:t>18</w:t>
      </w:r>
      <w:r>
        <w:rPr>
          <w:color w:val="auto"/>
          <w:highlight w:val="none"/>
          <w:u w:val="single"/>
        </w:rPr>
        <w:t xml:space="preserve"> </w:t>
      </w:r>
      <w:r>
        <w:rPr>
          <w:rFonts w:hint="eastAsia"/>
          <w:color w:val="auto"/>
          <w:highlight w:val="none"/>
          <w:u w:val="single"/>
        </w:rPr>
        <w:t>日，总工期</w:t>
      </w:r>
      <w:r>
        <w:rPr>
          <w:color w:val="auto"/>
          <w:highlight w:val="none"/>
          <w:u w:val="single"/>
        </w:rPr>
        <w:t xml:space="preserve">  17</w:t>
      </w:r>
      <w:r>
        <w:rPr>
          <w:rFonts w:hint="eastAsia"/>
          <w:color w:val="auto"/>
          <w:highlight w:val="none"/>
          <w:u w:val="single"/>
          <w:lang w:val="en-US" w:eastAsia="zh-CN"/>
        </w:rPr>
        <w:t>3</w:t>
      </w:r>
      <w:r>
        <w:rPr>
          <w:color w:val="auto"/>
          <w:highlight w:val="none"/>
          <w:u w:val="single"/>
        </w:rPr>
        <w:t xml:space="preserve"> </w:t>
      </w:r>
      <w:r>
        <w:rPr>
          <w:rFonts w:hint="eastAsia"/>
          <w:color w:val="auto"/>
          <w:highlight w:val="none"/>
          <w:u w:val="single"/>
        </w:rPr>
        <w:t>天</w:t>
      </w:r>
      <w:r>
        <w:rPr>
          <w:rFonts w:hint="eastAsia"/>
          <w:color w:val="auto"/>
          <w:highlight w:val="none"/>
        </w:rPr>
        <w:t>。具体开工时间以工程开工指令为准。</w:t>
      </w:r>
      <w:bookmarkEnd w:id="7"/>
      <w:bookmarkEnd w:id="8"/>
      <w:bookmarkEnd w:id="9"/>
      <w:bookmarkEnd w:id="10"/>
      <w:r>
        <w:rPr>
          <w:rFonts w:hint="eastAsia"/>
          <w:color w:val="auto"/>
          <w:highlight w:val="none"/>
        </w:rPr>
        <w:t xml:space="preserve">发包人具有对施工时间及计划的调整权利，专业工程承包人需无条件执行，相关费用需考虑在投标总价内。 </w:t>
      </w:r>
      <w:r>
        <w:rPr>
          <w:color w:val="auto"/>
          <w:highlight w:val="none"/>
        </w:rPr>
        <w:t xml:space="preserve">                    </w:t>
      </w:r>
    </w:p>
    <w:p>
      <w:pPr>
        <w:pStyle w:val="5"/>
        <w:numPr>
          <w:ilvl w:val="0"/>
          <w:numId w:val="5"/>
        </w:numPr>
        <w:rPr>
          <w:color w:val="auto"/>
          <w:highlight w:val="none"/>
        </w:rPr>
      </w:pPr>
      <w:r>
        <w:rPr>
          <w:rFonts w:hint="eastAsia"/>
          <w:color w:val="auto"/>
          <w:highlight w:val="none"/>
        </w:rPr>
        <w:t>放射防护及磁屏蔽工程的</w:t>
      </w:r>
      <w:r>
        <w:rPr>
          <w:color w:val="auto"/>
          <w:highlight w:val="none"/>
        </w:rPr>
        <w:t>重要节点（暂定）：</w:t>
      </w:r>
      <w:r>
        <w:rPr>
          <w:color w:val="auto"/>
          <w:highlight w:val="none"/>
        </w:rPr>
        <w:cr/>
      </w:r>
      <w:r>
        <w:rPr>
          <w:color w:val="auto"/>
          <w:highlight w:val="none"/>
        </w:rPr>
        <w:t>2023年</w:t>
      </w:r>
      <w:r>
        <w:rPr>
          <w:rFonts w:hint="eastAsia"/>
          <w:color w:val="auto"/>
          <w:highlight w:val="none"/>
        </w:rPr>
        <w:t>0</w:t>
      </w:r>
      <w:r>
        <w:rPr>
          <w:rFonts w:hint="eastAsia"/>
          <w:color w:val="auto"/>
          <w:highlight w:val="none"/>
          <w:lang w:val="en-US" w:eastAsia="zh-CN"/>
        </w:rPr>
        <w:t>6</w:t>
      </w:r>
      <w:r>
        <w:rPr>
          <w:color w:val="auto"/>
          <w:highlight w:val="none"/>
        </w:rPr>
        <w:t>月</w:t>
      </w:r>
      <w:r>
        <w:rPr>
          <w:rFonts w:hint="eastAsia"/>
          <w:color w:val="auto"/>
          <w:highlight w:val="none"/>
          <w:lang w:val="en-US" w:eastAsia="zh-CN"/>
        </w:rPr>
        <w:t>1</w:t>
      </w:r>
      <w:r>
        <w:rPr>
          <w:color w:val="auto"/>
          <w:highlight w:val="none"/>
        </w:rPr>
        <w:t>1日前完成</w:t>
      </w:r>
      <w:r>
        <w:rPr>
          <w:rFonts w:hint="eastAsia"/>
          <w:color w:val="auto"/>
          <w:highlight w:val="none"/>
        </w:rPr>
        <w:t>防护工程砌体</w:t>
      </w:r>
      <w:r>
        <w:rPr>
          <w:color w:val="auto"/>
          <w:highlight w:val="none"/>
        </w:rPr>
        <w:cr/>
      </w:r>
      <w:r>
        <w:rPr>
          <w:color w:val="auto"/>
          <w:highlight w:val="none"/>
        </w:rPr>
        <w:t>2023年07月</w:t>
      </w:r>
      <w:r>
        <w:rPr>
          <w:rFonts w:hint="eastAsia"/>
          <w:color w:val="auto"/>
          <w:highlight w:val="none"/>
          <w:lang w:val="en-US" w:eastAsia="zh-CN"/>
        </w:rPr>
        <w:t>3</w:t>
      </w:r>
      <w:r>
        <w:rPr>
          <w:color w:val="auto"/>
          <w:highlight w:val="none"/>
        </w:rPr>
        <w:t>0日前完成</w:t>
      </w:r>
      <w:r>
        <w:rPr>
          <w:rFonts w:hint="eastAsia"/>
          <w:color w:val="auto"/>
          <w:highlight w:val="none"/>
        </w:rPr>
        <w:t>防护工程线管预埋、设备基础</w:t>
      </w:r>
      <w:r>
        <w:rPr>
          <w:color w:val="auto"/>
          <w:highlight w:val="none"/>
        </w:rPr>
        <w:cr/>
      </w:r>
      <w:r>
        <w:rPr>
          <w:color w:val="auto"/>
          <w:highlight w:val="none"/>
        </w:rPr>
        <w:t>2023年</w:t>
      </w:r>
      <w:r>
        <w:rPr>
          <w:rFonts w:hint="eastAsia"/>
          <w:color w:val="auto"/>
          <w:highlight w:val="none"/>
        </w:rPr>
        <w:t>1</w:t>
      </w:r>
      <w:r>
        <w:rPr>
          <w:color w:val="auto"/>
          <w:highlight w:val="none"/>
        </w:rPr>
        <w:t>0月</w:t>
      </w:r>
      <w:r>
        <w:rPr>
          <w:rFonts w:hint="eastAsia"/>
          <w:color w:val="auto"/>
          <w:highlight w:val="none"/>
          <w:lang w:val="en-US" w:eastAsia="zh-CN"/>
        </w:rPr>
        <w:t>2</w:t>
      </w:r>
      <w:r>
        <w:rPr>
          <w:color w:val="auto"/>
          <w:highlight w:val="none"/>
        </w:rPr>
        <w:t>1日前完成</w:t>
      </w:r>
      <w:r>
        <w:rPr>
          <w:rFonts w:hint="eastAsia"/>
          <w:color w:val="auto"/>
          <w:highlight w:val="none"/>
        </w:rPr>
        <w:t>装修工程</w:t>
      </w:r>
      <w:r>
        <w:rPr>
          <w:color w:val="auto"/>
          <w:highlight w:val="none"/>
        </w:rPr>
        <w:cr/>
      </w:r>
      <w:r>
        <w:rPr>
          <w:color w:val="auto"/>
          <w:highlight w:val="none"/>
        </w:rPr>
        <w:t>2023年1</w:t>
      </w:r>
      <w:r>
        <w:rPr>
          <w:rFonts w:hint="eastAsia"/>
          <w:color w:val="auto"/>
          <w:highlight w:val="none"/>
          <w:lang w:val="en-US" w:eastAsia="zh-CN"/>
        </w:rPr>
        <w:t>1</w:t>
      </w:r>
      <w:r>
        <w:rPr>
          <w:color w:val="auto"/>
          <w:highlight w:val="none"/>
        </w:rPr>
        <w:t>月</w:t>
      </w:r>
      <w:r>
        <w:rPr>
          <w:rFonts w:hint="eastAsia"/>
          <w:color w:val="auto"/>
          <w:highlight w:val="none"/>
          <w:lang w:val="en-US" w:eastAsia="zh-CN"/>
        </w:rPr>
        <w:t>18</w:t>
      </w:r>
      <w:r>
        <w:rPr>
          <w:color w:val="auto"/>
          <w:highlight w:val="none"/>
        </w:rPr>
        <w:t>日前完成工程竣工验收</w:t>
      </w:r>
      <w:bookmarkEnd w:id="11"/>
    </w:p>
    <w:p>
      <w:pPr>
        <w:pStyle w:val="6"/>
        <w:numPr>
          <w:ilvl w:val="0"/>
          <w:numId w:val="5"/>
        </w:numPr>
        <w:rPr>
          <w:color w:val="auto"/>
          <w:highlight w:val="none"/>
        </w:rPr>
      </w:pPr>
      <w:r>
        <w:rPr>
          <w:rFonts w:hint="eastAsia"/>
          <w:color w:val="auto"/>
          <w:highlight w:val="none"/>
        </w:rPr>
        <w:t>医疗工艺及净化工程的</w:t>
      </w:r>
      <w:r>
        <w:rPr>
          <w:color w:val="auto"/>
          <w:highlight w:val="none"/>
        </w:rPr>
        <w:t>重要节点（暂定）：</w:t>
      </w:r>
    </w:p>
    <w:p>
      <w:pPr>
        <w:pStyle w:val="6"/>
        <w:ind w:left="1157" w:firstLine="0"/>
        <w:rPr>
          <w:color w:val="auto"/>
          <w:highlight w:val="none"/>
        </w:rPr>
      </w:pPr>
      <w:r>
        <w:rPr>
          <w:color w:val="auto"/>
          <w:highlight w:val="none"/>
        </w:rPr>
        <w:t>2023年</w:t>
      </w:r>
      <w:r>
        <w:rPr>
          <w:rFonts w:hint="eastAsia"/>
          <w:color w:val="auto"/>
          <w:highlight w:val="none"/>
        </w:rPr>
        <w:t>0</w:t>
      </w:r>
      <w:r>
        <w:rPr>
          <w:rFonts w:hint="eastAsia"/>
          <w:color w:val="auto"/>
          <w:highlight w:val="none"/>
          <w:lang w:val="en-US" w:eastAsia="zh-CN"/>
        </w:rPr>
        <w:t>7</w:t>
      </w:r>
      <w:r>
        <w:rPr>
          <w:color w:val="auto"/>
          <w:highlight w:val="none"/>
        </w:rPr>
        <w:t>月</w:t>
      </w:r>
      <w:r>
        <w:rPr>
          <w:rFonts w:hint="eastAsia"/>
          <w:color w:val="auto"/>
          <w:highlight w:val="none"/>
          <w:lang w:val="en-US" w:eastAsia="zh-CN"/>
        </w:rPr>
        <w:t>1</w:t>
      </w:r>
      <w:r>
        <w:rPr>
          <w:color w:val="auto"/>
          <w:highlight w:val="none"/>
        </w:rPr>
        <w:t>0日前完成</w:t>
      </w:r>
      <w:r>
        <w:rPr>
          <w:rFonts w:hint="eastAsia"/>
          <w:color w:val="auto"/>
          <w:highlight w:val="none"/>
        </w:rPr>
        <w:t>材料定样及样板间</w:t>
      </w:r>
    </w:p>
    <w:p>
      <w:pPr>
        <w:pStyle w:val="6"/>
        <w:ind w:left="1157" w:firstLine="0"/>
        <w:rPr>
          <w:color w:val="auto"/>
          <w:highlight w:val="none"/>
        </w:rPr>
      </w:pPr>
      <w:r>
        <w:rPr>
          <w:rFonts w:hint="eastAsia"/>
          <w:color w:val="auto"/>
          <w:highlight w:val="none"/>
        </w:rPr>
        <w:t>2</w:t>
      </w:r>
      <w:r>
        <w:rPr>
          <w:color w:val="auto"/>
          <w:highlight w:val="none"/>
        </w:rPr>
        <w:t>023</w:t>
      </w:r>
      <w:r>
        <w:rPr>
          <w:rFonts w:hint="eastAsia"/>
          <w:color w:val="auto"/>
          <w:highlight w:val="none"/>
        </w:rPr>
        <w:t>年</w:t>
      </w:r>
      <w:r>
        <w:rPr>
          <w:rFonts w:hint="eastAsia"/>
          <w:color w:val="auto"/>
          <w:highlight w:val="none"/>
          <w:lang w:val="en-US" w:eastAsia="zh-CN"/>
        </w:rPr>
        <w:t>08</w:t>
      </w:r>
      <w:r>
        <w:rPr>
          <w:rFonts w:hint="eastAsia"/>
          <w:color w:val="auto"/>
          <w:highlight w:val="none"/>
        </w:rPr>
        <w:t>月</w:t>
      </w:r>
      <w:r>
        <w:rPr>
          <w:rFonts w:hint="eastAsia"/>
          <w:color w:val="auto"/>
          <w:highlight w:val="none"/>
          <w:lang w:val="en-US" w:eastAsia="zh-CN"/>
        </w:rPr>
        <w:t>1</w:t>
      </w:r>
      <w:r>
        <w:rPr>
          <w:color w:val="auto"/>
          <w:highlight w:val="none"/>
        </w:rPr>
        <w:t>5</w:t>
      </w:r>
      <w:r>
        <w:rPr>
          <w:rFonts w:hint="eastAsia"/>
          <w:color w:val="auto"/>
          <w:highlight w:val="none"/>
        </w:rPr>
        <w:t>日前完成装修基层施工</w:t>
      </w:r>
      <w:r>
        <w:rPr>
          <w:color w:val="auto"/>
          <w:highlight w:val="none"/>
        </w:rPr>
        <w:cr/>
      </w:r>
      <w:r>
        <w:rPr>
          <w:color w:val="auto"/>
          <w:highlight w:val="none"/>
        </w:rPr>
        <w:t>2023年09月</w:t>
      </w:r>
      <w:r>
        <w:rPr>
          <w:rFonts w:hint="eastAsia"/>
          <w:color w:val="auto"/>
          <w:highlight w:val="none"/>
          <w:lang w:val="en-US" w:eastAsia="zh-CN"/>
        </w:rPr>
        <w:t>2</w:t>
      </w:r>
      <w:r>
        <w:rPr>
          <w:color w:val="auto"/>
          <w:highlight w:val="none"/>
        </w:rPr>
        <w:t>7日前完成</w:t>
      </w:r>
      <w:r>
        <w:rPr>
          <w:rFonts w:hint="eastAsia"/>
          <w:color w:val="auto"/>
          <w:highlight w:val="none"/>
        </w:rPr>
        <w:t>净化区电气工程（线管、桥架、配电箱安装、穿线、末端安装）</w:t>
      </w:r>
      <w:r>
        <w:rPr>
          <w:color w:val="auto"/>
          <w:highlight w:val="none"/>
        </w:rPr>
        <w:cr/>
      </w:r>
      <w:r>
        <w:rPr>
          <w:color w:val="auto"/>
          <w:highlight w:val="none"/>
        </w:rPr>
        <w:t>2023年10月</w:t>
      </w:r>
      <w:r>
        <w:rPr>
          <w:rFonts w:hint="eastAsia"/>
          <w:color w:val="auto"/>
          <w:highlight w:val="none"/>
          <w:lang w:val="en-US" w:eastAsia="zh-CN"/>
        </w:rPr>
        <w:t>2</w:t>
      </w:r>
      <w:r>
        <w:rPr>
          <w:color w:val="auto"/>
          <w:highlight w:val="none"/>
        </w:rPr>
        <w:t>2日前完成</w:t>
      </w:r>
      <w:r>
        <w:rPr>
          <w:rFonts w:hint="eastAsia"/>
          <w:color w:val="auto"/>
          <w:highlight w:val="none"/>
        </w:rPr>
        <w:t>净化区空调工程安装（风管、空调水管安装、保温、机组安装、末端安装）</w:t>
      </w:r>
      <w:r>
        <w:rPr>
          <w:color w:val="auto"/>
          <w:highlight w:val="none"/>
        </w:rPr>
        <w:cr/>
      </w:r>
      <w:r>
        <w:rPr>
          <w:color w:val="auto"/>
          <w:highlight w:val="none"/>
        </w:rPr>
        <w:t>2023年10月29日前完成工程竣工验收</w:t>
      </w:r>
    </w:p>
    <w:p>
      <w:pPr>
        <w:pStyle w:val="6"/>
        <w:numPr>
          <w:ilvl w:val="0"/>
          <w:numId w:val="5"/>
        </w:numPr>
        <w:rPr>
          <w:color w:val="auto"/>
          <w:highlight w:val="none"/>
        </w:rPr>
      </w:pPr>
      <w:r>
        <w:rPr>
          <w:rFonts w:hint="eastAsia"/>
          <w:color w:val="auto"/>
          <w:highlight w:val="none"/>
        </w:rPr>
        <w:t>医疗气体工程的</w:t>
      </w:r>
      <w:r>
        <w:rPr>
          <w:color w:val="auto"/>
          <w:highlight w:val="none"/>
        </w:rPr>
        <w:t>重要节点（暂定）：</w:t>
      </w:r>
    </w:p>
    <w:p>
      <w:pPr>
        <w:pStyle w:val="6"/>
        <w:ind w:left="1157" w:firstLine="0"/>
        <w:rPr>
          <w:color w:val="auto"/>
          <w:highlight w:val="none"/>
        </w:rPr>
      </w:pPr>
      <w:r>
        <w:rPr>
          <w:color w:val="auto"/>
          <w:highlight w:val="none"/>
        </w:rPr>
        <w:t>2023年0</w:t>
      </w:r>
      <w:r>
        <w:rPr>
          <w:rFonts w:hint="eastAsia"/>
          <w:color w:val="auto"/>
          <w:highlight w:val="none"/>
          <w:lang w:val="en-US" w:eastAsia="zh-CN"/>
        </w:rPr>
        <w:t>7</w:t>
      </w:r>
      <w:r>
        <w:rPr>
          <w:color w:val="auto"/>
          <w:highlight w:val="none"/>
        </w:rPr>
        <w:t>月</w:t>
      </w:r>
      <w:r>
        <w:rPr>
          <w:rFonts w:hint="eastAsia"/>
          <w:color w:val="auto"/>
          <w:highlight w:val="none"/>
          <w:lang w:val="en-US" w:eastAsia="zh-CN"/>
        </w:rPr>
        <w:t>1</w:t>
      </w:r>
      <w:r>
        <w:rPr>
          <w:color w:val="auto"/>
          <w:highlight w:val="none"/>
        </w:rPr>
        <w:t>9日前完成</w:t>
      </w:r>
      <w:r>
        <w:rPr>
          <w:rFonts w:hint="eastAsia"/>
          <w:color w:val="auto"/>
          <w:highlight w:val="none"/>
        </w:rPr>
        <w:t>气体及病床呼叫系统的管线安装</w:t>
      </w:r>
      <w:r>
        <w:rPr>
          <w:color w:val="auto"/>
          <w:highlight w:val="none"/>
        </w:rPr>
        <w:cr/>
      </w:r>
      <w:r>
        <w:rPr>
          <w:color w:val="auto"/>
          <w:highlight w:val="none"/>
        </w:rPr>
        <w:t>2023年0</w:t>
      </w:r>
      <w:r>
        <w:rPr>
          <w:rFonts w:hint="eastAsia"/>
          <w:color w:val="auto"/>
          <w:highlight w:val="none"/>
          <w:lang w:val="en-US" w:eastAsia="zh-CN"/>
        </w:rPr>
        <w:t>9</w:t>
      </w:r>
      <w:r>
        <w:rPr>
          <w:color w:val="auto"/>
          <w:highlight w:val="none"/>
        </w:rPr>
        <w:t>月</w:t>
      </w:r>
      <w:r>
        <w:rPr>
          <w:rFonts w:hint="eastAsia"/>
          <w:color w:val="auto"/>
          <w:highlight w:val="none"/>
          <w:lang w:val="en-US" w:eastAsia="zh-CN"/>
        </w:rPr>
        <w:t>0</w:t>
      </w:r>
      <w:r>
        <w:rPr>
          <w:color w:val="auto"/>
          <w:highlight w:val="none"/>
        </w:rPr>
        <w:t>3日前完成</w:t>
      </w:r>
      <w:r>
        <w:rPr>
          <w:rFonts w:hint="eastAsia"/>
          <w:color w:val="auto"/>
          <w:highlight w:val="none"/>
        </w:rPr>
        <w:t>气体终端和设备安装</w:t>
      </w:r>
      <w:r>
        <w:rPr>
          <w:color w:val="auto"/>
          <w:highlight w:val="none"/>
        </w:rPr>
        <w:cr/>
      </w:r>
      <w:r>
        <w:rPr>
          <w:color w:val="auto"/>
          <w:highlight w:val="none"/>
        </w:rPr>
        <w:t>2023年1</w:t>
      </w:r>
      <w:r>
        <w:rPr>
          <w:rFonts w:hint="eastAsia"/>
          <w:color w:val="auto"/>
          <w:highlight w:val="none"/>
          <w:lang w:val="en-US" w:eastAsia="zh-CN"/>
        </w:rPr>
        <w:t>1</w:t>
      </w:r>
      <w:r>
        <w:rPr>
          <w:color w:val="auto"/>
          <w:highlight w:val="none"/>
        </w:rPr>
        <w:t>月</w:t>
      </w:r>
      <w:r>
        <w:rPr>
          <w:rFonts w:hint="eastAsia"/>
          <w:color w:val="auto"/>
          <w:highlight w:val="none"/>
          <w:lang w:val="en-US" w:eastAsia="zh-CN"/>
        </w:rPr>
        <w:t>18</w:t>
      </w:r>
      <w:r>
        <w:rPr>
          <w:color w:val="auto"/>
          <w:highlight w:val="none"/>
        </w:rPr>
        <w:t>日前完成工程竣工验收</w:t>
      </w:r>
    </w:p>
    <w:p>
      <w:pPr>
        <w:pStyle w:val="5"/>
        <w:rPr>
          <w:color w:val="auto"/>
          <w:highlight w:val="none"/>
        </w:rPr>
      </w:pPr>
      <w:r>
        <w:rPr>
          <w:rFonts w:hint="eastAsia"/>
          <w:color w:val="auto"/>
          <w:highlight w:val="none"/>
        </w:rPr>
        <w:t>本承包人须严格执行上述总体工期的要求，按上述总体工期完成的节点要求，以正常的验收程序完成本承包范围的工作，获得有关部门的许可并取得相关证书。上</w:t>
      </w:r>
      <w:r>
        <w:rPr>
          <w:color w:val="auto"/>
          <w:highlight w:val="none"/>
        </w:rPr>
        <w:t>述总体工期</w:t>
      </w:r>
      <w:r>
        <w:rPr>
          <w:rFonts w:hint="eastAsia"/>
          <w:color w:val="auto"/>
          <w:highlight w:val="none"/>
        </w:rPr>
        <w:t>如</w:t>
      </w:r>
      <w:r>
        <w:rPr>
          <w:color w:val="auto"/>
          <w:highlight w:val="none"/>
        </w:rPr>
        <w:t>因</w:t>
      </w:r>
      <w:r>
        <w:rPr>
          <w:rFonts w:hint="eastAsia"/>
          <w:color w:val="auto"/>
          <w:highlight w:val="none"/>
        </w:rPr>
        <w:t>其</w:t>
      </w:r>
      <w:r>
        <w:rPr>
          <w:color w:val="auto"/>
          <w:highlight w:val="none"/>
        </w:rPr>
        <w:t>它因素</w:t>
      </w:r>
      <w:r>
        <w:rPr>
          <w:rFonts w:hint="eastAsia"/>
          <w:color w:val="auto"/>
          <w:highlight w:val="none"/>
        </w:rPr>
        <w:t>进</w:t>
      </w:r>
      <w:r>
        <w:rPr>
          <w:color w:val="auto"/>
          <w:highlight w:val="none"/>
        </w:rPr>
        <w:t>行调整，</w:t>
      </w:r>
      <w:r>
        <w:rPr>
          <w:rFonts w:hint="eastAsia"/>
          <w:color w:val="auto"/>
          <w:highlight w:val="none"/>
        </w:rPr>
        <w:t>则本</w:t>
      </w:r>
      <w:r>
        <w:rPr>
          <w:color w:val="auto"/>
          <w:highlight w:val="none"/>
        </w:rPr>
        <w:t>承包人应</w:t>
      </w:r>
      <w:r>
        <w:rPr>
          <w:rFonts w:hint="eastAsia"/>
          <w:color w:val="auto"/>
          <w:highlight w:val="none"/>
        </w:rPr>
        <w:t>相</w:t>
      </w:r>
      <w:r>
        <w:rPr>
          <w:color w:val="auto"/>
          <w:highlight w:val="none"/>
        </w:rPr>
        <w:t>应调整本承包</w:t>
      </w:r>
      <w:r>
        <w:rPr>
          <w:rFonts w:hint="eastAsia"/>
          <w:color w:val="auto"/>
          <w:highlight w:val="none"/>
        </w:rPr>
        <w:t>范围</w:t>
      </w:r>
      <w:r>
        <w:rPr>
          <w:color w:val="auto"/>
          <w:highlight w:val="none"/>
        </w:rPr>
        <w:t>内工作</w:t>
      </w:r>
      <w:r>
        <w:rPr>
          <w:rFonts w:hint="eastAsia"/>
          <w:color w:val="auto"/>
          <w:highlight w:val="none"/>
        </w:rPr>
        <w:t>的</w:t>
      </w:r>
      <w:r>
        <w:rPr>
          <w:color w:val="auto"/>
          <w:highlight w:val="none"/>
        </w:rPr>
        <w:t>工期，</w:t>
      </w:r>
      <w:r>
        <w:rPr>
          <w:rFonts w:hint="eastAsia"/>
          <w:color w:val="auto"/>
          <w:highlight w:val="none"/>
        </w:rPr>
        <w:t>且本承包单位不得</w:t>
      </w:r>
      <w:r>
        <w:rPr>
          <w:color w:val="auto"/>
          <w:highlight w:val="none"/>
        </w:rPr>
        <w:t>因此要求</w:t>
      </w:r>
      <w:r>
        <w:rPr>
          <w:rFonts w:hint="eastAsia"/>
          <w:color w:val="auto"/>
          <w:highlight w:val="none"/>
        </w:rPr>
        <w:t>工</w:t>
      </w:r>
      <w:r>
        <w:rPr>
          <w:color w:val="auto"/>
          <w:highlight w:val="none"/>
        </w:rPr>
        <w:t>期</w:t>
      </w:r>
      <w:r>
        <w:rPr>
          <w:rFonts w:hint="eastAsia"/>
          <w:color w:val="auto"/>
          <w:highlight w:val="none"/>
        </w:rPr>
        <w:t>费用索赔。</w:t>
      </w:r>
    </w:p>
    <w:p>
      <w:pPr>
        <w:pStyle w:val="5"/>
        <w:rPr>
          <w:color w:val="auto"/>
          <w:highlight w:val="none"/>
        </w:rPr>
      </w:pPr>
      <w:r>
        <w:rPr>
          <w:rFonts w:hint="eastAsia"/>
          <w:color w:val="auto"/>
          <w:highlight w:val="none"/>
        </w:rPr>
        <w:t>专业工程承包人应在投标阶段提前熟悉项目的位置、环境、交通、存放区、装卸料等条件的限制，以及一切可能影响施工的其它因素。专业工程承包人以不清楚施工现场的情况或对技术要求理解不清楚而提出延长竣工期限的要求将不予考虑。</w:t>
      </w:r>
    </w:p>
    <w:p>
      <w:pPr>
        <w:pStyle w:val="5"/>
        <w:rPr>
          <w:color w:val="auto"/>
          <w:highlight w:val="none"/>
        </w:rPr>
      </w:pPr>
      <w:r>
        <w:rPr>
          <w:rFonts w:hint="eastAsia"/>
          <w:color w:val="auto"/>
          <w:highlight w:val="none"/>
        </w:rPr>
        <w:t>专业工程承包人必须考虑到本工程施工的特殊性，配备足够的物料、设备及人力，并为此制定完善的安全</w:t>
      </w:r>
      <w:r>
        <w:rPr>
          <w:color w:val="auto"/>
          <w:highlight w:val="none"/>
        </w:rPr>
        <w:t>/</w:t>
      </w:r>
      <w:r>
        <w:rPr>
          <w:rFonts w:hint="eastAsia"/>
          <w:color w:val="auto"/>
          <w:highlight w:val="none"/>
        </w:rPr>
        <w:t>质量</w:t>
      </w:r>
      <w:r>
        <w:rPr>
          <w:color w:val="auto"/>
          <w:highlight w:val="none"/>
        </w:rPr>
        <w:t>/</w:t>
      </w:r>
      <w:r>
        <w:rPr>
          <w:rFonts w:hint="eastAsia"/>
          <w:color w:val="auto"/>
          <w:highlight w:val="none"/>
        </w:rPr>
        <w:t>技术方案，满足项目总体推进的要求，并保证各个进度控制点及总工期。</w:t>
      </w:r>
    </w:p>
    <w:p>
      <w:pPr>
        <w:pStyle w:val="5"/>
        <w:rPr>
          <w:color w:val="auto"/>
          <w:highlight w:val="none"/>
        </w:rPr>
      </w:pPr>
      <w:r>
        <w:rPr>
          <w:rFonts w:hint="eastAsia"/>
          <w:color w:val="auto"/>
          <w:highlight w:val="none"/>
        </w:rPr>
        <w:t xml:space="preserve">施工期间，总包、机电、精装等各专业分包商亦在同时施工，承包人需考虑必要的断水等措施，确保施工工期不被延误。 </w:t>
      </w:r>
    </w:p>
    <w:p>
      <w:pPr>
        <w:pStyle w:val="5"/>
        <w:rPr>
          <w:rFonts w:ascii="宋体" w:hAnsi="宋体" w:cs="PMingLiU"/>
          <w:color w:val="auto"/>
          <w:sz w:val="22"/>
          <w:highlight w:val="none"/>
        </w:rPr>
      </w:pPr>
      <w:r>
        <w:rPr>
          <w:rFonts w:hint="eastAsia"/>
          <w:color w:val="auto"/>
          <w:highlight w:val="none"/>
        </w:rPr>
        <w:t>本项目工期紧，存在赶工的可能，因赶工所产生的费用需由承包人自行承担。</w:t>
      </w:r>
    </w:p>
    <w:p>
      <w:pPr>
        <w:pStyle w:val="6"/>
        <w:rPr>
          <w:color w:val="auto"/>
          <w:highlight w:val="none"/>
        </w:rPr>
      </w:pPr>
    </w:p>
    <w:p>
      <w:pPr>
        <w:pStyle w:val="4"/>
        <w:rPr>
          <w:color w:val="auto"/>
          <w:highlight w:val="none"/>
        </w:rPr>
      </w:pPr>
      <w:bookmarkStart w:id="12" w:name="_Toc122371807"/>
      <w:r>
        <w:rPr>
          <w:rFonts w:hint="eastAsia"/>
          <w:color w:val="auto"/>
          <w:highlight w:val="none"/>
        </w:rPr>
        <w:t>安全生产目标</w:t>
      </w:r>
      <w:bookmarkEnd w:id="12"/>
    </w:p>
    <w:p>
      <w:pPr>
        <w:pStyle w:val="5"/>
        <w:rPr>
          <w:color w:val="auto"/>
          <w:highlight w:val="none"/>
        </w:rPr>
      </w:pPr>
      <w:r>
        <w:rPr>
          <w:rFonts w:hint="eastAsia"/>
          <w:color w:val="auto"/>
          <w:highlight w:val="none"/>
        </w:rPr>
        <w:t>基础目标</w:t>
      </w:r>
    </w:p>
    <w:p>
      <w:pPr>
        <w:pStyle w:val="7"/>
        <w:rPr>
          <w:color w:val="auto"/>
          <w:highlight w:val="none"/>
        </w:rPr>
      </w:pPr>
      <w:r>
        <w:rPr>
          <w:rFonts w:hint="eastAsia"/>
          <w:color w:val="auto"/>
          <w:highlight w:val="none"/>
        </w:rPr>
        <w:t>零死亡、零重伤、零职业病、零中毒；</w:t>
      </w:r>
    </w:p>
    <w:p>
      <w:pPr>
        <w:pStyle w:val="7"/>
        <w:rPr>
          <w:color w:val="auto"/>
          <w:highlight w:val="none"/>
        </w:rPr>
      </w:pPr>
      <w:r>
        <w:rPr>
          <w:rFonts w:hint="eastAsia"/>
          <w:color w:val="auto"/>
          <w:highlight w:val="none"/>
        </w:rPr>
        <w:t>零火灾、零坍塌、零重大财产损失及负面影响事件、零群体性事件；</w:t>
      </w:r>
    </w:p>
    <w:p>
      <w:pPr>
        <w:pStyle w:val="7"/>
        <w:rPr>
          <w:color w:val="auto"/>
          <w:highlight w:val="none"/>
        </w:rPr>
      </w:pPr>
      <w:r>
        <w:rPr>
          <w:rFonts w:hint="eastAsia"/>
          <w:color w:val="auto"/>
          <w:highlight w:val="none"/>
        </w:rPr>
        <w:t>专业工程承包人应积极配合总承包人实现总承包合同约定的安全文明管理目标。</w:t>
      </w:r>
    </w:p>
    <w:p>
      <w:pPr>
        <w:pStyle w:val="5"/>
        <w:rPr>
          <w:color w:val="auto"/>
          <w:highlight w:val="none"/>
        </w:rPr>
      </w:pPr>
      <w:r>
        <w:rPr>
          <w:rFonts w:hint="eastAsia"/>
          <w:color w:val="auto"/>
          <w:highlight w:val="none"/>
        </w:rPr>
        <w:t>创优目标</w:t>
      </w:r>
    </w:p>
    <w:p>
      <w:pPr>
        <w:tabs>
          <w:tab w:val="left" w:pos="1045"/>
        </w:tabs>
        <w:ind w:firstLine="800" w:firstLineChars="400"/>
        <w:rPr>
          <w:rFonts w:ascii="Times New Roman" w:hAnsi="Times New Roman" w:cs="Times New Roman"/>
          <w:color w:val="auto"/>
          <w:sz w:val="20"/>
          <w:highlight w:val="none"/>
          <w:lang w:eastAsia="zh-CN"/>
        </w:rPr>
      </w:pPr>
      <w:r>
        <w:rPr>
          <w:rFonts w:ascii="Times New Roman" w:hAnsi="Times New Roman" w:cs="Times New Roman"/>
          <w:color w:val="auto"/>
          <w:sz w:val="20"/>
          <w:highlight w:val="none"/>
          <w:lang w:eastAsia="zh-CN"/>
        </w:rPr>
        <w:br w:type="page"/>
      </w:r>
    </w:p>
    <w:p>
      <w:pPr>
        <w:pStyle w:val="3"/>
        <w:rPr>
          <w:color w:val="auto"/>
          <w:highlight w:val="none"/>
        </w:rPr>
      </w:pPr>
      <w:bookmarkStart w:id="13" w:name="_Toc122371808"/>
      <w:r>
        <w:rPr>
          <w:rFonts w:hint="eastAsia"/>
          <w:color w:val="auto"/>
          <w:highlight w:val="none"/>
        </w:rPr>
        <w:t>各工程承包范围及界面划分</w:t>
      </w:r>
      <w:bookmarkEnd w:id="13"/>
    </w:p>
    <w:p>
      <w:pPr>
        <w:pStyle w:val="4"/>
        <w:rPr>
          <w:color w:val="auto"/>
          <w:highlight w:val="none"/>
        </w:rPr>
      </w:pPr>
      <w:bookmarkStart w:id="14" w:name="_Toc122371809"/>
      <w:r>
        <w:rPr>
          <w:rFonts w:hint="eastAsia"/>
          <w:color w:val="auto"/>
          <w:highlight w:val="none"/>
        </w:rPr>
        <w:t>合约分判架构</w:t>
      </w:r>
      <w:bookmarkEnd w:id="14"/>
    </w:p>
    <w:p>
      <w:pPr>
        <w:rPr>
          <w:color w:val="auto"/>
          <w:highlight w:val="none"/>
          <w:lang w:eastAsia="zh-CN"/>
        </w:rPr>
      </w:pPr>
      <w:r>
        <w:rPr>
          <w:color w:val="auto"/>
          <w:highlight w:val="none"/>
          <w:lang w:eastAsia="zh-CN"/>
        </w:rPr>
        <w:drawing>
          <wp:inline distT="0" distB="0" distL="0" distR="0">
            <wp:extent cx="5400675" cy="3095625"/>
            <wp:effectExtent l="0" t="0" r="9525"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5400675" cy="3095625"/>
                    </a:xfrm>
                    <a:prstGeom prst="rect">
                      <a:avLst/>
                    </a:prstGeom>
                    <a:noFill/>
                    <a:ln>
                      <a:noFill/>
                    </a:ln>
                  </pic:spPr>
                </pic:pic>
              </a:graphicData>
            </a:graphic>
          </wp:inline>
        </w:drawing>
      </w:r>
    </w:p>
    <w:p>
      <w:pPr>
        <w:rPr>
          <w:color w:val="auto"/>
          <w:highlight w:val="none"/>
          <w:lang w:eastAsia="zh-CN"/>
        </w:rPr>
      </w:pPr>
    </w:p>
    <w:p>
      <w:pPr>
        <w:pStyle w:val="4"/>
        <w:ind w:left="709" w:hanging="709"/>
        <w:rPr>
          <w:color w:val="auto"/>
          <w:highlight w:val="none"/>
        </w:rPr>
      </w:pPr>
      <w:bookmarkStart w:id="15" w:name="_Toc122371810"/>
      <w:r>
        <w:rPr>
          <w:rFonts w:hint="eastAsia"/>
          <w:color w:val="auto"/>
          <w:highlight w:val="none"/>
        </w:rPr>
        <w:t>放射防护及磁屏蔽工程承包范围</w:t>
      </w:r>
      <w:bookmarkEnd w:id="15"/>
    </w:p>
    <w:p>
      <w:pPr>
        <w:pStyle w:val="34"/>
        <w:ind w:firstLine="960" w:firstLineChars="400"/>
        <w:rPr>
          <w:color w:val="auto"/>
          <w:highlight w:val="none"/>
        </w:rPr>
      </w:pPr>
      <w:r>
        <w:rPr>
          <w:rFonts w:hint="eastAsia"/>
          <w:color w:val="auto"/>
          <w:highlight w:val="none"/>
        </w:rPr>
        <w:t>由专业工程承包人负责直接执行完成的本工程范围及内容包括但不限于下列各项</w:t>
      </w:r>
      <w:r>
        <w:rPr>
          <w:color w:val="auto"/>
          <w:highlight w:val="none"/>
        </w:rPr>
        <w:t>:</w:t>
      </w:r>
    </w:p>
    <w:p>
      <w:pPr>
        <w:pStyle w:val="5"/>
        <w:rPr>
          <w:color w:val="auto"/>
          <w:highlight w:val="none"/>
        </w:rPr>
      </w:pPr>
      <w:r>
        <w:rPr>
          <w:rFonts w:hint="eastAsia"/>
          <w:color w:val="auto"/>
          <w:highlight w:val="none"/>
        </w:rPr>
        <w:t>负责所承包范围的深化设计工作。</w:t>
      </w:r>
    </w:p>
    <w:p>
      <w:pPr>
        <w:pStyle w:val="5"/>
        <w:rPr>
          <w:color w:val="auto"/>
          <w:spacing w:val="-1"/>
          <w:highlight w:val="none"/>
        </w:rPr>
      </w:pPr>
      <w:r>
        <w:rPr>
          <w:rFonts w:hint="eastAsia"/>
          <w:color w:val="auto"/>
          <w:spacing w:val="-1"/>
          <w:highlight w:val="none"/>
        </w:rPr>
        <w:t>负责具有放射防护及磁屏蔽功能要求区域的墙体砌筑抹灰（含交界处墙体），砌筑材料按设计要求；负责防护结构上承包范围内机电管线的开槽及修复工作；负责防护墙体上其他承包商机电管线的补槽工作；负责穿防护结构上其他承包商机电管线套管外的封堵工作，不含套管安装。</w:t>
      </w:r>
    </w:p>
    <w:p>
      <w:pPr>
        <w:pStyle w:val="5"/>
        <w:rPr>
          <w:color w:val="auto"/>
          <w:spacing w:val="-1"/>
          <w:highlight w:val="none"/>
        </w:rPr>
      </w:pPr>
      <w:r>
        <w:rPr>
          <w:rFonts w:hint="eastAsia"/>
          <w:color w:val="auto"/>
          <w:spacing w:val="-1"/>
          <w:highlight w:val="none"/>
        </w:rPr>
        <w:t>负责</w:t>
      </w:r>
      <w:r>
        <w:rPr>
          <w:rFonts w:hint="eastAsia"/>
          <w:color w:val="auto"/>
          <w:highlight w:val="none"/>
        </w:rPr>
        <w:t>所承包范围</w:t>
      </w:r>
      <w:r>
        <w:rPr>
          <w:rFonts w:hint="eastAsia"/>
          <w:color w:val="auto"/>
          <w:spacing w:val="-1"/>
          <w:highlight w:val="none"/>
        </w:rPr>
        <w:t>内放疗科、急诊急救科、口腔科、影像科、内镜中心、介入中心、手术部的放射防护工程、磁屏蔽工程和装饰装修工程（包括装饰装修配套的洁具以及</w:t>
      </w:r>
      <w:r>
        <w:rPr>
          <w:rFonts w:hint="eastAsia" w:asciiTheme="minorEastAsia" w:hAnsiTheme="minorEastAsia"/>
          <w:bCs/>
          <w:color w:val="auto"/>
          <w:spacing w:val="-5"/>
          <w:szCs w:val="21"/>
          <w:highlight w:val="none"/>
        </w:rPr>
        <w:t>防护区域内木材产品的白蚁防治工作</w:t>
      </w:r>
      <w:r>
        <w:rPr>
          <w:rFonts w:hint="eastAsia"/>
          <w:color w:val="auto"/>
          <w:spacing w:val="-1"/>
          <w:highlight w:val="none"/>
        </w:rPr>
        <w:t>）。</w:t>
      </w:r>
    </w:p>
    <w:p>
      <w:pPr>
        <w:pStyle w:val="5"/>
        <w:rPr>
          <w:color w:val="auto"/>
          <w:spacing w:val="-1"/>
          <w:highlight w:val="none"/>
        </w:rPr>
      </w:pPr>
      <w:r>
        <w:rPr>
          <w:rFonts w:hint="eastAsia"/>
          <w:color w:val="auto"/>
          <w:spacing w:val="-1"/>
          <w:highlight w:val="none"/>
        </w:rPr>
        <w:t>负责供应及安装</w:t>
      </w:r>
      <w:r>
        <w:rPr>
          <w:rFonts w:hint="eastAsia"/>
          <w:color w:val="auto"/>
          <w:highlight w:val="none"/>
        </w:rPr>
        <w:t>影像科核磁机房</w:t>
      </w:r>
      <w:r>
        <w:rPr>
          <w:rFonts w:hint="eastAsia"/>
          <w:color w:val="auto"/>
          <w:spacing w:val="-1"/>
          <w:highlight w:val="none"/>
        </w:rPr>
        <w:t>区域内通风空调防排烟波导窗、滤波器、波导管及其接地线。</w:t>
      </w:r>
    </w:p>
    <w:p>
      <w:pPr>
        <w:pStyle w:val="5"/>
        <w:rPr>
          <w:color w:val="auto"/>
          <w:spacing w:val="-1"/>
          <w:highlight w:val="none"/>
        </w:rPr>
      </w:pPr>
      <w:r>
        <w:rPr>
          <w:rFonts w:hint="eastAsia"/>
          <w:color w:val="auto"/>
          <w:spacing w:val="-1"/>
          <w:highlight w:val="none"/>
        </w:rPr>
        <w:t>负责有防护</w:t>
      </w:r>
      <w:r>
        <w:rPr>
          <w:rFonts w:hint="eastAsia"/>
          <w:color w:val="auto"/>
          <w:highlight w:val="none"/>
        </w:rPr>
        <w:t>区泄压口的射线遮挡防护施工</w:t>
      </w:r>
      <w:r>
        <w:rPr>
          <w:rFonts w:hint="eastAsia"/>
          <w:color w:val="auto"/>
          <w:spacing w:val="-1"/>
          <w:highlight w:val="none"/>
        </w:rPr>
        <w:t>。</w:t>
      </w:r>
    </w:p>
    <w:p>
      <w:pPr>
        <w:pStyle w:val="5"/>
        <w:rPr>
          <w:color w:val="auto"/>
          <w:spacing w:val="-1"/>
          <w:highlight w:val="none"/>
        </w:rPr>
      </w:pPr>
      <w:r>
        <w:rPr>
          <w:rFonts w:hint="eastAsia"/>
          <w:color w:val="auto"/>
          <w:spacing w:val="-1"/>
          <w:highlight w:val="none"/>
        </w:rPr>
        <w:t>负责放具有射防护或磁屏蔽要求的管道的防护屏蔽施工。</w:t>
      </w:r>
    </w:p>
    <w:p>
      <w:pPr>
        <w:pStyle w:val="5"/>
        <w:rPr>
          <w:color w:val="auto"/>
          <w:spacing w:val="-1"/>
          <w:highlight w:val="none"/>
        </w:rPr>
      </w:pPr>
      <w:r>
        <w:rPr>
          <w:rFonts w:hint="eastAsia"/>
          <w:color w:val="auto"/>
          <w:spacing w:val="-1"/>
          <w:highlight w:val="none"/>
        </w:rPr>
        <w:t>负责所有其他承包商及自身穿墙、穿楼板管线的防护节点处理，墙体楼板打吊杆螺栓处的防护节点处理。</w:t>
      </w:r>
    </w:p>
    <w:p>
      <w:pPr>
        <w:pStyle w:val="5"/>
        <w:rPr>
          <w:color w:val="auto"/>
          <w:spacing w:val="-1"/>
          <w:highlight w:val="none"/>
        </w:rPr>
      </w:pPr>
      <w:r>
        <w:rPr>
          <w:rFonts w:hint="eastAsia"/>
          <w:color w:val="auto"/>
          <w:spacing w:val="-1"/>
          <w:highlight w:val="none"/>
        </w:rPr>
        <w:t>负责不锈钢电缆沟、失超管的供应及安装。</w:t>
      </w:r>
    </w:p>
    <w:p>
      <w:pPr>
        <w:pStyle w:val="5"/>
        <w:rPr>
          <w:color w:val="auto"/>
          <w:spacing w:val="-1"/>
          <w:highlight w:val="none"/>
        </w:rPr>
      </w:pPr>
      <w:r>
        <w:rPr>
          <w:rFonts w:hint="eastAsia"/>
          <w:color w:val="auto"/>
          <w:spacing w:val="-1"/>
          <w:highlight w:val="none"/>
        </w:rPr>
        <w:t>按照设计图结合设备厂家提供的场地条件图纸配合院方完成设备天轨钢架等医疗设备承重结构的深化设计、采购、加工安装。</w:t>
      </w:r>
    </w:p>
    <w:p>
      <w:pPr>
        <w:pStyle w:val="5"/>
        <w:rPr>
          <w:color w:val="auto"/>
          <w:spacing w:val="-1"/>
          <w:highlight w:val="none"/>
        </w:rPr>
      </w:pPr>
      <w:r>
        <w:rPr>
          <w:rFonts w:hint="eastAsia"/>
          <w:color w:val="auto"/>
          <w:spacing w:val="-1"/>
          <w:highlight w:val="none"/>
        </w:rPr>
        <w:t>提供材料样品，配合发包人工程师及设计师确定材料、设备品牌、型号，直到发包方签字确认为止；</w:t>
      </w:r>
    </w:p>
    <w:p>
      <w:pPr>
        <w:pStyle w:val="5"/>
        <w:rPr>
          <w:color w:val="auto"/>
          <w:spacing w:val="-1"/>
          <w:highlight w:val="none"/>
        </w:rPr>
      </w:pPr>
      <w:r>
        <w:rPr>
          <w:rFonts w:hint="eastAsia"/>
          <w:color w:val="auto"/>
          <w:spacing w:val="-1"/>
          <w:highlight w:val="none"/>
        </w:rPr>
        <w:t>根据相关法律法规及工程规范要求提供材料及设备检测报告、合格证等证明文件。</w:t>
      </w:r>
    </w:p>
    <w:p>
      <w:pPr>
        <w:pStyle w:val="5"/>
        <w:rPr>
          <w:color w:val="auto"/>
          <w:spacing w:val="-1"/>
          <w:highlight w:val="none"/>
        </w:rPr>
      </w:pPr>
      <w:r>
        <w:rPr>
          <w:rFonts w:hint="eastAsia"/>
          <w:color w:val="auto"/>
          <w:spacing w:val="-1"/>
          <w:highlight w:val="none"/>
        </w:rPr>
        <w:t>按照规范及当地建设主管部门要求，对材料进行第三方送检及测试，以配合工程验收而必须进行的施工工作。</w:t>
      </w:r>
    </w:p>
    <w:p>
      <w:pPr>
        <w:pStyle w:val="5"/>
        <w:rPr>
          <w:color w:val="auto"/>
          <w:spacing w:val="-1"/>
          <w:highlight w:val="none"/>
        </w:rPr>
      </w:pPr>
      <w:r>
        <w:rPr>
          <w:rFonts w:hint="eastAsia"/>
          <w:color w:val="auto"/>
          <w:spacing w:val="-1"/>
          <w:highlight w:val="none"/>
        </w:rPr>
        <w:t>负责承包范围内放射防护及磁屏蔽施工产生的垃圾、废料的收集，集中运送至总承包人指定地点，由总承包人负责外运，严禁将施工产生的污水等液体倒入正式的排水管。</w:t>
      </w:r>
    </w:p>
    <w:p>
      <w:pPr>
        <w:pStyle w:val="5"/>
        <w:rPr>
          <w:color w:val="auto"/>
          <w:spacing w:val="-1"/>
          <w:highlight w:val="none"/>
        </w:rPr>
      </w:pPr>
      <w:r>
        <w:rPr>
          <w:rFonts w:hint="eastAsia"/>
          <w:color w:val="auto"/>
          <w:spacing w:val="-1"/>
          <w:highlight w:val="none"/>
        </w:rPr>
        <w:t>施工过程中半成品、成品保护工作及包括移交给医院的成品保护及保洁工作。</w:t>
      </w:r>
    </w:p>
    <w:p>
      <w:pPr>
        <w:pStyle w:val="5"/>
        <w:rPr>
          <w:color w:val="auto"/>
          <w:spacing w:val="-1"/>
          <w:highlight w:val="none"/>
        </w:rPr>
      </w:pPr>
      <w:r>
        <w:rPr>
          <w:rFonts w:hint="eastAsia"/>
          <w:color w:val="auto"/>
          <w:spacing w:val="-1"/>
          <w:highlight w:val="none"/>
        </w:rPr>
        <w:t>须配合医院过程验收工作。院方在防护施工完成后，隐蔽之前的检查，要求每个部位隐蔽前必须取得院方使用部门书面认可。</w:t>
      </w:r>
    </w:p>
    <w:p>
      <w:pPr>
        <w:pStyle w:val="5"/>
        <w:rPr>
          <w:color w:val="auto"/>
          <w:spacing w:val="-1"/>
          <w:highlight w:val="none"/>
        </w:rPr>
      </w:pPr>
      <w:r>
        <w:rPr>
          <w:rFonts w:hint="eastAsia"/>
          <w:color w:val="auto"/>
          <w:spacing w:val="-1"/>
          <w:highlight w:val="none"/>
        </w:rPr>
        <w:t>在院方设备安装及检测时做好配合工作，配合医院安装医疗设备并恢复收口。</w:t>
      </w:r>
    </w:p>
    <w:p>
      <w:pPr>
        <w:pStyle w:val="5"/>
        <w:rPr>
          <w:color w:val="auto"/>
          <w:spacing w:val="-1"/>
          <w:highlight w:val="none"/>
        </w:rPr>
      </w:pPr>
      <w:r>
        <w:rPr>
          <w:rFonts w:hint="eastAsia"/>
          <w:color w:val="auto"/>
          <w:spacing w:val="-1"/>
          <w:highlight w:val="none"/>
        </w:rPr>
        <w:t>根据本说明和发包人的要求承包商应提供所有的资料（质量控制进程与记录、竣工备案所需资料）、竣工图与维护手册等，并对使用单位操作人员进行培训及指导，直至满足使用单位的要求。</w:t>
      </w:r>
    </w:p>
    <w:p>
      <w:pPr>
        <w:pStyle w:val="5"/>
        <w:rPr>
          <w:color w:val="auto"/>
          <w:spacing w:val="-1"/>
          <w:highlight w:val="none"/>
        </w:rPr>
      </w:pPr>
      <w:r>
        <w:rPr>
          <w:rFonts w:hint="eastAsia"/>
          <w:color w:val="auto"/>
          <w:spacing w:val="-1"/>
          <w:highlight w:val="none"/>
        </w:rPr>
        <w:t>负责放射防护区域和净化区域所有防护的验收及向相关部门进行报验、验收手续。</w:t>
      </w:r>
    </w:p>
    <w:p>
      <w:pPr>
        <w:pStyle w:val="5"/>
        <w:rPr>
          <w:color w:val="auto"/>
          <w:highlight w:val="none"/>
        </w:rPr>
      </w:pPr>
      <w:r>
        <w:rPr>
          <w:rFonts w:hint="eastAsia"/>
          <w:color w:val="auto"/>
          <w:spacing w:val="-1"/>
          <w:highlight w:val="none"/>
        </w:rPr>
        <w:t>配合环保验收类、绿建验收类、节能验收类检测，负责室内环境检测、防护检测。</w:t>
      </w:r>
    </w:p>
    <w:p>
      <w:pPr>
        <w:pStyle w:val="5"/>
        <w:rPr>
          <w:color w:val="auto"/>
          <w:spacing w:val="-1"/>
          <w:highlight w:val="none"/>
        </w:rPr>
      </w:pPr>
      <w:r>
        <w:rPr>
          <w:rFonts w:hint="eastAsia"/>
          <w:color w:val="auto"/>
          <w:spacing w:val="-1"/>
          <w:highlight w:val="none"/>
        </w:rPr>
        <w:t>其他承包范围要求</w:t>
      </w:r>
    </w:p>
    <w:p>
      <w:pPr>
        <w:pStyle w:val="5"/>
        <w:rPr>
          <w:color w:val="auto"/>
          <w:highlight w:val="none"/>
        </w:rPr>
      </w:pPr>
      <w:r>
        <w:rPr>
          <w:rFonts w:hint="eastAsia"/>
          <w:color w:val="auto"/>
          <w:highlight w:val="none"/>
        </w:rPr>
        <w:t>所有的细目详见施工图纸，放射防护及磁屏蔽专业工程承包人不能拒绝执行为完成全部工程而需执行的可能遗漏的工作。</w:t>
      </w:r>
    </w:p>
    <w:p>
      <w:pPr>
        <w:pStyle w:val="4"/>
        <w:spacing w:before="120" w:beforeLines="50"/>
        <w:ind w:left="0" w:firstLine="0"/>
        <w:rPr>
          <w:color w:val="auto"/>
          <w:highlight w:val="none"/>
        </w:rPr>
      </w:pPr>
      <w:bookmarkStart w:id="16" w:name="_Toc122371814"/>
      <w:bookmarkStart w:id="17" w:name="_Toc122371811"/>
      <w:r>
        <w:rPr>
          <w:rFonts w:hint="eastAsia"/>
          <w:color w:val="auto"/>
          <w:highlight w:val="none"/>
        </w:rPr>
        <w:t>医疗</w:t>
      </w:r>
      <w:r>
        <w:rPr>
          <w:color w:val="auto"/>
          <w:highlight w:val="none"/>
        </w:rPr>
        <w:t>工艺及</w:t>
      </w:r>
      <w:r>
        <w:rPr>
          <w:rFonts w:hint="eastAsia"/>
          <w:color w:val="auto"/>
          <w:highlight w:val="none"/>
        </w:rPr>
        <w:t>净化工程承包范围</w:t>
      </w:r>
      <w:bookmarkEnd w:id="16"/>
    </w:p>
    <w:p>
      <w:pPr>
        <w:pStyle w:val="5"/>
        <w:rPr>
          <w:color w:val="auto"/>
          <w:highlight w:val="none"/>
        </w:rPr>
      </w:pPr>
      <w:r>
        <w:rPr>
          <w:rFonts w:hint="eastAsia"/>
          <w:color w:val="auto"/>
          <w:highlight w:val="none"/>
        </w:rPr>
        <w:t>本项目的</w:t>
      </w:r>
      <w:r>
        <w:rPr>
          <w:rFonts w:hint="eastAsia" w:ascii="宋体" w:hAnsi="宋体" w:cs="宋体"/>
          <w:color w:val="auto"/>
          <w:szCs w:val="21"/>
          <w:highlight w:val="none"/>
        </w:rPr>
        <w:t>医疗工艺及净化工程包括项目医技楼负一层：中心供应室、急诊手术室、抢救室、EICU；医技楼一层：静脉配置中心、DSA手术室；医技楼四层：手术部</w:t>
      </w:r>
      <w:r>
        <w:rPr>
          <w:rFonts w:hint="eastAsia" w:ascii="宋体" w:hAnsi="宋体" w:cs="宋体"/>
          <w:color w:val="auto"/>
          <w:szCs w:val="21"/>
          <w:highlight w:val="none"/>
          <w:u w:val="none"/>
        </w:rPr>
        <w:t>、</w:t>
      </w:r>
      <w:r>
        <w:rPr>
          <w:rFonts w:hint="eastAsia" w:ascii="宋体" w:hAnsi="宋体" w:eastAsia="宋体" w:cs="宋体"/>
          <w:color w:val="auto"/>
          <w:szCs w:val="21"/>
          <w:highlight w:val="none"/>
          <w:u w:val="none"/>
          <w:lang w:val="en-US" w:eastAsia="zh-CN"/>
        </w:rPr>
        <w:t>日间手术室、</w:t>
      </w:r>
      <w:r>
        <w:rPr>
          <w:rFonts w:hint="eastAsia" w:ascii="宋体" w:hAnsi="宋体" w:cs="宋体"/>
          <w:color w:val="auto"/>
          <w:szCs w:val="21"/>
          <w:highlight w:val="none"/>
        </w:rPr>
        <w:t>ICU；住院楼二层：NICU；住院楼三层：产科等区域的砌体工程、装饰工程、通风空调及其自动控制系统、电气工程、智能化工程、给排水工程、纯水管道工程、医疗气体工程。详细</w:t>
      </w:r>
      <w:r>
        <w:rPr>
          <w:rFonts w:hint="eastAsia"/>
          <w:color w:val="auto"/>
          <w:highlight w:val="none"/>
        </w:rPr>
        <w:t>工程承包范围详见设计图纸和工程量清单及界面划分。</w:t>
      </w:r>
      <w:r>
        <w:rPr>
          <w:rFonts w:hint="eastAsia" w:ascii="宋体" w:hAnsi="宋体" w:cs="宋体"/>
          <w:color w:val="auto"/>
          <w:szCs w:val="21"/>
          <w:highlight w:val="none"/>
        </w:rPr>
        <w:t>承包范</w:t>
      </w:r>
      <w:r>
        <w:rPr>
          <w:rFonts w:hint="eastAsia"/>
          <w:color w:val="auto"/>
          <w:highlight w:val="none"/>
        </w:rPr>
        <w:t>围应结合招标范围、设计图纸、界面划分、清单综合理解，如有相互不能解释之处，以监理工程师和业主解释为准。上述承包范围，可根据工期情况、院方需求及建设方与使用方界面的调整进行调整，结算按照施工图、实际发生工程量、清单进行结算。</w:t>
      </w:r>
    </w:p>
    <w:p>
      <w:pPr>
        <w:pStyle w:val="5"/>
        <w:ind w:left="1044"/>
        <w:rPr>
          <w:color w:val="auto"/>
          <w:highlight w:val="none"/>
        </w:rPr>
      </w:pPr>
      <w:r>
        <w:rPr>
          <w:rFonts w:hint="eastAsia"/>
          <w:color w:val="auto"/>
          <w:highlight w:val="none"/>
        </w:rPr>
        <w:t>医疗工艺及净化工程各专业承包范围</w:t>
      </w:r>
    </w:p>
    <w:tbl>
      <w:tblPr>
        <w:tblStyle w:val="85"/>
        <w:tblW w:w="9497" w:type="dxa"/>
        <w:tblInd w:w="42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8"/>
        <w:gridCol w:w="1701"/>
        <w:gridCol w:w="1254"/>
        <w:gridCol w:w="58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6" w:hRule="atLeast"/>
        </w:trPr>
        <w:tc>
          <w:tcPr>
            <w:tcW w:w="708" w:type="dxa"/>
            <w:shd w:val="clear" w:color="auto" w:fill="auto"/>
            <w:vAlign w:val="center"/>
          </w:tcPr>
          <w:p>
            <w:pPr>
              <w:rPr>
                <w:color w:val="auto"/>
                <w:highlight w:val="none"/>
              </w:rPr>
            </w:pPr>
            <w:r>
              <w:rPr>
                <w:rFonts w:hint="eastAsia"/>
                <w:color w:val="auto"/>
                <w:highlight w:val="none"/>
              </w:rPr>
              <w:t>序号</w:t>
            </w:r>
          </w:p>
        </w:tc>
        <w:tc>
          <w:tcPr>
            <w:tcW w:w="1701" w:type="dxa"/>
            <w:shd w:val="clear" w:color="auto" w:fill="auto"/>
            <w:vAlign w:val="center"/>
          </w:tcPr>
          <w:p>
            <w:pPr>
              <w:rPr>
                <w:color w:val="auto"/>
                <w:highlight w:val="none"/>
              </w:rPr>
            </w:pPr>
            <w:r>
              <w:rPr>
                <w:rFonts w:hint="eastAsia"/>
                <w:color w:val="auto"/>
                <w:highlight w:val="none"/>
                <w:lang w:eastAsia="zh-CN"/>
              </w:rPr>
              <w:t>工程内容</w:t>
            </w:r>
          </w:p>
        </w:tc>
        <w:tc>
          <w:tcPr>
            <w:tcW w:w="1254" w:type="dxa"/>
            <w:shd w:val="clear" w:color="auto" w:fill="auto"/>
            <w:vAlign w:val="center"/>
          </w:tcPr>
          <w:p>
            <w:pPr>
              <w:rPr>
                <w:color w:val="auto"/>
                <w:highlight w:val="none"/>
              </w:rPr>
            </w:pPr>
            <w:r>
              <w:rPr>
                <w:rFonts w:hint="eastAsia"/>
                <w:color w:val="auto"/>
                <w:highlight w:val="none"/>
              </w:rPr>
              <w:t>专业名称</w:t>
            </w:r>
          </w:p>
        </w:tc>
        <w:tc>
          <w:tcPr>
            <w:tcW w:w="5834" w:type="dxa"/>
            <w:shd w:val="clear" w:color="auto" w:fill="auto"/>
            <w:vAlign w:val="center"/>
          </w:tcPr>
          <w:p>
            <w:pPr>
              <w:rPr>
                <w:color w:val="auto"/>
                <w:highlight w:val="none"/>
              </w:rPr>
            </w:pPr>
            <w:r>
              <w:rPr>
                <w:rFonts w:hint="eastAsia"/>
                <w:color w:val="auto"/>
                <w:highlight w:val="none"/>
              </w:rPr>
              <w:t>承包范围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7" w:hRule="atLeast"/>
        </w:trPr>
        <w:tc>
          <w:tcPr>
            <w:tcW w:w="708" w:type="dxa"/>
            <w:vMerge w:val="restart"/>
            <w:shd w:val="clear" w:color="auto" w:fill="auto"/>
            <w:vAlign w:val="center"/>
          </w:tcPr>
          <w:p>
            <w:pPr>
              <w:jc w:val="center"/>
              <w:rPr>
                <w:color w:val="auto"/>
                <w:highlight w:val="none"/>
                <w:lang w:eastAsia="zh-CN"/>
              </w:rPr>
            </w:pPr>
            <w:r>
              <w:rPr>
                <w:rFonts w:hint="eastAsia"/>
                <w:color w:val="auto"/>
                <w:highlight w:val="none"/>
                <w:lang w:eastAsia="zh-CN"/>
              </w:rPr>
              <w:t>1</w:t>
            </w:r>
          </w:p>
        </w:tc>
        <w:tc>
          <w:tcPr>
            <w:tcW w:w="1701" w:type="dxa"/>
            <w:vMerge w:val="restart"/>
            <w:shd w:val="clear" w:color="auto" w:fill="auto"/>
            <w:vAlign w:val="center"/>
          </w:tcPr>
          <w:p>
            <w:pPr>
              <w:rPr>
                <w:color w:val="auto"/>
                <w:highlight w:val="none"/>
                <w:lang w:eastAsia="zh-CN"/>
              </w:rPr>
            </w:pPr>
            <w:r>
              <w:rPr>
                <w:rFonts w:hint="eastAsia"/>
                <w:color w:val="auto"/>
                <w:highlight w:val="none"/>
                <w:lang w:eastAsia="zh-CN" w:bidi="ar"/>
              </w:rPr>
              <w:t>医疗工艺及净化工程采购及安装</w:t>
            </w:r>
          </w:p>
        </w:tc>
        <w:tc>
          <w:tcPr>
            <w:tcW w:w="1254" w:type="dxa"/>
            <w:shd w:val="clear" w:color="auto" w:fill="auto"/>
            <w:vAlign w:val="center"/>
          </w:tcPr>
          <w:p>
            <w:pPr>
              <w:rPr>
                <w:color w:val="auto"/>
                <w:highlight w:val="none"/>
              </w:rPr>
            </w:pPr>
            <w:r>
              <w:rPr>
                <w:rFonts w:hint="eastAsia"/>
                <w:color w:val="auto"/>
                <w:highlight w:val="none"/>
              </w:rPr>
              <w:t>建筑装饰</w:t>
            </w:r>
          </w:p>
        </w:tc>
        <w:tc>
          <w:tcPr>
            <w:tcW w:w="5834" w:type="dxa"/>
            <w:shd w:val="clear" w:color="auto" w:fill="auto"/>
            <w:vAlign w:val="center"/>
          </w:tcPr>
          <w:p>
            <w:pPr>
              <w:rPr>
                <w:color w:val="auto"/>
                <w:highlight w:val="none"/>
                <w:lang w:eastAsia="zh-CN"/>
              </w:rPr>
            </w:pPr>
            <w:r>
              <w:rPr>
                <w:rFonts w:hint="eastAsia"/>
                <w:color w:val="auto"/>
                <w:highlight w:val="none"/>
                <w:lang w:eastAsia="zh-CN"/>
              </w:rPr>
              <w:t>区域内自梁板墙柱的结构面开始至装修完成面的全部工程的采购和施工，包括：</w:t>
            </w:r>
          </w:p>
          <w:p>
            <w:pPr>
              <w:rPr>
                <w:color w:val="auto"/>
                <w:highlight w:val="none"/>
                <w:lang w:eastAsia="zh-CN"/>
              </w:rPr>
            </w:pPr>
            <w:r>
              <w:rPr>
                <w:rFonts w:hint="eastAsia"/>
                <w:color w:val="auto"/>
                <w:highlight w:val="none"/>
                <w:lang w:eastAsia="zh-CN"/>
              </w:rPr>
              <w:t>1）楼地面：区域内的回填、找平层、填充层、保护层、</w:t>
            </w:r>
            <w:r>
              <w:rPr>
                <w:rFonts w:hint="eastAsia"/>
                <w:b/>
                <w:bCs/>
                <w:color w:val="auto"/>
                <w:highlight w:val="none"/>
                <w:lang w:eastAsia="zh-CN"/>
              </w:rPr>
              <w:t>防水、地砖、</w:t>
            </w:r>
            <w:r>
              <w:rPr>
                <w:rFonts w:hint="eastAsia"/>
                <w:color w:val="auto"/>
                <w:highlight w:val="none"/>
                <w:lang w:eastAsia="zh-CN"/>
              </w:rPr>
              <w:t>自流平、</w:t>
            </w:r>
            <w:r>
              <w:rPr>
                <w:rFonts w:hint="eastAsia"/>
                <w:b/>
                <w:bCs/>
                <w:color w:val="auto"/>
                <w:highlight w:val="none"/>
                <w:lang w:eastAsia="zh-CN"/>
              </w:rPr>
              <w:t>PVC地板、</w:t>
            </w:r>
            <w:r>
              <w:rPr>
                <w:rFonts w:hint="eastAsia"/>
                <w:color w:val="auto"/>
                <w:highlight w:val="none"/>
                <w:lang w:eastAsia="zh-CN"/>
              </w:rPr>
              <w:t>踢脚线、门槛石、窗台</w:t>
            </w:r>
            <w:r>
              <w:rPr>
                <w:rFonts w:hint="eastAsia"/>
                <w:b/>
                <w:bCs/>
                <w:color w:val="auto"/>
                <w:highlight w:val="none"/>
                <w:lang w:eastAsia="zh-CN"/>
              </w:rPr>
              <w:t>石等</w:t>
            </w:r>
            <w:r>
              <w:rPr>
                <w:rFonts w:hint="eastAsia"/>
                <w:color w:val="auto"/>
                <w:highlight w:val="none"/>
                <w:lang w:eastAsia="zh-CN"/>
              </w:rPr>
              <w:t>（包含建筑做法，具体详见图纸内容）。</w:t>
            </w:r>
          </w:p>
          <w:p>
            <w:pPr>
              <w:rPr>
                <w:color w:val="auto"/>
                <w:highlight w:val="none"/>
                <w:lang w:eastAsia="zh-CN"/>
              </w:rPr>
            </w:pPr>
            <w:r>
              <w:rPr>
                <w:rFonts w:hint="eastAsia"/>
                <w:color w:val="auto"/>
                <w:highlight w:val="none"/>
                <w:lang w:eastAsia="zh-CN"/>
              </w:rPr>
              <w:t>2）墙（柱）面：区域内隔墙砌筑、抹灰、密缝墙砖、</w:t>
            </w:r>
            <w:r>
              <w:rPr>
                <w:rFonts w:hint="eastAsia"/>
                <w:b/>
                <w:bCs/>
                <w:color w:val="auto"/>
                <w:highlight w:val="none"/>
                <w:lang w:eastAsia="zh-CN"/>
              </w:rPr>
              <w:t>抗菌乳胶漆、装饰板</w:t>
            </w:r>
            <w:r>
              <w:rPr>
                <w:rFonts w:hint="eastAsia"/>
                <w:color w:val="auto"/>
                <w:highlight w:val="none"/>
                <w:lang w:eastAsia="zh-CN"/>
              </w:rPr>
              <w:t>等全部</w:t>
            </w:r>
            <w:r>
              <w:rPr>
                <w:color w:val="auto"/>
                <w:highlight w:val="none"/>
                <w:lang w:eastAsia="zh-CN"/>
              </w:rPr>
              <w:t>墙体饰面</w:t>
            </w:r>
            <w:r>
              <w:rPr>
                <w:rFonts w:hint="eastAsia"/>
                <w:color w:val="auto"/>
                <w:highlight w:val="none"/>
                <w:lang w:eastAsia="zh-CN"/>
              </w:rPr>
              <w:t>。</w:t>
            </w:r>
          </w:p>
          <w:p>
            <w:pPr>
              <w:rPr>
                <w:color w:val="auto"/>
                <w:highlight w:val="none"/>
                <w:lang w:eastAsia="zh-CN"/>
              </w:rPr>
            </w:pPr>
            <w:r>
              <w:rPr>
                <w:rFonts w:hint="eastAsia"/>
                <w:color w:val="auto"/>
                <w:highlight w:val="none"/>
                <w:lang w:eastAsia="zh-CN"/>
              </w:rPr>
              <w:t>3）天花：承包区域内天花、抗菌乳胶漆、吊塔底座及收边收口，配合医疗设备安装进行开孔及收边收口等。</w:t>
            </w:r>
          </w:p>
          <w:p>
            <w:pPr>
              <w:rPr>
                <w:color w:val="auto"/>
                <w:highlight w:val="none"/>
                <w:lang w:eastAsia="zh-CN"/>
              </w:rPr>
            </w:pPr>
            <w:r>
              <w:rPr>
                <w:rFonts w:hint="eastAsia"/>
                <w:color w:val="auto"/>
                <w:highlight w:val="none"/>
                <w:lang w:eastAsia="zh-CN"/>
              </w:rPr>
              <w:t>4）其它：专业卫生</w:t>
            </w:r>
            <w:r>
              <w:rPr>
                <w:rFonts w:hint="eastAsia"/>
                <w:b/>
                <w:bCs/>
                <w:color w:val="auto"/>
                <w:highlight w:val="none"/>
                <w:lang w:eastAsia="zh-CN"/>
              </w:rPr>
              <w:t>洁具，气密门、钢质门</w:t>
            </w:r>
            <w:r>
              <w:rPr>
                <w:rFonts w:hint="eastAsia"/>
                <w:color w:val="auto"/>
                <w:highlight w:val="none"/>
                <w:lang w:eastAsia="zh-CN"/>
              </w:rPr>
              <w:t>、窗台板，防撞带、固定药品柜、固定器械柜、观片灯、传递窗、刷手池，</w:t>
            </w:r>
            <w:r>
              <w:rPr>
                <w:color w:val="auto"/>
                <w:highlight w:val="none"/>
                <w:lang w:eastAsia="zh-CN"/>
              </w:rPr>
              <w:t>及承包区域</w:t>
            </w:r>
            <w:r>
              <w:rPr>
                <w:rFonts w:hint="eastAsia"/>
                <w:color w:val="auto"/>
                <w:highlight w:val="none"/>
                <w:lang w:eastAsia="zh-CN"/>
              </w:rPr>
              <w:t>内</w:t>
            </w:r>
            <w:r>
              <w:rPr>
                <w:color w:val="auto"/>
                <w:highlight w:val="none"/>
                <w:lang w:eastAsia="zh-CN"/>
              </w:rPr>
              <w:t>与其他专业交接处的全部</w:t>
            </w:r>
            <w:r>
              <w:rPr>
                <w:rFonts w:hint="eastAsia"/>
                <w:color w:val="auto"/>
                <w:highlight w:val="none"/>
                <w:lang w:eastAsia="zh-CN"/>
              </w:rPr>
              <w:t>收边收口</w:t>
            </w:r>
            <w:r>
              <w:rPr>
                <w:color w:val="auto"/>
                <w:highlight w:val="none"/>
                <w:lang w:eastAsia="zh-CN"/>
              </w:rPr>
              <w:t>工作。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708" w:type="dxa"/>
            <w:vMerge w:val="continue"/>
            <w:shd w:val="clear" w:color="auto" w:fill="auto"/>
            <w:vAlign w:val="center"/>
          </w:tcPr>
          <w:p>
            <w:pPr>
              <w:rPr>
                <w:color w:val="auto"/>
                <w:highlight w:val="none"/>
                <w:lang w:eastAsia="zh-CN"/>
              </w:rPr>
            </w:pPr>
          </w:p>
        </w:tc>
        <w:tc>
          <w:tcPr>
            <w:tcW w:w="1701" w:type="dxa"/>
            <w:vMerge w:val="continue"/>
            <w:shd w:val="clear" w:color="auto" w:fill="auto"/>
            <w:vAlign w:val="center"/>
          </w:tcPr>
          <w:p>
            <w:pPr>
              <w:rPr>
                <w:color w:val="auto"/>
                <w:highlight w:val="none"/>
                <w:lang w:eastAsia="zh-CN"/>
              </w:rPr>
            </w:pPr>
          </w:p>
        </w:tc>
        <w:tc>
          <w:tcPr>
            <w:tcW w:w="1254" w:type="dxa"/>
            <w:shd w:val="clear" w:color="auto" w:fill="auto"/>
            <w:vAlign w:val="center"/>
          </w:tcPr>
          <w:p>
            <w:pPr>
              <w:rPr>
                <w:color w:val="auto"/>
                <w:highlight w:val="none"/>
              </w:rPr>
            </w:pPr>
            <w:r>
              <w:rPr>
                <w:rFonts w:hint="eastAsia"/>
                <w:color w:val="auto"/>
                <w:highlight w:val="none"/>
                <w:lang w:eastAsia="zh-CN"/>
              </w:rPr>
              <w:t>强电</w:t>
            </w:r>
            <w:r>
              <w:rPr>
                <w:rFonts w:hint="eastAsia"/>
                <w:color w:val="auto"/>
                <w:highlight w:val="none"/>
              </w:rPr>
              <w:t>工程</w:t>
            </w:r>
          </w:p>
        </w:tc>
        <w:tc>
          <w:tcPr>
            <w:tcW w:w="5834" w:type="dxa"/>
            <w:shd w:val="clear" w:color="auto" w:fill="auto"/>
            <w:vAlign w:val="center"/>
          </w:tcPr>
          <w:p>
            <w:pPr>
              <w:rPr>
                <w:color w:val="auto"/>
                <w:highlight w:val="none"/>
                <w:lang w:eastAsia="zh-CN"/>
              </w:rPr>
            </w:pPr>
            <w:r>
              <w:rPr>
                <w:rFonts w:hint="eastAsia"/>
                <w:color w:val="auto"/>
                <w:highlight w:val="none"/>
                <w:lang w:eastAsia="zh-CN"/>
              </w:rPr>
              <w:t>区域内所有</w:t>
            </w:r>
            <w:r>
              <w:rPr>
                <w:rFonts w:hint="eastAsia"/>
                <w:b/>
                <w:bCs/>
                <w:color w:val="auto"/>
                <w:highlight w:val="none"/>
                <w:lang w:eastAsia="zh-CN"/>
              </w:rPr>
              <w:t>三箱</w:t>
            </w:r>
            <w:r>
              <w:rPr>
                <w:rFonts w:hint="eastAsia"/>
                <w:color w:val="auto"/>
                <w:highlight w:val="none"/>
                <w:lang w:eastAsia="zh-CN"/>
              </w:rPr>
              <w:t>、双电源箱、线槽、桥架、线管开槽及修复、线管线盒、金属软管、</w:t>
            </w:r>
            <w:r>
              <w:rPr>
                <w:rFonts w:hint="eastAsia"/>
                <w:b/>
                <w:bCs/>
                <w:color w:val="auto"/>
                <w:highlight w:val="none"/>
                <w:lang w:eastAsia="zh-CN"/>
              </w:rPr>
              <w:t>电线、电缆、普通灯具、光源、密闭灯具、开关、插座、UPS、隔离电源</w:t>
            </w:r>
            <w:r>
              <w:rPr>
                <w:rFonts w:hint="eastAsia"/>
                <w:color w:val="auto"/>
                <w:highlight w:val="none"/>
                <w:lang w:eastAsia="zh-CN"/>
              </w:rPr>
              <w:t>、等电位接地（含灯具、卫生洁具）等采购、安装与调试。</w:t>
            </w:r>
          </w:p>
          <w:p>
            <w:pPr>
              <w:rPr>
                <w:color w:val="auto"/>
                <w:highlight w:val="no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0" w:hRule="atLeast"/>
        </w:trPr>
        <w:tc>
          <w:tcPr>
            <w:tcW w:w="708" w:type="dxa"/>
            <w:vMerge w:val="continue"/>
            <w:shd w:val="clear" w:color="auto" w:fill="auto"/>
            <w:vAlign w:val="center"/>
          </w:tcPr>
          <w:p>
            <w:pPr>
              <w:rPr>
                <w:color w:val="auto"/>
                <w:highlight w:val="none"/>
                <w:lang w:eastAsia="zh-CN"/>
              </w:rPr>
            </w:pPr>
          </w:p>
        </w:tc>
        <w:tc>
          <w:tcPr>
            <w:tcW w:w="1701" w:type="dxa"/>
            <w:vMerge w:val="continue"/>
            <w:shd w:val="clear" w:color="auto" w:fill="auto"/>
            <w:vAlign w:val="center"/>
          </w:tcPr>
          <w:p>
            <w:pPr>
              <w:rPr>
                <w:color w:val="auto"/>
                <w:highlight w:val="none"/>
                <w:lang w:eastAsia="zh-CN"/>
              </w:rPr>
            </w:pPr>
          </w:p>
        </w:tc>
        <w:tc>
          <w:tcPr>
            <w:tcW w:w="1254" w:type="dxa"/>
            <w:shd w:val="clear" w:color="auto" w:fill="auto"/>
            <w:vAlign w:val="center"/>
          </w:tcPr>
          <w:p>
            <w:pPr>
              <w:rPr>
                <w:color w:val="auto"/>
                <w:highlight w:val="none"/>
              </w:rPr>
            </w:pPr>
            <w:r>
              <w:rPr>
                <w:rFonts w:hint="eastAsia"/>
                <w:color w:val="auto"/>
                <w:highlight w:val="none"/>
              </w:rPr>
              <w:t>给排水</w:t>
            </w:r>
            <w:r>
              <w:rPr>
                <w:color w:val="auto"/>
                <w:highlight w:val="none"/>
              </w:rPr>
              <w:t>、</w:t>
            </w:r>
            <w:r>
              <w:rPr>
                <w:b/>
                <w:bCs/>
                <w:color w:val="auto"/>
                <w:highlight w:val="none"/>
              </w:rPr>
              <w:t>纯水</w:t>
            </w:r>
          </w:p>
        </w:tc>
        <w:tc>
          <w:tcPr>
            <w:tcW w:w="5834" w:type="dxa"/>
            <w:shd w:val="clear" w:color="auto" w:fill="auto"/>
            <w:vAlign w:val="center"/>
          </w:tcPr>
          <w:p>
            <w:pPr>
              <w:rPr>
                <w:color w:val="auto"/>
                <w:highlight w:val="none"/>
                <w:lang w:eastAsia="zh-CN"/>
              </w:rPr>
            </w:pPr>
            <w:r>
              <w:rPr>
                <w:rFonts w:hint="eastAsia"/>
                <w:color w:val="auto"/>
                <w:highlight w:val="none"/>
                <w:lang w:eastAsia="zh-CN"/>
              </w:rPr>
              <w:t>1）负责总承包商提供的给排水点位后的管线及末端医用用水器具和普通卫生器具（</w:t>
            </w:r>
            <w:r>
              <w:rPr>
                <w:rFonts w:hint="eastAsia"/>
                <w:b/>
                <w:bCs/>
                <w:color w:val="auto"/>
                <w:highlight w:val="none"/>
                <w:lang w:eastAsia="zh-CN"/>
              </w:rPr>
              <w:t>卫生洁具、淋浴器、水龙头、角阀等所有五金配件</w:t>
            </w:r>
            <w:r>
              <w:rPr>
                <w:rFonts w:hint="eastAsia"/>
                <w:color w:val="auto"/>
                <w:highlight w:val="none"/>
                <w:lang w:eastAsia="zh-CN"/>
              </w:rPr>
              <w:t>）</w:t>
            </w:r>
            <w:r>
              <w:rPr>
                <w:rFonts w:hint="eastAsia"/>
                <w:b/>
                <w:bCs/>
                <w:color w:val="auto"/>
                <w:highlight w:val="none"/>
                <w:lang w:eastAsia="zh-CN"/>
              </w:rPr>
              <w:t>、专用地漏、热水器</w:t>
            </w:r>
            <w:r>
              <w:rPr>
                <w:rFonts w:hint="eastAsia"/>
                <w:color w:val="auto"/>
                <w:highlight w:val="none"/>
                <w:lang w:eastAsia="zh-CN"/>
              </w:rPr>
              <w:t>等采购安装，负责各给水点与卫生器具和配件给水支管的连接等，并且配合总包单位调试、验收。</w:t>
            </w:r>
          </w:p>
          <w:p>
            <w:pPr>
              <w:rPr>
                <w:color w:val="auto"/>
                <w:highlight w:val="none"/>
                <w:lang w:eastAsia="zh-CN"/>
              </w:rPr>
            </w:pPr>
            <w:r>
              <w:rPr>
                <w:rFonts w:hint="eastAsia"/>
                <w:color w:val="auto"/>
                <w:highlight w:val="none"/>
                <w:lang w:eastAsia="zh-CN"/>
              </w:rPr>
              <w:t>2）区域内（包括但不限于）地漏、洁具、楼板以上的存水弯安装，负责总包甩口管道与洁具、用水设备的连接及密封处理，负责提供准确的末端定位。</w:t>
            </w:r>
          </w:p>
          <w:p>
            <w:pPr>
              <w:rPr>
                <w:color w:val="auto"/>
                <w:highlight w:val="none"/>
                <w:lang w:eastAsia="zh-CN"/>
              </w:rPr>
            </w:pPr>
            <w:r>
              <w:rPr>
                <w:rFonts w:hint="eastAsia"/>
                <w:color w:val="auto"/>
                <w:highlight w:val="none"/>
                <w:lang w:eastAsia="zh-CN"/>
              </w:rPr>
              <w:t>3）负责区域内的医用纯水</w:t>
            </w:r>
            <w:r>
              <w:rPr>
                <w:color w:val="auto"/>
                <w:highlight w:val="none"/>
                <w:lang w:eastAsia="zh-CN"/>
              </w:rPr>
              <w:t>与用水设备预留接口连接</w:t>
            </w:r>
            <w:r>
              <w:rPr>
                <w:rFonts w:hint="eastAsia"/>
                <w:color w:val="auto"/>
                <w:highlight w:val="none"/>
                <w:lang w:eastAsia="zh-CN"/>
              </w:rPr>
              <w:t>；提供本区域及设备机房排水点需求及定位深化图。</w:t>
            </w:r>
          </w:p>
          <w:p>
            <w:pPr>
              <w:rPr>
                <w:color w:val="auto"/>
                <w:highlight w:val="none"/>
              </w:rPr>
            </w:pPr>
            <w:r>
              <w:rPr>
                <w:color w:val="auto"/>
                <w:highlight w:val="none"/>
              </w:rPr>
              <w:t>4）不含消防水系统。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40" w:hRule="atLeast"/>
        </w:trPr>
        <w:tc>
          <w:tcPr>
            <w:tcW w:w="708" w:type="dxa"/>
            <w:vMerge w:val="continue"/>
            <w:shd w:val="clear" w:color="auto" w:fill="auto"/>
            <w:vAlign w:val="center"/>
          </w:tcPr>
          <w:p>
            <w:pPr>
              <w:rPr>
                <w:color w:val="auto"/>
                <w:highlight w:val="none"/>
              </w:rPr>
            </w:pPr>
          </w:p>
        </w:tc>
        <w:tc>
          <w:tcPr>
            <w:tcW w:w="1701" w:type="dxa"/>
            <w:vMerge w:val="continue"/>
            <w:shd w:val="clear" w:color="auto" w:fill="auto"/>
            <w:vAlign w:val="center"/>
          </w:tcPr>
          <w:p>
            <w:pPr>
              <w:rPr>
                <w:color w:val="auto"/>
                <w:highlight w:val="none"/>
              </w:rPr>
            </w:pPr>
          </w:p>
        </w:tc>
        <w:tc>
          <w:tcPr>
            <w:tcW w:w="1254" w:type="dxa"/>
            <w:shd w:val="clear" w:color="auto" w:fill="auto"/>
            <w:vAlign w:val="center"/>
          </w:tcPr>
          <w:p>
            <w:pPr>
              <w:rPr>
                <w:color w:val="auto"/>
                <w:highlight w:val="none"/>
              </w:rPr>
            </w:pPr>
            <w:r>
              <w:rPr>
                <w:rFonts w:hint="eastAsia"/>
                <w:color w:val="auto"/>
                <w:highlight w:val="none"/>
              </w:rPr>
              <w:t>通风与空调</w:t>
            </w:r>
          </w:p>
        </w:tc>
        <w:tc>
          <w:tcPr>
            <w:tcW w:w="5834" w:type="dxa"/>
            <w:shd w:val="clear" w:color="auto" w:fill="auto"/>
            <w:vAlign w:val="center"/>
          </w:tcPr>
          <w:p>
            <w:pPr>
              <w:rPr>
                <w:color w:val="auto"/>
                <w:highlight w:val="none"/>
                <w:lang w:eastAsia="zh-CN"/>
              </w:rPr>
            </w:pPr>
            <w:r>
              <w:rPr>
                <w:rFonts w:hint="eastAsia"/>
                <w:color w:val="auto"/>
                <w:highlight w:val="none"/>
                <w:lang w:eastAsia="zh-CN"/>
              </w:rPr>
              <w:t>1）负责区域内空调专业图纸及其隐含内容（施工图纸未明确的通常且必须的施工内容、一个有经验的承包商所能预见且必须的施工内容）的净化空调及普通空调设备、风系统、水系统、排风系统的所有</w:t>
            </w:r>
            <w:r>
              <w:rPr>
                <w:rFonts w:hint="eastAsia"/>
                <w:b/>
                <w:bCs/>
                <w:color w:val="auto"/>
                <w:highlight w:val="none"/>
                <w:lang w:eastAsia="zh-CN"/>
              </w:rPr>
              <w:t>设备、</w:t>
            </w:r>
            <w:r>
              <w:rPr>
                <w:rFonts w:hint="eastAsia"/>
                <w:color w:val="auto"/>
                <w:highlight w:val="none"/>
                <w:lang w:eastAsia="zh-CN"/>
              </w:rPr>
              <w:t>管道、仪表</w:t>
            </w:r>
            <w:r>
              <w:rPr>
                <w:rFonts w:hint="eastAsia"/>
                <w:b/>
                <w:bCs/>
                <w:color w:val="auto"/>
                <w:highlight w:val="none"/>
                <w:lang w:eastAsia="zh-CN"/>
              </w:rPr>
              <w:t>、阀门、保温</w:t>
            </w:r>
            <w:r>
              <w:rPr>
                <w:rFonts w:hint="eastAsia"/>
                <w:color w:val="auto"/>
                <w:highlight w:val="none"/>
                <w:lang w:eastAsia="zh-CN"/>
              </w:rPr>
              <w:t>等及其构配件的采购、运输、安装等。</w:t>
            </w:r>
          </w:p>
          <w:p>
            <w:pPr>
              <w:rPr>
                <w:color w:val="auto"/>
                <w:highlight w:val="none"/>
                <w:lang w:eastAsia="zh-CN"/>
              </w:rPr>
            </w:pPr>
            <w:r>
              <w:rPr>
                <w:rFonts w:hint="eastAsia"/>
                <w:color w:val="auto"/>
                <w:highlight w:val="none"/>
                <w:lang w:eastAsia="zh-CN"/>
              </w:rPr>
              <w:t>2）负责区域内净化空调的</w:t>
            </w:r>
            <w:r>
              <w:rPr>
                <w:rFonts w:hint="eastAsia"/>
                <w:b/>
                <w:bCs/>
                <w:color w:val="auto"/>
                <w:highlight w:val="none"/>
                <w:lang w:eastAsia="zh-CN"/>
              </w:rPr>
              <w:t>自控系统</w:t>
            </w:r>
            <w:r>
              <w:rPr>
                <w:rFonts w:hint="eastAsia"/>
                <w:color w:val="auto"/>
                <w:highlight w:val="none"/>
                <w:lang w:eastAsia="zh-CN"/>
              </w:rPr>
              <w:t>的深化设计、控制主机、传感器、执行器、模块、模块箱、配管配线、开槽及修复等采购、安装及调试。</w:t>
            </w:r>
          </w:p>
          <w:p>
            <w:pPr>
              <w:rPr>
                <w:color w:val="auto"/>
                <w:highlight w:val="none"/>
                <w:lang w:eastAsia="zh-CN"/>
              </w:rPr>
            </w:pPr>
            <w:r>
              <w:rPr>
                <w:rFonts w:hint="eastAsia"/>
                <w:color w:val="auto"/>
                <w:highlight w:val="none"/>
                <w:lang w:eastAsia="zh-CN"/>
              </w:rPr>
              <w:t>3）负责区域内的空调风、水系统的清洁、调试。</w:t>
            </w:r>
          </w:p>
          <w:p>
            <w:pPr>
              <w:pStyle w:val="2"/>
              <w:rPr>
                <w:color w:val="auto"/>
                <w:highlight w:val="none"/>
                <w:lang w:eastAsia="zh-CN"/>
              </w:rPr>
            </w:pPr>
            <w:r>
              <w:rPr>
                <w:color w:val="auto"/>
                <w:highlight w:val="none"/>
                <w:lang w:eastAsia="zh-CN"/>
              </w:rPr>
              <w:t>4）提供采购设备的基础大样图、室外以及屋顶设备管道布置及大样图纸给总承包商。</w:t>
            </w:r>
          </w:p>
          <w:p>
            <w:pPr>
              <w:rPr>
                <w:color w:val="auto"/>
                <w:highlight w:val="none"/>
              </w:rPr>
            </w:pPr>
            <w:r>
              <w:rPr>
                <w:color w:val="auto"/>
                <w:highlight w:val="none"/>
                <w:lang w:bidi="ar"/>
              </w:rPr>
              <w:t>5</w:t>
            </w:r>
            <w:r>
              <w:rPr>
                <w:rFonts w:hint="eastAsia"/>
                <w:color w:val="auto"/>
                <w:highlight w:val="none"/>
                <w:lang w:bidi="ar"/>
              </w:rPr>
              <w:t>）不含防排烟系统。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trPr>
        <w:tc>
          <w:tcPr>
            <w:tcW w:w="708" w:type="dxa"/>
            <w:vMerge w:val="continue"/>
            <w:shd w:val="clear" w:color="auto" w:fill="auto"/>
            <w:vAlign w:val="center"/>
          </w:tcPr>
          <w:p>
            <w:pPr>
              <w:rPr>
                <w:color w:val="auto"/>
                <w:highlight w:val="none"/>
              </w:rPr>
            </w:pPr>
          </w:p>
        </w:tc>
        <w:tc>
          <w:tcPr>
            <w:tcW w:w="1701" w:type="dxa"/>
            <w:vMerge w:val="continue"/>
            <w:shd w:val="clear" w:color="auto" w:fill="auto"/>
            <w:vAlign w:val="center"/>
          </w:tcPr>
          <w:p>
            <w:pPr>
              <w:rPr>
                <w:color w:val="auto"/>
                <w:highlight w:val="none"/>
              </w:rPr>
            </w:pPr>
          </w:p>
        </w:tc>
        <w:tc>
          <w:tcPr>
            <w:tcW w:w="1254" w:type="dxa"/>
            <w:shd w:val="clear" w:color="auto" w:fill="auto"/>
            <w:vAlign w:val="center"/>
          </w:tcPr>
          <w:p>
            <w:pPr>
              <w:rPr>
                <w:color w:val="auto"/>
                <w:highlight w:val="none"/>
              </w:rPr>
            </w:pPr>
            <w:r>
              <w:rPr>
                <w:rFonts w:hint="eastAsia"/>
                <w:color w:val="auto"/>
                <w:highlight w:val="none"/>
              </w:rPr>
              <w:t>消防</w:t>
            </w:r>
          </w:p>
        </w:tc>
        <w:tc>
          <w:tcPr>
            <w:tcW w:w="5834" w:type="dxa"/>
            <w:shd w:val="clear" w:color="auto" w:fill="auto"/>
            <w:vAlign w:val="center"/>
          </w:tcPr>
          <w:p>
            <w:pPr>
              <w:rPr>
                <w:color w:val="auto"/>
                <w:highlight w:val="none"/>
                <w:lang w:eastAsia="zh-CN"/>
              </w:rPr>
            </w:pPr>
            <w:r>
              <w:rPr>
                <w:color w:val="auto"/>
                <w:highlight w:val="none"/>
                <w:lang w:eastAsia="zh-CN"/>
              </w:rPr>
              <w:t>1</w:t>
            </w:r>
            <w:r>
              <w:rPr>
                <w:rFonts w:hint="eastAsia"/>
                <w:color w:val="auto"/>
                <w:highlight w:val="none"/>
                <w:lang w:eastAsia="zh-CN"/>
              </w:rPr>
              <w:t>）配合相关单位进行消防系统安装、调试及验收工作。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708" w:type="dxa"/>
            <w:vMerge w:val="continue"/>
            <w:shd w:val="clear" w:color="auto" w:fill="auto"/>
            <w:vAlign w:val="center"/>
          </w:tcPr>
          <w:p>
            <w:pPr>
              <w:rPr>
                <w:color w:val="auto"/>
                <w:highlight w:val="none"/>
                <w:lang w:eastAsia="zh-CN"/>
              </w:rPr>
            </w:pPr>
          </w:p>
        </w:tc>
        <w:tc>
          <w:tcPr>
            <w:tcW w:w="1701" w:type="dxa"/>
            <w:vMerge w:val="continue"/>
            <w:shd w:val="clear" w:color="auto" w:fill="auto"/>
            <w:vAlign w:val="center"/>
          </w:tcPr>
          <w:p>
            <w:pPr>
              <w:rPr>
                <w:color w:val="auto"/>
                <w:highlight w:val="none"/>
                <w:lang w:eastAsia="zh-CN"/>
              </w:rPr>
            </w:pPr>
          </w:p>
        </w:tc>
        <w:tc>
          <w:tcPr>
            <w:tcW w:w="1254" w:type="dxa"/>
            <w:shd w:val="clear" w:color="auto" w:fill="auto"/>
            <w:vAlign w:val="center"/>
          </w:tcPr>
          <w:p>
            <w:pPr>
              <w:rPr>
                <w:color w:val="auto"/>
                <w:highlight w:val="none"/>
              </w:rPr>
            </w:pPr>
            <w:r>
              <w:rPr>
                <w:rFonts w:hint="eastAsia"/>
                <w:color w:val="auto"/>
                <w:highlight w:val="none"/>
              </w:rPr>
              <w:t>智能化</w:t>
            </w:r>
          </w:p>
        </w:tc>
        <w:tc>
          <w:tcPr>
            <w:tcW w:w="5834" w:type="dxa"/>
            <w:shd w:val="clear" w:color="auto" w:fill="auto"/>
            <w:vAlign w:val="center"/>
          </w:tcPr>
          <w:p>
            <w:pPr>
              <w:rPr>
                <w:color w:val="auto"/>
                <w:highlight w:val="none"/>
                <w:lang w:eastAsia="zh-CN"/>
              </w:rPr>
            </w:pPr>
            <w:r>
              <w:rPr>
                <w:rFonts w:hint="eastAsia"/>
                <w:color w:val="auto"/>
                <w:highlight w:val="none"/>
                <w:lang w:eastAsia="zh-CN"/>
              </w:rPr>
              <w:t>1）负责区域内各弱电系统（包括但不限于综合布线系统、医用对讲系统、医用监控系统、广播系统、门禁系统，详设计图纸）的设备采购、安装及调试，含配线配管采购、开槽修复、封堵及收边收口等。</w:t>
            </w:r>
          </w:p>
          <w:p>
            <w:pPr>
              <w:rPr>
                <w:color w:val="auto"/>
                <w:highlight w:val="none"/>
                <w:lang w:eastAsia="zh-CN"/>
              </w:rPr>
            </w:pPr>
            <w:r>
              <w:rPr>
                <w:rFonts w:hint="eastAsia"/>
                <w:color w:val="auto"/>
                <w:highlight w:val="none"/>
                <w:lang w:eastAsia="zh-CN"/>
              </w:rPr>
              <w:t>2）手术区内专有</w:t>
            </w:r>
            <w:r>
              <w:rPr>
                <w:color w:val="auto"/>
                <w:highlight w:val="none"/>
                <w:lang w:eastAsia="zh-CN"/>
              </w:rPr>
              <w:t>（</w:t>
            </w:r>
            <w:r>
              <w:rPr>
                <w:rFonts w:hint="eastAsia"/>
                <w:color w:val="auto"/>
                <w:highlight w:val="none"/>
                <w:lang w:eastAsia="zh-CN"/>
              </w:rPr>
              <w:t>不与</w:t>
            </w:r>
            <w:r>
              <w:rPr>
                <w:color w:val="auto"/>
                <w:highlight w:val="none"/>
                <w:lang w:eastAsia="zh-CN"/>
              </w:rPr>
              <w:t>大楼</w:t>
            </w:r>
            <w:r>
              <w:rPr>
                <w:rFonts w:hint="eastAsia"/>
                <w:color w:val="auto"/>
                <w:highlight w:val="none"/>
                <w:lang w:eastAsia="zh-CN"/>
              </w:rPr>
              <w:t>共用</w:t>
            </w:r>
            <w:r>
              <w:rPr>
                <w:color w:val="auto"/>
                <w:highlight w:val="none"/>
                <w:lang w:eastAsia="zh-CN"/>
              </w:rPr>
              <w:t>主机）</w:t>
            </w:r>
            <w:r>
              <w:rPr>
                <w:rFonts w:hint="eastAsia"/>
                <w:color w:val="auto"/>
                <w:highlight w:val="none"/>
                <w:lang w:eastAsia="zh-CN"/>
              </w:rPr>
              <w:t>的</w:t>
            </w:r>
            <w:r>
              <w:rPr>
                <w:color w:val="auto"/>
                <w:highlight w:val="none"/>
                <w:lang w:eastAsia="zh-CN"/>
              </w:rPr>
              <w:t>智能化系统、</w:t>
            </w:r>
            <w:r>
              <w:rPr>
                <w:rFonts w:hint="eastAsia"/>
                <w:color w:val="auto"/>
                <w:highlight w:val="none"/>
                <w:lang w:eastAsia="zh-CN"/>
              </w:rPr>
              <w:t>净化空调自控、手术室/</w:t>
            </w:r>
            <w:r>
              <w:rPr>
                <w:color w:val="auto"/>
                <w:highlight w:val="none"/>
                <w:lang w:eastAsia="zh-CN"/>
              </w:rPr>
              <w:t>icu</w:t>
            </w:r>
            <w:r>
              <w:rPr>
                <w:rFonts w:hint="eastAsia"/>
                <w:color w:val="auto"/>
                <w:highlight w:val="none"/>
                <w:lang w:eastAsia="zh-CN"/>
              </w:rPr>
              <w:t>中央控制面板、温控器设备的采购、安装及调试。</w:t>
            </w:r>
          </w:p>
          <w:p>
            <w:pPr>
              <w:rPr>
                <w:color w:val="auto"/>
                <w:highlight w:val="none"/>
                <w:lang w:eastAsia="zh-CN"/>
              </w:rPr>
            </w:pPr>
            <w:r>
              <w:rPr>
                <w:rFonts w:hint="eastAsia"/>
                <w:color w:val="auto"/>
                <w:highlight w:val="none"/>
                <w:lang w:eastAsia="zh-CN"/>
              </w:rPr>
              <w:t>3）</w:t>
            </w:r>
            <w:r>
              <w:rPr>
                <w:color w:val="auto"/>
                <w:highlight w:val="none"/>
                <w:lang w:eastAsia="zh-CN"/>
              </w:rPr>
              <w:t>负责</w:t>
            </w:r>
            <w:r>
              <w:rPr>
                <w:rFonts w:hint="eastAsia"/>
                <w:color w:val="auto"/>
                <w:highlight w:val="none"/>
                <w:lang w:eastAsia="zh-CN"/>
              </w:rPr>
              <w:t>实现手术</w:t>
            </w:r>
            <w:r>
              <w:rPr>
                <w:color w:val="auto"/>
                <w:highlight w:val="none"/>
                <w:lang w:eastAsia="zh-CN"/>
              </w:rPr>
              <w:t>室</w:t>
            </w:r>
            <w:r>
              <w:rPr>
                <w:rFonts w:hint="eastAsia"/>
                <w:color w:val="auto"/>
                <w:highlight w:val="none"/>
                <w:lang w:eastAsia="zh-CN"/>
              </w:rPr>
              <w:t>/</w:t>
            </w:r>
            <w:r>
              <w:rPr>
                <w:color w:val="auto"/>
                <w:highlight w:val="none"/>
                <w:lang w:eastAsia="zh-CN"/>
              </w:rPr>
              <w:t>icu中央控制面板</w:t>
            </w:r>
            <w:r>
              <w:rPr>
                <w:rFonts w:hint="eastAsia"/>
                <w:color w:val="auto"/>
                <w:highlight w:val="none"/>
                <w:lang w:eastAsia="zh-CN"/>
              </w:rPr>
              <w:t>功能</w:t>
            </w:r>
            <w:r>
              <w:rPr>
                <w:color w:val="auto"/>
                <w:highlight w:val="none"/>
                <w:lang w:eastAsia="zh-CN"/>
              </w:rPr>
              <w:t>所需要的组织协调工作。</w:t>
            </w:r>
          </w:p>
          <w:p>
            <w:pPr>
              <w:rPr>
                <w:color w:val="auto"/>
                <w:highlight w:val="none"/>
                <w:lang w:eastAsia="zh-CN"/>
              </w:rPr>
            </w:pPr>
            <w:r>
              <w:rPr>
                <w:color w:val="auto"/>
                <w:highlight w:val="none"/>
                <w:lang w:eastAsia="zh-CN"/>
              </w:rPr>
              <w:t>5）绘制</w:t>
            </w:r>
            <w:r>
              <w:rPr>
                <w:rFonts w:hint="eastAsia"/>
                <w:color w:val="auto"/>
                <w:highlight w:val="none"/>
                <w:lang w:eastAsia="zh-CN"/>
              </w:rPr>
              <w:t>智能化</w:t>
            </w:r>
            <w:r>
              <w:rPr>
                <w:color w:val="auto"/>
                <w:highlight w:val="none"/>
                <w:lang w:eastAsia="zh-CN"/>
              </w:rPr>
              <w:t>末端排版定位图。</w:t>
            </w:r>
          </w:p>
          <w:p>
            <w:pPr>
              <w:rPr>
                <w:color w:val="auto"/>
                <w:highlight w:val="none"/>
                <w:lang w:eastAsia="zh-CN"/>
              </w:rPr>
            </w:pPr>
            <w:r>
              <w:rPr>
                <w:color w:val="auto"/>
                <w:highlight w:val="none"/>
                <w:lang w:eastAsia="zh-CN"/>
              </w:rPr>
              <w:t>6）负责承包范围内的</w:t>
            </w:r>
            <w:r>
              <w:rPr>
                <w:b/>
                <w:bCs/>
                <w:color w:val="auto"/>
                <w:highlight w:val="none"/>
                <w:lang w:eastAsia="zh-CN"/>
              </w:rPr>
              <w:t>综合管线</w:t>
            </w:r>
            <w:r>
              <w:rPr>
                <w:rFonts w:hint="eastAsia"/>
                <w:b/>
                <w:bCs/>
                <w:color w:val="auto"/>
                <w:highlight w:val="none"/>
                <w:lang w:eastAsia="zh-CN"/>
              </w:rPr>
              <w:t>（桥架）</w:t>
            </w:r>
            <w:r>
              <w:rPr>
                <w:color w:val="auto"/>
                <w:highlight w:val="none"/>
                <w:lang w:eastAsia="zh-CN"/>
              </w:rPr>
              <w:t>的设计及施工。</w:t>
            </w:r>
          </w:p>
          <w:p>
            <w:pPr>
              <w:rPr>
                <w:color w:val="auto"/>
                <w:highlight w:val="none"/>
                <w:lang w:eastAsia="zh-CN"/>
              </w:rPr>
            </w:pPr>
            <w:r>
              <w:rPr>
                <w:color w:val="auto"/>
                <w:highlight w:val="none"/>
                <w:lang w:eastAsia="zh-CN"/>
              </w:rPr>
              <w:t>7）负责承包范围内</w:t>
            </w:r>
            <w:r>
              <w:rPr>
                <w:rFonts w:hint="eastAsia"/>
                <w:color w:val="auto"/>
                <w:highlight w:val="none"/>
                <w:lang w:eastAsia="zh-CN"/>
              </w:rPr>
              <w:t>智能化专业管线的预留预埋（含管线开槽、管线敷设、开槽敷管之后的补槽、挂网、抹灰及收边收口等所有工作），及</w:t>
            </w:r>
            <w:r>
              <w:rPr>
                <w:color w:val="auto"/>
                <w:highlight w:val="none"/>
                <w:lang w:eastAsia="zh-CN"/>
              </w:rPr>
              <w:t>管线穿墙或楼板套管内</w:t>
            </w:r>
            <w:r>
              <w:rPr>
                <w:rFonts w:hint="eastAsia"/>
                <w:color w:val="auto"/>
                <w:highlight w:val="none"/>
                <w:lang w:eastAsia="zh-CN"/>
              </w:rPr>
              <w:t>外</w:t>
            </w:r>
            <w:r>
              <w:rPr>
                <w:color w:val="auto"/>
                <w:highlight w:val="none"/>
                <w:lang w:eastAsia="zh-CN"/>
              </w:rPr>
              <w:t>封堵</w:t>
            </w:r>
            <w:r>
              <w:rPr>
                <w:rFonts w:hint="eastAsia"/>
                <w:color w:val="auto"/>
                <w:highlight w:val="none"/>
                <w:lang w:eastAsia="zh-CN"/>
              </w:rPr>
              <w:t>。</w:t>
            </w:r>
          </w:p>
          <w:p>
            <w:pPr>
              <w:pStyle w:val="2"/>
              <w:rPr>
                <w:color w:val="auto"/>
                <w:highlight w:val="none"/>
                <w:lang w:eastAsia="zh-CN"/>
              </w:rPr>
            </w:pPr>
            <w:r>
              <w:rPr>
                <w:color w:val="auto"/>
                <w:highlight w:val="none"/>
                <w:lang w:eastAsia="zh-CN"/>
              </w:rPr>
              <w:t>8）区域内洁净空调、通风自控系统、控制面板、设备及电线电缆、线管的采购安装与调试。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80" w:hRule="atLeast"/>
        </w:trPr>
        <w:tc>
          <w:tcPr>
            <w:tcW w:w="708" w:type="dxa"/>
            <w:vMerge w:val="continue"/>
            <w:shd w:val="clear" w:color="auto" w:fill="auto"/>
            <w:vAlign w:val="center"/>
          </w:tcPr>
          <w:p>
            <w:pPr>
              <w:rPr>
                <w:color w:val="auto"/>
                <w:highlight w:val="none"/>
                <w:lang w:eastAsia="zh-CN"/>
              </w:rPr>
            </w:pPr>
          </w:p>
        </w:tc>
        <w:tc>
          <w:tcPr>
            <w:tcW w:w="1701" w:type="dxa"/>
            <w:vMerge w:val="continue"/>
            <w:shd w:val="clear" w:color="auto" w:fill="auto"/>
            <w:vAlign w:val="center"/>
          </w:tcPr>
          <w:p>
            <w:pPr>
              <w:rPr>
                <w:color w:val="auto"/>
                <w:highlight w:val="none"/>
                <w:lang w:eastAsia="zh-CN"/>
              </w:rPr>
            </w:pPr>
          </w:p>
        </w:tc>
        <w:tc>
          <w:tcPr>
            <w:tcW w:w="1254" w:type="dxa"/>
            <w:shd w:val="clear" w:color="auto" w:fill="auto"/>
            <w:vAlign w:val="center"/>
          </w:tcPr>
          <w:p>
            <w:pPr>
              <w:rPr>
                <w:color w:val="auto"/>
                <w:highlight w:val="none"/>
                <w:lang w:eastAsia="zh-CN"/>
              </w:rPr>
            </w:pPr>
            <w:r>
              <w:rPr>
                <w:rFonts w:hint="eastAsia"/>
                <w:color w:val="auto"/>
                <w:highlight w:val="none"/>
                <w:lang w:eastAsia="zh-CN"/>
              </w:rPr>
              <w:t>综合支吊架、普通支吊架、抗震支吊架</w:t>
            </w:r>
          </w:p>
        </w:tc>
        <w:tc>
          <w:tcPr>
            <w:tcW w:w="5834" w:type="dxa"/>
            <w:shd w:val="clear" w:color="auto" w:fill="auto"/>
            <w:vAlign w:val="center"/>
          </w:tcPr>
          <w:p>
            <w:pPr>
              <w:rPr>
                <w:color w:val="auto"/>
                <w:highlight w:val="none"/>
                <w:lang w:eastAsia="zh-CN"/>
              </w:rPr>
            </w:pPr>
            <w:r>
              <w:rPr>
                <w:color w:val="auto"/>
                <w:highlight w:val="none"/>
                <w:lang w:eastAsia="zh-CN"/>
              </w:rPr>
              <w:t>1）负责净化工程综合支吊架的采购、安装及调试。</w:t>
            </w:r>
          </w:p>
          <w:p>
            <w:pPr>
              <w:rPr>
                <w:color w:val="auto"/>
                <w:highlight w:val="none"/>
                <w:lang w:eastAsia="zh-CN"/>
              </w:rPr>
            </w:pPr>
            <w:r>
              <w:rPr>
                <w:color w:val="auto"/>
                <w:highlight w:val="none"/>
                <w:lang w:eastAsia="zh-CN"/>
              </w:rPr>
              <w:t>2</w:t>
            </w:r>
            <w:r>
              <w:rPr>
                <w:rFonts w:hint="eastAsia"/>
                <w:color w:val="auto"/>
                <w:highlight w:val="none"/>
                <w:lang w:eastAsia="zh-CN"/>
              </w:rPr>
              <w:t>）对净化区域安装图纸进行管线排布优化、受力情况分析、支架形式确定等，制定综合支吊架施工方案，绘制深化设计图纸，经业主、监理、设计审批同意后方可实施。</w:t>
            </w:r>
          </w:p>
          <w:p>
            <w:pPr>
              <w:rPr>
                <w:color w:val="auto"/>
                <w:highlight w:val="no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5" w:hRule="atLeast"/>
        </w:trPr>
        <w:tc>
          <w:tcPr>
            <w:tcW w:w="708" w:type="dxa"/>
            <w:vMerge w:val="continue"/>
            <w:shd w:val="clear" w:color="auto" w:fill="auto"/>
            <w:vAlign w:val="center"/>
          </w:tcPr>
          <w:p>
            <w:pPr>
              <w:rPr>
                <w:color w:val="auto"/>
                <w:highlight w:val="none"/>
                <w:lang w:eastAsia="zh-CN"/>
              </w:rPr>
            </w:pPr>
          </w:p>
        </w:tc>
        <w:tc>
          <w:tcPr>
            <w:tcW w:w="1701" w:type="dxa"/>
            <w:vMerge w:val="continue"/>
            <w:shd w:val="clear" w:color="auto" w:fill="auto"/>
            <w:vAlign w:val="center"/>
          </w:tcPr>
          <w:p>
            <w:pPr>
              <w:rPr>
                <w:color w:val="auto"/>
                <w:highlight w:val="none"/>
                <w:lang w:eastAsia="zh-CN"/>
              </w:rPr>
            </w:pPr>
          </w:p>
        </w:tc>
        <w:tc>
          <w:tcPr>
            <w:tcW w:w="1254" w:type="dxa"/>
            <w:shd w:val="clear" w:color="auto" w:fill="auto"/>
            <w:vAlign w:val="center"/>
          </w:tcPr>
          <w:p>
            <w:pPr>
              <w:rPr>
                <w:color w:val="auto"/>
                <w:highlight w:val="none"/>
              </w:rPr>
            </w:pPr>
            <w:r>
              <w:rPr>
                <w:color w:val="auto"/>
                <w:highlight w:val="none"/>
              </w:rPr>
              <w:t>孔洞封堵</w:t>
            </w:r>
            <w:r>
              <w:rPr>
                <w:rFonts w:hint="eastAsia"/>
                <w:color w:val="auto"/>
                <w:highlight w:val="none"/>
              </w:rPr>
              <w:t>（总则）</w:t>
            </w:r>
          </w:p>
          <w:p>
            <w:pPr>
              <w:rPr>
                <w:color w:val="auto"/>
                <w:highlight w:val="none"/>
              </w:rPr>
            </w:pPr>
          </w:p>
        </w:tc>
        <w:tc>
          <w:tcPr>
            <w:tcW w:w="5834" w:type="dxa"/>
            <w:shd w:val="clear" w:color="auto" w:fill="auto"/>
            <w:vAlign w:val="center"/>
          </w:tcPr>
          <w:p>
            <w:pPr>
              <w:tabs>
                <w:tab w:val="left" w:pos="1220"/>
              </w:tabs>
              <w:spacing w:before="201" w:line="360" w:lineRule="exact"/>
              <w:rPr>
                <w:color w:val="auto"/>
                <w:highlight w:val="none"/>
                <w:lang w:eastAsia="zh-CN"/>
              </w:rPr>
            </w:pPr>
            <w:r>
              <w:rPr>
                <w:color w:val="auto"/>
                <w:highlight w:val="none"/>
                <w:lang w:eastAsia="zh-CN"/>
              </w:rPr>
              <w:t>1</w:t>
            </w:r>
            <w:r>
              <w:rPr>
                <w:rFonts w:hint="eastAsia"/>
                <w:color w:val="auto"/>
                <w:highlight w:val="none"/>
                <w:lang w:eastAsia="zh-CN"/>
              </w:rPr>
              <w:t>、各承包商</w:t>
            </w:r>
            <w:r>
              <w:rPr>
                <w:color w:val="auto"/>
                <w:highlight w:val="none"/>
                <w:lang w:eastAsia="zh-CN"/>
              </w:rPr>
              <w:t>负责其</w:t>
            </w:r>
            <w:r>
              <w:rPr>
                <w:rFonts w:hint="eastAsia"/>
                <w:color w:val="auto"/>
                <w:highlight w:val="none"/>
                <w:lang w:eastAsia="zh-CN"/>
              </w:rPr>
              <w:t>自己</w:t>
            </w:r>
            <w:r>
              <w:rPr>
                <w:color w:val="auto"/>
                <w:highlight w:val="none"/>
                <w:lang w:eastAsia="zh-CN"/>
              </w:rPr>
              <w:t>的机电管线穿墙或楼板套管内封堵，套管外的孔洞封堵由</w:t>
            </w:r>
            <w:r>
              <w:rPr>
                <w:rFonts w:hint="eastAsia"/>
                <w:color w:val="auto"/>
                <w:highlight w:val="none"/>
                <w:lang w:eastAsia="zh-CN"/>
              </w:rPr>
              <w:t>各粗</w:t>
            </w:r>
            <w:r>
              <w:rPr>
                <w:color w:val="auto"/>
                <w:highlight w:val="none"/>
                <w:lang w:eastAsia="zh-CN"/>
              </w:rPr>
              <w:t>装</w:t>
            </w:r>
            <w:r>
              <w:rPr>
                <w:rFonts w:hint="eastAsia"/>
                <w:color w:val="auto"/>
                <w:highlight w:val="none"/>
                <w:lang w:eastAsia="zh-CN"/>
              </w:rPr>
              <w:t>/精装/净化</w:t>
            </w:r>
            <w:r>
              <w:rPr>
                <w:color w:val="auto"/>
                <w:highlight w:val="none"/>
                <w:lang w:eastAsia="zh-CN"/>
              </w:rPr>
              <w:t>装修</w:t>
            </w:r>
            <w:r>
              <w:rPr>
                <w:rFonts w:hint="eastAsia"/>
                <w:color w:val="auto"/>
                <w:highlight w:val="none"/>
                <w:lang w:eastAsia="zh-CN"/>
              </w:rPr>
              <w:t>/防护装修</w:t>
            </w:r>
            <w:r>
              <w:rPr>
                <w:color w:val="auto"/>
                <w:highlight w:val="none"/>
                <w:lang w:eastAsia="zh-CN"/>
              </w:rPr>
              <w:t>承包商负责</w:t>
            </w:r>
            <w:r>
              <w:rPr>
                <w:rFonts w:hint="eastAsia"/>
                <w:color w:val="auto"/>
                <w:highlight w:val="none"/>
                <w:lang w:eastAsia="zh-CN"/>
              </w:rPr>
              <w:t>（各自承包区域）</w:t>
            </w:r>
            <w:r>
              <w:rPr>
                <w:color w:val="auto"/>
                <w:highlight w:val="none"/>
                <w:lang w:eastAsia="zh-CN"/>
              </w:rPr>
              <w:t>；如机电管线无套管，则管线与土建孔洞之间的封堵由</w:t>
            </w:r>
            <w:r>
              <w:rPr>
                <w:rFonts w:hint="eastAsia"/>
                <w:color w:val="auto"/>
                <w:highlight w:val="none"/>
                <w:lang w:eastAsia="zh-CN"/>
              </w:rPr>
              <w:t>各粗</w:t>
            </w:r>
            <w:r>
              <w:rPr>
                <w:color w:val="auto"/>
                <w:highlight w:val="none"/>
                <w:lang w:eastAsia="zh-CN"/>
              </w:rPr>
              <w:t>装</w:t>
            </w:r>
            <w:r>
              <w:rPr>
                <w:rFonts w:hint="eastAsia"/>
                <w:color w:val="auto"/>
                <w:highlight w:val="none"/>
                <w:lang w:eastAsia="zh-CN"/>
              </w:rPr>
              <w:t>/精装/净化</w:t>
            </w:r>
            <w:r>
              <w:rPr>
                <w:color w:val="auto"/>
                <w:highlight w:val="none"/>
                <w:lang w:eastAsia="zh-CN"/>
              </w:rPr>
              <w:t>装修</w:t>
            </w:r>
            <w:r>
              <w:rPr>
                <w:rFonts w:hint="eastAsia"/>
                <w:color w:val="auto"/>
                <w:highlight w:val="none"/>
                <w:lang w:eastAsia="zh-CN"/>
              </w:rPr>
              <w:t>/防护装修</w:t>
            </w:r>
            <w:r>
              <w:rPr>
                <w:color w:val="auto"/>
                <w:highlight w:val="none"/>
                <w:lang w:eastAsia="zh-CN"/>
              </w:rPr>
              <w:t>承包商负责。</w:t>
            </w:r>
          </w:p>
          <w:p>
            <w:pPr>
              <w:tabs>
                <w:tab w:val="left" w:pos="1220"/>
              </w:tabs>
              <w:spacing w:before="201" w:line="360" w:lineRule="exact"/>
              <w:rPr>
                <w:color w:val="auto"/>
                <w:highlight w:val="none"/>
                <w:lang w:eastAsia="zh-CN"/>
              </w:rPr>
            </w:pPr>
            <w:r>
              <w:rPr>
                <w:color w:val="auto"/>
                <w:highlight w:val="none"/>
                <w:lang w:eastAsia="zh-CN"/>
              </w:rPr>
              <w:t>2</w:t>
            </w:r>
            <w:r>
              <w:rPr>
                <w:rFonts w:hint="eastAsia"/>
                <w:color w:val="auto"/>
                <w:highlight w:val="none"/>
                <w:lang w:eastAsia="zh-CN"/>
              </w:rPr>
              <w:t>、各承包</w:t>
            </w:r>
            <w:r>
              <w:rPr>
                <w:color w:val="auto"/>
                <w:highlight w:val="none"/>
                <w:lang w:eastAsia="zh-CN"/>
              </w:rPr>
              <w:t>商负责其</w:t>
            </w:r>
            <w:r>
              <w:rPr>
                <w:rFonts w:hint="eastAsia"/>
                <w:color w:val="auto"/>
                <w:highlight w:val="none"/>
                <w:lang w:eastAsia="zh-CN"/>
              </w:rPr>
              <w:t>自己的</w:t>
            </w:r>
            <w:r>
              <w:rPr>
                <w:color w:val="auto"/>
                <w:highlight w:val="none"/>
                <w:lang w:eastAsia="zh-CN"/>
              </w:rPr>
              <w:t>机电管线在其进场后设计变更引起洞口封堵。</w:t>
            </w:r>
          </w:p>
          <w:p>
            <w:pPr>
              <w:rPr>
                <w:color w:val="auto"/>
                <w:highlight w:val="none"/>
                <w:lang w:eastAsia="zh-CN"/>
              </w:rPr>
            </w:pPr>
            <w:r>
              <w:rPr>
                <w:color w:val="auto"/>
                <w:highlight w:val="none"/>
                <w:lang w:eastAsia="zh-CN"/>
              </w:rPr>
              <w:t>3</w:t>
            </w:r>
            <w:r>
              <w:rPr>
                <w:rFonts w:hint="eastAsia"/>
                <w:color w:val="auto"/>
                <w:highlight w:val="none"/>
                <w:lang w:eastAsia="zh-CN"/>
              </w:rPr>
              <w:t>、各承包商</w:t>
            </w:r>
            <w:r>
              <w:rPr>
                <w:color w:val="auto"/>
                <w:highlight w:val="none"/>
                <w:lang w:eastAsia="zh-CN"/>
              </w:rPr>
              <w:t>负责其</w:t>
            </w:r>
            <w:r>
              <w:rPr>
                <w:rFonts w:hint="eastAsia"/>
                <w:color w:val="auto"/>
                <w:highlight w:val="none"/>
                <w:lang w:eastAsia="zh-CN"/>
              </w:rPr>
              <w:t>自己</w:t>
            </w:r>
            <w:r>
              <w:rPr>
                <w:color w:val="auto"/>
                <w:highlight w:val="none"/>
                <w:lang w:eastAsia="zh-CN"/>
              </w:rPr>
              <w:t>的机电管线按施工图及设计变更施工的机电管线的开槽及敷管</w:t>
            </w:r>
            <w:r>
              <w:rPr>
                <w:rFonts w:hint="eastAsia"/>
                <w:color w:val="auto"/>
                <w:highlight w:val="none"/>
                <w:lang w:eastAsia="zh-CN"/>
              </w:rPr>
              <w:t>及</w:t>
            </w:r>
            <w:r>
              <w:rPr>
                <w:color w:val="auto"/>
                <w:highlight w:val="none"/>
                <w:lang w:eastAsia="zh-CN"/>
              </w:rPr>
              <w:t xml:space="preserve">开槽敷管之后的补槽的挂网、抹灰及收边收口等所有工作；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9" w:hRule="atLeast"/>
        </w:trPr>
        <w:tc>
          <w:tcPr>
            <w:tcW w:w="708" w:type="dxa"/>
            <w:vMerge w:val="continue"/>
            <w:shd w:val="clear" w:color="auto" w:fill="auto"/>
            <w:vAlign w:val="center"/>
          </w:tcPr>
          <w:p>
            <w:pPr>
              <w:rPr>
                <w:color w:val="auto"/>
                <w:highlight w:val="none"/>
                <w:lang w:eastAsia="zh-CN"/>
              </w:rPr>
            </w:pPr>
          </w:p>
        </w:tc>
        <w:tc>
          <w:tcPr>
            <w:tcW w:w="1701" w:type="dxa"/>
            <w:vMerge w:val="continue"/>
            <w:shd w:val="clear" w:color="auto" w:fill="auto"/>
            <w:vAlign w:val="center"/>
          </w:tcPr>
          <w:p>
            <w:pPr>
              <w:rPr>
                <w:color w:val="auto"/>
                <w:highlight w:val="none"/>
                <w:lang w:eastAsia="zh-CN"/>
              </w:rPr>
            </w:pPr>
          </w:p>
        </w:tc>
        <w:tc>
          <w:tcPr>
            <w:tcW w:w="1254" w:type="dxa"/>
            <w:shd w:val="clear" w:color="auto" w:fill="auto"/>
            <w:vAlign w:val="center"/>
          </w:tcPr>
          <w:p>
            <w:pPr>
              <w:rPr>
                <w:color w:val="auto"/>
                <w:highlight w:val="none"/>
              </w:rPr>
            </w:pPr>
            <w:r>
              <w:rPr>
                <w:rFonts w:hint="eastAsia"/>
                <w:color w:val="auto"/>
                <w:highlight w:val="none"/>
              </w:rPr>
              <w:t>其它</w:t>
            </w:r>
          </w:p>
        </w:tc>
        <w:tc>
          <w:tcPr>
            <w:tcW w:w="5834" w:type="dxa"/>
            <w:shd w:val="clear" w:color="auto" w:fill="auto"/>
            <w:vAlign w:val="center"/>
          </w:tcPr>
          <w:p>
            <w:pPr>
              <w:rPr>
                <w:color w:val="auto"/>
                <w:highlight w:val="none"/>
                <w:lang w:eastAsia="zh-CN"/>
              </w:rPr>
            </w:pPr>
            <w:r>
              <w:rPr>
                <w:rFonts w:hint="eastAsia"/>
                <w:color w:val="auto"/>
                <w:highlight w:val="none"/>
                <w:lang w:eastAsia="zh-CN"/>
              </w:rPr>
              <w:t>1）协调、配合其它承包人在本承包区域内的施工。</w:t>
            </w:r>
          </w:p>
          <w:p>
            <w:pPr>
              <w:rPr>
                <w:color w:val="auto"/>
                <w:highlight w:val="none"/>
                <w:lang w:eastAsia="zh-CN"/>
              </w:rPr>
            </w:pPr>
            <w:r>
              <w:rPr>
                <w:rFonts w:hint="eastAsia"/>
                <w:color w:val="auto"/>
                <w:highlight w:val="none"/>
                <w:lang w:eastAsia="zh-CN"/>
              </w:rPr>
              <w:t>2）完成本次招标范围工程的深化设计、采购、安装及调试。</w:t>
            </w:r>
          </w:p>
          <w:p>
            <w:pPr>
              <w:rPr>
                <w:color w:val="auto"/>
                <w:highlight w:val="none"/>
                <w:lang w:eastAsia="zh-CN"/>
              </w:rPr>
            </w:pPr>
            <w:r>
              <w:rPr>
                <w:rFonts w:hint="eastAsia"/>
                <w:color w:val="auto"/>
                <w:highlight w:val="none"/>
                <w:lang w:eastAsia="zh-CN"/>
              </w:rPr>
              <w:t>3）负责为顺利完成本工程而进行的一切必要的辅助工作（含与设计院的及时沟通协调、制作样板和样板间、提供便于查验的条件等）。</w:t>
            </w:r>
          </w:p>
          <w:p>
            <w:pPr>
              <w:rPr>
                <w:color w:val="auto"/>
                <w:highlight w:val="none"/>
                <w:lang w:eastAsia="zh-CN"/>
              </w:rPr>
            </w:pPr>
            <w:r>
              <w:rPr>
                <w:rFonts w:hint="eastAsia"/>
                <w:color w:val="auto"/>
                <w:highlight w:val="none"/>
                <w:lang w:eastAsia="zh-CN"/>
              </w:rPr>
              <w:t>4）负责区域内的清洁工作及所产生的施工垃圾的清理工作。</w:t>
            </w:r>
          </w:p>
          <w:p>
            <w:pPr>
              <w:rPr>
                <w:color w:val="auto"/>
                <w:highlight w:val="none"/>
                <w:lang w:eastAsia="zh-CN"/>
              </w:rPr>
            </w:pPr>
            <w:r>
              <w:rPr>
                <w:rFonts w:hint="eastAsia"/>
                <w:color w:val="auto"/>
                <w:highlight w:val="none"/>
                <w:lang w:eastAsia="zh-CN"/>
              </w:rPr>
              <w:t>5）负责委托国家权威机构的第三方对本承包范围内的检测工作（包括环境</w:t>
            </w:r>
            <w:r>
              <w:rPr>
                <w:color w:val="auto"/>
                <w:highlight w:val="none"/>
                <w:lang w:eastAsia="zh-CN"/>
              </w:rPr>
              <w:t>检测</w:t>
            </w:r>
            <w:r>
              <w:rPr>
                <w:rFonts w:hint="eastAsia"/>
                <w:color w:val="auto"/>
                <w:highlight w:val="none"/>
                <w:lang w:eastAsia="zh-CN"/>
              </w:rPr>
              <w:t>、空气</w:t>
            </w:r>
            <w:r>
              <w:rPr>
                <w:color w:val="auto"/>
                <w:highlight w:val="none"/>
                <w:lang w:eastAsia="zh-CN"/>
              </w:rPr>
              <w:t>质量检测</w:t>
            </w:r>
            <w:r>
              <w:rPr>
                <w:rFonts w:hint="eastAsia"/>
                <w:color w:val="auto"/>
                <w:highlight w:val="none"/>
                <w:lang w:eastAsia="zh-CN"/>
              </w:rPr>
              <w:t>、洁净度检测）及政府部门的专项验收；需要的相关费用，综合报价时统一考虑。</w:t>
            </w:r>
          </w:p>
          <w:p>
            <w:pPr>
              <w:rPr>
                <w:color w:val="auto"/>
                <w:highlight w:val="none"/>
                <w:lang w:eastAsia="zh-CN"/>
              </w:rPr>
            </w:pPr>
            <w:r>
              <w:rPr>
                <w:rFonts w:hint="eastAsia"/>
                <w:color w:val="auto"/>
                <w:highlight w:val="none"/>
                <w:lang w:eastAsia="zh-CN"/>
              </w:rPr>
              <w:t>6）负责区域内的强弱电等专业的波导窗、滤波器、波导管、接地线的安装采购。</w:t>
            </w:r>
          </w:p>
          <w:p>
            <w:pPr>
              <w:rPr>
                <w:color w:val="auto"/>
                <w:highlight w:val="none"/>
                <w:lang w:eastAsia="zh-CN"/>
              </w:rPr>
            </w:pPr>
            <w:r>
              <w:rPr>
                <w:rFonts w:hint="eastAsia"/>
                <w:color w:val="auto"/>
                <w:highlight w:val="none"/>
                <w:lang w:eastAsia="zh-CN"/>
              </w:rPr>
              <w:t>7）如区域内用电设备未明确</w:t>
            </w:r>
            <w:r>
              <w:rPr>
                <w:color w:val="auto"/>
                <w:highlight w:val="none"/>
                <w:lang w:eastAsia="zh-CN"/>
              </w:rPr>
              <w:t>电源</w:t>
            </w:r>
            <w:r>
              <w:rPr>
                <w:rFonts w:hint="eastAsia"/>
                <w:color w:val="auto"/>
                <w:highlight w:val="none"/>
                <w:lang w:eastAsia="zh-CN"/>
              </w:rPr>
              <w:t>的</w:t>
            </w:r>
            <w:r>
              <w:rPr>
                <w:color w:val="auto"/>
                <w:highlight w:val="none"/>
                <w:lang w:eastAsia="zh-CN"/>
              </w:rPr>
              <w:t>接线单位</w:t>
            </w:r>
            <w:r>
              <w:rPr>
                <w:rFonts w:hint="eastAsia"/>
                <w:color w:val="auto"/>
                <w:highlight w:val="none"/>
                <w:lang w:eastAsia="zh-CN"/>
              </w:rPr>
              <w:t>，在经得监理同意情况之下，原则是设备安装</w:t>
            </w:r>
            <w:r>
              <w:rPr>
                <w:color w:val="auto"/>
                <w:highlight w:val="none"/>
                <w:lang w:eastAsia="zh-CN"/>
              </w:rPr>
              <w:t>单位负责</w:t>
            </w:r>
            <w:r>
              <w:rPr>
                <w:rFonts w:hint="eastAsia"/>
                <w:color w:val="auto"/>
                <w:highlight w:val="none"/>
                <w:lang w:eastAsia="zh-CN"/>
              </w:rPr>
              <w:t>接电源。</w:t>
            </w:r>
          </w:p>
          <w:p>
            <w:pPr>
              <w:rPr>
                <w:color w:val="auto"/>
                <w:highlight w:val="none"/>
                <w:lang w:eastAsia="zh-CN"/>
              </w:rPr>
            </w:pPr>
            <w:r>
              <w:rPr>
                <w:rFonts w:hint="eastAsia"/>
                <w:color w:val="auto"/>
                <w:highlight w:val="none"/>
                <w:lang w:eastAsia="zh-CN"/>
              </w:rPr>
              <w:t>8）负责各专业（如强弱电、通风等专业，但不限于）在本区域内装饰面收边收口工作等。</w:t>
            </w:r>
          </w:p>
          <w:p>
            <w:pPr>
              <w:rPr>
                <w:color w:val="auto"/>
                <w:highlight w:val="none"/>
                <w:lang w:eastAsia="zh-CN"/>
              </w:rPr>
            </w:pPr>
            <w:r>
              <w:rPr>
                <w:rFonts w:hint="eastAsia"/>
                <w:color w:val="auto"/>
                <w:highlight w:val="none"/>
                <w:lang w:eastAsia="zh-CN"/>
              </w:rPr>
              <w:t>9）为院方提供的吊塔、无影灯底座的开孔、收边收口等工作。</w:t>
            </w:r>
          </w:p>
          <w:p>
            <w:pPr>
              <w:rPr>
                <w:color w:val="auto"/>
                <w:highlight w:val="none"/>
                <w:lang w:eastAsia="zh-CN"/>
              </w:rPr>
            </w:pPr>
            <w:r>
              <w:rPr>
                <w:rFonts w:hint="eastAsia"/>
                <w:color w:val="auto"/>
                <w:highlight w:val="none"/>
                <w:lang w:eastAsia="zh-CN"/>
              </w:rPr>
              <w:t>10）负责对业主员工进行培训及指导。</w:t>
            </w:r>
          </w:p>
          <w:p>
            <w:pPr>
              <w:rPr>
                <w:color w:val="auto"/>
                <w:highlight w:val="none"/>
                <w:lang w:eastAsia="zh-CN"/>
              </w:rPr>
            </w:pPr>
            <w:r>
              <w:rPr>
                <w:rFonts w:hint="eastAsia"/>
                <w:color w:val="auto"/>
                <w:highlight w:val="none"/>
                <w:lang w:eastAsia="zh-CN"/>
              </w:rPr>
              <w:t>11）负责承包范围</w:t>
            </w:r>
            <w:r>
              <w:rPr>
                <w:color w:val="auto"/>
                <w:highlight w:val="none"/>
                <w:lang w:eastAsia="zh-CN"/>
              </w:rPr>
              <w:t>内</w:t>
            </w:r>
            <w:r>
              <w:rPr>
                <w:rFonts w:hint="eastAsia"/>
                <w:color w:val="auto"/>
                <w:highlight w:val="none"/>
                <w:lang w:eastAsia="zh-CN"/>
              </w:rPr>
              <w:t>竣工图纸、资料及用户使用手册的编制。</w:t>
            </w:r>
          </w:p>
          <w:p>
            <w:pPr>
              <w:rPr>
                <w:color w:val="auto"/>
                <w:highlight w:val="none"/>
                <w:lang w:eastAsia="zh-CN"/>
              </w:rPr>
            </w:pPr>
            <w:r>
              <w:rPr>
                <w:rFonts w:hint="eastAsia"/>
                <w:color w:val="auto"/>
                <w:highlight w:val="none"/>
                <w:lang w:eastAsia="zh-CN"/>
              </w:rPr>
              <w:t>12）完成一个有经验的承包商能预见的为了达成本项目目标所必须的所有工作。</w:t>
            </w:r>
          </w:p>
          <w:p>
            <w:pPr>
              <w:rPr>
                <w:color w:val="auto"/>
                <w:highlight w:val="none"/>
                <w:lang w:eastAsia="zh-CN"/>
              </w:rPr>
            </w:pPr>
            <w:r>
              <w:rPr>
                <w:rFonts w:hint="eastAsia"/>
                <w:color w:val="auto"/>
                <w:highlight w:val="none"/>
                <w:lang w:eastAsia="zh-CN"/>
              </w:rPr>
              <w:t>13）配合相关单位对空调系统的整体调试工作，配合消防系统的联合调试及验收。</w:t>
            </w:r>
          </w:p>
          <w:p>
            <w:pPr>
              <w:rPr>
                <w:color w:val="auto"/>
                <w:highlight w:val="none"/>
                <w:lang w:eastAsia="zh-CN"/>
              </w:rPr>
            </w:pPr>
            <w:r>
              <w:rPr>
                <w:rFonts w:hint="eastAsia"/>
                <w:color w:val="auto"/>
                <w:highlight w:val="none"/>
                <w:lang w:eastAsia="zh-CN"/>
              </w:rPr>
              <w:t>14）因医疗设备的参数和进场不确定，部分施工内容需待业主、监理指令方可施工：包括放射科机房电缆沟的施工、配电箱的采购、电缆的敷设、与医疗设备有关的机电管线的隐蔽等，由此造成的相关费用，综合报价时统一考虑。</w:t>
            </w:r>
          </w:p>
          <w:p>
            <w:pPr>
              <w:rPr>
                <w:color w:val="auto"/>
                <w:highlight w:val="none"/>
                <w:lang w:eastAsia="zh-CN"/>
              </w:rPr>
            </w:pPr>
            <w:r>
              <w:rPr>
                <w:rFonts w:hint="eastAsia"/>
                <w:color w:val="auto"/>
                <w:highlight w:val="none"/>
                <w:lang w:eastAsia="zh-CN"/>
              </w:rPr>
              <w:t>15）在装修风格、控制系统兼容等方面问题协调时，招标人为了保证项目的整体性、协调性及系统兼容性，有权要求承包人采用统一的风格或品牌，投标人不得违背此原则而拒绝。</w:t>
            </w:r>
          </w:p>
          <w:p>
            <w:pPr>
              <w:rPr>
                <w:color w:val="auto"/>
                <w:highlight w:val="none"/>
                <w:lang w:eastAsia="zh-CN"/>
              </w:rPr>
            </w:pPr>
            <w:r>
              <w:rPr>
                <w:rFonts w:hint="eastAsia"/>
                <w:color w:val="auto"/>
                <w:highlight w:val="none"/>
                <w:lang w:eastAsia="zh-CN"/>
              </w:rPr>
              <w:t>16）招标人有权根据工程建设需要合理调整施工界面及承包范围，承包人不得以任何理由予以拒绝。施工界面及承包范围调整后的有关计价按招标文件规定执行。</w:t>
            </w:r>
          </w:p>
          <w:p>
            <w:pPr>
              <w:rPr>
                <w:color w:val="auto"/>
                <w:highlight w:val="none"/>
                <w:lang w:eastAsia="zh-CN"/>
              </w:rPr>
            </w:pPr>
            <w:r>
              <w:rPr>
                <w:rFonts w:hint="eastAsia"/>
                <w:color w:val="auto"/>
                <w:highlight w:val="none"/>
                <w:lang w:eastAsia="zh-CN"/>
              </w:rPr>
              <w:t>17）承包单位必须运用BIM技术指导设计优化和现场施工。</w:t>
            </w:r>
          </w:p>
          <w:p>
            <w:pPr>
              <w:rPr>
                <w:color w:val="auto"/>
                <w:highlight w:val="none"/>
                <w:lang w:eastAsia="zh-CN"/>
              </w:rPr>
            </w:pPr>
            <w:r>
              <w:rPr>
                <w:rFonts w:hint="eastAsia"/>
                <w:color w:val="auto"/>
                <w:highlight w:val="none"/>
                <w:lang w:eastAsia="zh-CN"/>
              </w:rPr>
              <w:t>18）</w:t>
            </w:r>
            <w:r>
              <w:rPr>
                <w:color w:val="auto"/>
                <w:highlight w:val="none"/>
                <w:lang w:eastAsia="zh-CN"/>
              </w:rPr>
              <w:t>安装节点及施工组织深化设计</w:t>
            </w:r>
          </w:p>
          <w:p>
            <w:pPr>
              <w:rPr>
                <w:color w:val="auto"/>
                <w:highlight w:val="none"/>
                <w:lang w:eastAsia="zh-CN"/>
              </w:rPr>
            </w:pPr>
            <w:r>
              <w:rPr>
                <w:rFonts w:hint="eastAsia"/>
                <w:color w:val="auto"/>
                <w:highlight w:val="none"/>
                <w:lang w:eastAsia="zh-CN"/>
              </w:rPr>
              <w:t>深化设计只是对颜色、排版进行调整，费用不予增加，如果对原有设计图纸的优化和完善以设计变更形式书面确认。</w:t>
            </w:r>
          </w:p>
          <w:p>
            <w:pPr>
              <w:rPr>
                <w:color w:val="auto"/>
                <w:highlight w:val="none"/>
                <w:lang w:eastAsia="zh-CN"/>
              </w:rPr>
            </w:pPr>
            <w:r>
              <w:rPr>
                <w:rFonts w:hint="eastAsia"/>
                <w:color w:val="auto"/>
                <w:highlight w:val="none"/>
                <w:lang w:eastAsia="zh-CN"/>
              </w:rPr>
              <w:t>（1）安装节点深化设计</w:t>
            </w:r>
          </w:p>
          <w:p>
            <w:pPr>
              <w:rPr>
                <w:color w:val="auto"/>
                <w:highlight w:val="none"/>
                <w:lang w:eastAsia="zh-CN"/>
              </w:rPr>
            </w:pPr>
            <w:r>
              <w:rPr>
                <w:rFonts w:hint="eastAsia"/>
                <w:color w:val="auto"/>
                <w:highlight w:val="none"/>
                <w:lang w:eastAsia="zh-CN"/>
              </w:rPr>
              <w:t>本项目投标人除应充分考虑本次承包范围之内的各专业（包含但不限于：装饰、结构、空调风管、水管，排风管，强电，弱电，给排水等）管线综合及安装节点设计外，还应该充分考虑在净化区域内其他各参建单位（包含但不限于：总承包单位及机电单位，消防风管、水管、弱电管线专业施工单位等）所施工的技术管线综合设计，并且充分考虑与“医疗</w:t>
            </w:r>
            <w:r>
              <w:rPr>
                <w:color w:val="auto"/>
                <w:highlight w:val="none"/>
                <w:lang w:eastAsia="zh-CN"/>
              </w:rPr>
              <w:t>工艺及</w:t>
            </w:r>
            <w:r>
              <w:rPr>
                <w:rFonts w:hint="eastAsia"/>
                <w:color w:val="auto"/>
                <w:highlight w:val="none"/>
                <w:lang w:eastAsia="zh-CN"/>
              </w:rPr>
              <w:t>净化”区域外其他参建单位的同系统技术管线在设计上对接。</w:t>
            </w:r>
          </w:p>
          <w:p>
            <w:pPr>
              <w:rPr>
                <w:color w:val="auto"/>
                <w:highlight w:val="none"/>
                <w:lang w:eastAsia="zh-CN"/>
              </w:rPr>
            </w:pPr>
            <w:r>
              <w:rPr>
                <w:rFonts w:hint="eastAsia"/>
                <w:color w:val="auto"/>
                <w:highlight w:val="none"/>
                <w:lang w:eastAsia="zh-CN"/>
              </w:rPr>
              <w:t>“医疗</w:t>
            </w:r>
            <w:r>
              <w:rPr>
                <w:color w:val="auto"/>
                <w:highlight w:val="none"/>
                <w:lang w:eastAsia="zh-CN"/>
              </w:rPr>
              <w:t>工艺及</w:t>
            </w:r>
            <w:r>
              <w:rPr>
                <w:rFonts w:hint="eastAsia"/>
                <w:color w:val="auto"/>
                <w:highlight w:val="none"/>
                <w:lang w:eastAsia="zh-CN"/>
              </w:rPr>
              <w:t>净化”区域内深化设计所涉及内容应充分征求甲方、监理、设计及医院方其它各相关参建单位的意见和建议，深化设计须取得甲方、监理、设计认可后方可实施。</w:t>
            </w:r>
          </w:p>
          <w:p>
            <w:pPr>
              <w:rPr>
                <w:color w:val="auto"/>
                <w:highlight w:val="none"/>
                <w:lang w:eastAsia="zh-CN"/>
              </w:rPr>
            </w:pPr>
            <w:r>
              <w:rPr>
                <w:rFonts w:hint="eastAsia"/>
                <w:color w:val="auto"/>
                <w:highlight w:val="none"/>
                <w:lang w:eastAsia="zh-CN"/>
              </w:rPr>
              <w:t>安装节点深化设计仅是为了使安装做法及工艺满足设计及现场要求而进行的技术设计，此项工作并不引起造价的变化。</w:t>
            </w:r>
          </w:p>
          <w:p>
            <w:pPr>
              <w:rPr>
                <w:color w:val="auto"/>
                <w:highlight w:val="none"/>
                <w:lang w:eastAsia="zh-CN"/>
              </w:rPr>
            </w:pPr>
            <w:r>
              <w:rPr>
                <w:rFonts w:hint="eastAsia"/>
                <w:color w:val="auto"/>
                <w:highlight w:val="none"/>
                <w:lang w:eastAsia="zh-CN"/>
              </w:rPr>
              <w:t>（2）施工组织深化设计</w:t>
            </w:r>
          </w:p>
          <w:p>
            <w:pPr>
              <w:rPr>
                <w:color w:val="auto"/>
                <w:highlight w:val="none"/>
                <w:lang w:eastAsia="zh-CN"/>
              </w:rPr>
            </w:pPr>
            <w:r>
              <w:rPr>
                <w:rFonts w:hint="eastAsia"/>
                <w:color w:val="auto"/>
                <w:highlight w:val="none"/>
                <w:lang w:eastAsia="zh-CN"/>
              </w:rPr>
              <w:t>应充分考虑承包范围内的各项工作的施工组织设计，还应充分考虑总包及其他各参建单位（包含但不限于：消防专业施工、弱电系统等专业施工）在本区域内、外的交叉施工；工地范围内的道路及垂直运输等问题，本项目的施工组织设计应取得业主、监理、总包及其他各相关参建单位的认可。</w:t>
            </w:r>
          </w:p>
          <w:p>
            <w:pPr>
              <w:rPr>
                <w:color w:val="auto"/>
                <w:highlight w:val="none"/>
                <w:lang w:eastAsia="zh-CN"/>
              </w:rPr>
            </w:pPr>
            <w:r>
              <w:rPr>
                <w:rFonts w:hint="eastAsia"/>
                <w:color w:val="auto"/>
                <w:highlight w:val="none"/>
                <w:lang w:eastAsia="zh-CN"/>
              </w:rPr>
              <w:t>施工组织设计是为了本项目顺利实施而做的工作安排和规划，其响应的费用在投标报价措施费中综合考虑，中标后招标人不因为施工组织的批准或改变而调整本项目的措施费。</w:t>
            </w:r>
          </w:p>
          <w:p>
            <w:pPr>
              <w:rPr>
                <w:color w:val="auto"/>
                <w:highlight w:val="none"/>
                <w:lang w:eastAsia="zh-CN"/>
              </w:rPr>
            </w:pPr>
            <w:r>
              <w:rPr>
                <w:color w:val="auto"/>
                <w:highlight w:val="none"/>
                <w:lang w:eastAsia="zh-CN"/>
              </w:rPr>
              <w:t>19</w:t>
            </w:r>
            <w:r>
              <w:rPr>
                <w:rFonts w:hint="eastAsia"/>
                <w:color w:val="auto"/>
                <w:highlight w:val="none"/>
                <w:lang w:eastAsia="zh-CN"/>
              </w:rPr>
              <w:t>）项目竣工移交时，要提交BIM模型（成果）给院方，便于今后的日常维护。</w:t>
            </w:r>
          </w:p>
          <w:p>
            <w:pPr>
              <w:rPr>
                <w:color w:val="auto"/>
                <w:highlight w:val="none"/>
                <w:lang w:eastAsia="zh-CN"/>
              </w:rPr>
            </w:pPr>
            <w:r>
              <w:rPr>
                <w:rFonts w:hint="eastAsia"/>
                <w:color w:val="auto"/>
                <w:highlight w:val="none"/>
                <w:lang w:eastAsia="zh-CN"/>
              </w:rPr>
              <w:t>注：发包人在实施过程中根据本工程实际情况有权增减工程量清单中的部分内容。所有的细目详见工程施工图纸、工程量清单及合同条款，承包人不能拒绝执行为完成全部工程而需执行的可能遗漏的工作。</w:t>
            </w:r>
          </w:p>
        </w:tc>
      </w:tr>
    </w:tbl>
    <w:p>
      <w:pPr>
        <w:pStyle w:val="4"/>
        <w:spacing w:before="120" w:beforeLines="50"/>
        <w:ind w:left="567" w:hanging="567"/>
        <w:rPr>
          <w:color w:val="auto"/>
          <w:highlight w:val="none"/>
        </w:rPr>
      </w:pPr>
      <w:r>
        <w:rPr>
          <w:rFonts w:hint="eastAsia"/>
          <w:color w:val="auto"/>
          <w:highlight w:val="none"/>
        </w:rPr>
        <w:t>医用气体承包商承包范围</w:t>
      </w:r>
    </w:p>
    <w:p>
      <w:pPr>
        <w:snapToGrid w:val="0"/>
        <w:spacing w:line="360" w:lineRule="auto"/>
        <w:ind w:firstLine="480" w:firstLineChars="200"/>
        <w:rPr>
          <w:bCs/>
          <w:color w:val="auto"/>
          <w:szCs w:val="24"/>
          <w:highlight w:val="none"/>
          <w:lang w:eastAsia="zh-CN"/>
        </w:rPr>
      </w:pPr>
      <w:r>
        <w:rPr>
          <w:rFonts w:hint="eastAsia"/>
          <w:bCs/>
          <w:color w:val="auto"/>
          <w:szCs w:val="24"/>
          <w:highlight w:val="none"/>
          <w:lang w:eastAsia="zh-CN"/>
        </w:rPr>
        <w:t>按照国家法规、本工程设计图纸以及本技术要求所叙述的内容和规定，完成本项目医用气体的管道工程及其</w:t>
      </w:r>
      <w:r>
        <w:rPr>
          <w:bCs/>
          <w:color w:val="auto"/>
          <w:szCs w:val="24"/>
          <w:highlight w:val="none"/>
          <w:lang w:eastAsia="zh-CN"/>
        </w:rPr>
        <w:t>监控报警</w:t>
      </w:r>
      <w:r>
        <w:rPr>
          <w:rFonts w:hint="eastAsia"/>
          <w:bCs/>
          <w:color w:val="auto"/>
          <w:szCs w:val="24"/>
          <w:highlight w:val="none"/>
          <w:lang w:eastAsia="zh-CN"/>
        </w:rPr>
        <w:t>工程含图纸校核</w:t>
      </w:r>
      <w:r>
        <w:rPr>
          <w:bCs/>
          <w:color w:val="auto"/>
          <w:szCs w:val="24"/>
          <w:highlight w:val="none"/>
          <w:lang w:eastAsia="zh-CN"/>
        </w:rPr>
        <w:t>审核、</w:t>
      </w:r>
      <w:r>
        <w:rPr>
          <w:rFonts w:hint="eastAsia"/>
          <w:bCs/>
          <w:color w:val="auto"/>
          <w:szCs w:val="24"/>
          <w:highlight w:val="none"/>
          <w:lang w:eastAsia="zh-CN"/>
        </w:rPr>
        <w:t>系统深化设计以及供货、安装、调试、验收及相关的全部报批、报建、</w:t>
      </w:r>
      <w:r>
        <w:rPr>
          <w:bCs/>
          <w:color w:val="auto"/>
          <w:szCs w:val="24"/>
          <w:highlight w:val="none"/>
          <w:lang w:eastAsia="zh-CN"/>
        </w:rPr>
        <w:t>特种设备备案</w:t>
      </w:r>
      <w:r>
        <w:rPr>
          <w:rFonts w:hint="eastAsia"/>
          <w:bCs/>
          <w:color w:val="auto"/>
          <w:szCs w:val="24"/>
          <w:highlight w:val="none"/>
          <w:lang w:eastAsia="zh-CN"/>
        </w:rPr>
        <w:t>监督检验登记等、</w:t>
      </w:r>
      <w:r>
        <w:rPr>
          <w:bCs/>
          <w:color w:val="auto"/>
          <w:szCs w:val="24"/>
          <w:highlight w:val="none"/>
          <w:lang w:eastAsia="zh-CN"/>
        </w:rPr>
        <w:t>第三方气体质量检测</w:t>
      </w:r>
      <w:r>
        <w:rPr>
          <w:rFonts w:hint="eastAsia"/>
          <w:bCs/>
          <w:color w:val="auto"/>
          <w:szCs w:val="24"/>
          <w:highlight w:val="none"/>
          <w:lang w:eastAsia="zh-CN"/>
        </w:rPr>
        <w:t>、管道</w:t>
      </w:r>
      <w:r>
        <w:rPr>
          <w:bCs/>
          <w:color w:val="auto"/>
          <w:szCs w:val="24"/>
          <w:highlight w:val="none"/>
          <w:lang w:eastAsia="zh-CN"/>
        </w:rPr>
        <w:t>设备</w:t>
      </w:r>
      <w:r>
        <w:rPr>
          <w:rFonts w:hint="eastAsia"/>
          <w:bCs/>
          <w:color w:val="auto"/>
          <w:szCs w:val="24"/>
          <w:highlight w:val="none"/>
          <w:lang w:eastAsia="zh-CN"/>
        </w:rPr>
        <w:t>接地</w:t>
      </w:r>
      <w:r>
        <w:rPr>
          <w:bCs/>
          <w:color w:val="auto"/>
          <w:szCs w:val="24"/>
          <w:highlight w:val="none"/>
          <w:lang w:eastAsia="zh-CN"/>
        </w:rPr>
        <w:t>、</w:t>
      </w:r>
      <w:r>
        <w:rPr>
          <w:rFonts w:hint="eastAsia"/>
          <w:bCs/>
          <w:color w:val="auto"/>
          <w:szCs w:val="24"/>
          <w:highlight w:val="none"/>
          <w:lang w:eastAsia="zh-CN"/>
        </w:rPr>
        <w:t>相关支吊架工程及以上专业工程的预留预埋等。</w:t>
      </w:r>
      <w:r>
        <w:rPr>
          <w:bCs/>
          <w:color w:val="auto"/>
          <w:szCs w:val="24"/>
          <w:highlight w:val="none"/>
          <w:lang w:eastAsia="zh-CN"/>
        </w:rPr>
        <w:t>不限于：</w:t>
      </w:r>
    </w:p>
    <w:p>
      <w:pPr>
        <w:tabs>
          <w:tab w:val="left" w:pos="426"/>
        </w:tabs>
        <w:spacing w:line="400" w:lineRule="exact"/>
        <w:ind w:firstLine="480" w:firstLineChars="200"/>
        <w:rPr>
          <w:bCs/>
          <w:color w:val="auto"/>
          <w:szCs w:val="24"/>
          <w:highlight w:val="none"/>
          <w:lang w:eastAsia="zh-CN"/>
        </w:rPr>
      </w:pPr>
      <w:r>
        <w:rPr>
          <w:rFonts w:hint="eastAsia"/>
          <w:bCs/>
          <w:color w:val="auto"/>
          <w:szCs w:val="24"/>
          <w:highlight w:val="none"/>
          <w:lang w:eastAsia="zh-CN"/>
        </w:rPr>
        <w:t>（1）医用中心供氧管道的供应及安装；</w:t>
      </w:r>
    </w:p>
    <w:p>
      <w:pPr>
        <w:tabs>
          <w:tab w:val="left" w:pos="426"/>
        </w:tabs>
        <w:spacing w:line="400" w:lineRule="exact"/>
        <w:ind w:firstLine="480" w:firstLineChars="200"/>
        <w:rPr>
          <w:bCs/>
          <w:color w:val="auto"/>
          <w:szCs w:val="24"/>
          <w:highlight w:val="none"/>
          <w:lang w:eastAsia="zh-CN"/>
        </w:rPr>
      </w:pPr>
      <w:r>
        <w:rPr>
          <w:rFonts w:hint="eastAsia"/>
          <w:bCs/>
          <w:color w:val="auto"/>
          <w:szCs w:val="24"/>
          <w:highlight w:val="none"/>
          <w:lang w:eastAsia="zh-CN"/>
        </w:rPr>
        <w:t>（2）医疗用压缩空气</w:t>
      </w:r>
      <w:bookmarkStart w:id="18" w:name="OLE_LINK17"/>
      <w:r>
        <w:rPr>
          <w:rFonts w:hint="eastAsia"/>
          <w:bCs/>
          <w:color w:val="auto"/>
          <w:szCs w:val="24"/>
          <w:highlight w:val="none"/>
          <w:lang w:eastAsia="zh-CN"/>
        </w:rPr>
        <w:t>管道的供应及安装；</w:t>
      </w:r>
    </w:p>
    <w:bookmarkEnd w:id="18"/>
    <w:p>
      <w:pPr>
        <w:tabs>
          <w:tab w:val="left" w:pos="426"/>
        </w:tabs>
        <w:spacing w:line="400" w:lineRule="exact"/>
        <w:ind w:firstLine="480" w:firstLineChars="200"/>
        <w:rPr>
          <w:bCs/>
          <w:color w:val="auto"/>
          <w:szCs w:val="24"/>
          <w:highlight w:val="none"/>
          <w:lang w:eastAsia="zh-CN"/>
        </w:rPr>
      </w:pPr>
      <w:r>
        <w:rPr>
          <w:rFonts w:hint="eastAsia"/>
          <w:bCs/>
          <w:color w:val="auto"/>
          <w:szCs w:val="24"/>
          <w:highlight w:val="none"/>
          <w:lang w:eastAsia="zh-CN"/>
        </w:rPr>
        <w:t>（3）器械用压缩空气管道的供应及安装；</w:t>
      </w:r>
    </w:p>
    <w:p>
      <w:pPr>
        <w:tabs>
          <w:tab w:val="left" w:pos="426"/>
        </w:tabs>
        <w:spacing w:line="400" w:lineRule="exact"/>
        <w:ind w:firstLine="480" w:firstLineChars="200"/>
        <w:rPr>
          <w:bCs/>
          <w:color w:val="auto"/>
          <w:szCs w:val="24"/>
          <w:highlight w:val="none"/>
          <w:lang w:eastAsia="zh-CN"/>
        </w:rPr>
      </w:pPr>
      <w:r>
        <w:rPr>
          <w:rFonts w:hint="eastAsia"/>
          <w:bCs/>
          <w:color w:val="auto"/>
          <w:szCs w:val="24"/>
          <w:highlight w:val="none"/>
          <w:lang w:eastAsia="zh-CN"/>
        </w:rPr>
        <w:t>（4）医用中心真空负压管道的供应及安装；</w:t>
      </w:r>
    </w:p>
    <w:p>
      <w:pPr>
        <w:tabs>
          <w:tab w:val="left" w:pos="426"/>
        </w:tabs>
        <w:spacing w:line="400" w:lineRule="exact"/>
        <w:ind w:firstLine="480" w:firstLineChars="200"/>
        <w:rPr>
          <w:bCs/>
          <w:color w:val="auto"/>
          <w:szCs w:val="24"/>
          <w:highlight w:val="none"/>
          <w:lang w:eastAsia="zh-CN"/>
        </w:rPr>
      </w:pPr>
      <w:r>
        <w:rPr>
          <w:rFonts w:hint="eastAsia"/>
          <w:bCs/>
          <w:color w:val="auto"/>
          <w:szCs w:val="24"/>
          <w:highlight w:val="none"/>
          <w:lang w:eastAsia="zh-CN"/>
        </w:rPr>
        <w:t>（5）牙科</w:t>
      </w:r>
      <w:r>
        <w:rPr>
          <w:bCs/>
          <w:color w:val="auto"/>
          <w:szCs w:val="24"/>
          <w:highlight w:val="none"/>
          <w:lang w:eastAsia="zh-CN"/>
        </w:rPr>
        <w:t>负压</w:t>
      </w:r>
      <w:r>
        <w:rPr>
          <w:rFonts w:hint="eastAsia"/>
          <w:bCs/>
          <w:color w:val="auto"/>
          <w:szCs w:val="24"/>
          <w:highlight w:val="none"/>
          <w:lang w:eastAsia="zh-CN"/>
        </w:rPr>
        <w:t>管道的供应及安装</w:t>
      </w:r>
      <w:r>
        <w:rPr>
          <w:bCs/>
          <w:color w:val="auto"/>
          <w:szCs w:val="24"/>
          <w:highlight w:val="none"/>
          <w:lang w:eastAsia="zh-CN"/>
        </w:rPr>
        <w:t>；</w:t>
      </w:r>
    </w:p>
    <w:p>
      <w:pPr>
        <w:tabs>
          <w:tab w:val="left" w:pos="426"/>
        </w:tabs>
        <w:spacing w:line="400" w:lineRule="exact"/>
        <w:ind w:firstLine="480" w:firstLineChars="200"/>
        <w:rPr>
          <w:bCs/>
          <w:color w:val="auto"/>
          <w:szCs w:val="24"/>
          <w:highlight w:val="none"/>
          <w:lang w:eastAsia="zh-CN"/>
        </w:rPr>
      </w:pPr>
      <w:r>
        <w:rPr>
          <w:rFonts w:hint="eastAsia"/>
          <w:bCs/>
          <w:color w:val="auto"/>
          <w:szCs w:val="24"/>
          <w:highlight w:val="none"/>
          <w:lang w:eastAsia="zh-CN"/>
        </w:rPr>
        <w:t>（6）麻醉</w:t>
      </w:r>
      <w:r>
        <w:rPr>
          <w:bCs/>
          <w:color w:val="auto"/>
          <w:szCs w:val="24"/>
          <w:highlight w:val="none"/>
          <w:lang w:eastAsia="zh-CN"/>
        </w:rPr>
        <w:t>废气排放</w:t>
      </w:r>
      <w:r>
        <w:rPr>
          <w:rFonts w:hint="eastAsia"/>
          <w:bCs/>
          <w:color w:val="auto"/>
          <w:szCs w:val="24"/>
          <w:highlight w:val="none"/>
          <w:lang w:eastAsia="zh-CN"/>
        </w:rPr>
        <w:t>管道的供应及安装</w:t>
      </w:r>
      <w:r>
        <w:rPr>
          <w:bCs/>
          <w:color w:val="auto"/>
          <w:szCs w:val="24"/>
          <w:highlight w:val="none"/>
          <w:lang w:eastAsia="zh-CN"/>
        </w:rPr>
        <w:t>；</w:t>
      </w:r>
    </w:p>
    <w:p>
      <w:pPr>
        <w:tabs>
          <w:tab w:val="left" w:pos="426"/>
        </w:tabs>
        <w:spacing w:line="400" w:lineRule="exact"/>
        <w:ind w:firstLine="480" w:firstLineChars="200"/>
        <w:rPr>
          <w:bCs/>
          <w:color w:val="auto"/>
          <w:szCs w:val="24"/>
          <w:highlight w:val="none"/>
          <w:lang w:eastAsia="zh-CN"/>
        </w:rPr>
      </w:pPr>
      <w:r>
        <w:rPr>
          <w:rFonts w:hint="eastAsia"/>
          <w:bCs/>
          <w:color w:val="auto"/>
          <w:szCs w:val="24"/>
          <w:highlight w:val="none"/>
          <w:lang w:eastAsia="zh-CN"/>
        </w:rPr>
        <w:t>（7）区域监控报警管理系统；</w:t>
      </w:r>
    </w:p>
    <w:p>
      <w:pPr>
        <w:tabs>
          <w:tab w:val="left" w:pos="426"/>
        </w:tabs>
        <w:spacing w:line="400" w:lineRule="exact"/>
        <w:ind w:firstLine="480" w:firstLineChars="200"/>
        <w:rPr>
          <w:bCs/>
          <w:color w:val="auto"/>
          <w:szCs w:val="24"/>
          <w:highlight w:val="none"/>
          <w:lang w:eastAsia="zh-CN"/>
        </w:rPr>
      </w:pPr>
      <w:r>
        <w:rPr>
          <w:rFonts w:hint="eastAsia"/>
          <w:bCs/>
          <w:color w:val="auto"/>
          <w:szCs w:val="24"/>
          <w:highlight w:val="none"/>
          <w:lang w:eastAsia="zh-CN"/>
        </w:rPr>
        <w:t>（8）管道</w:t>
      </w:r>
      <w:r>
        <w:rPr>
          <w:bCs/>
          <w:color w:val="auto"/>
          <w:szCs w:val="24"/>
          <w:highlight w:val="none"/>
          <w:lang w:eastAsia="zh-CN"/>
        </w:rPr>
        <w:t>系统</w:t>
      </w:r>
      <w:r>
        <w:rPr>
          <w:rFonts w:hint="eastAsia"/>
          <w:bCs/>
          <w:color w:val="auto"/>
          <w:szCs w:val="24"/>
          <w:highlight w:val="none"/>
          <w:lang w:eastAsia="zh-CN"/>
        </w:rPr>
        <w:t>，</w:t>
      </w:r>
      <w:r>
        <w:rPr>
          <w:bCs/>
          <w:color w:val="auto"/>
          <w:szCs w:val="24"/>
          <w:highlight w:val="none"/>
          <w:lang w:eastAsia="zh-CN"/>
        </w:rPr>
        <w:t>包括</w:t>
      </w:r>
      <w:r>
        <w:rPr>
          <w:rFonts w:hint="eastAsia"/>
          <w:bCs/>
          <w:color w:val="auto"/>
          <w:szCs w:val="24"/>
          <w:highlight w:val="none"/>
          <w:lang w:eastAsia="zh-CN"/>
        </w:rPr>
        <w:t>阀门、减压</w:t>
      </w:r>
      <w:r>
        <w:rPr>
          <w:bCs/>
          <w:color w:val="auto"/>
          <w:szCs w:val="24"/>
          <w:highlight w:val="none"/>
          <w:lang w:eastAsia="zh-CN"/>
        </w:rPr>
        <w:t>、计量等附件（</w:t>
      </w:r>
      <w:r>
        <w:rPr>
          <w:rFonts w:hint="eastAsia"/>
          <w:bCs/>
          <w:color w:val="auto"/>
          <w:szCs w:val="24"/>
          <w:highlight w:val="none"/>
          <w:lang w:eastAsia="zh-CN"/>
        </w:rPr>
        <w:t>含</w:t>
      </w:r>
      <w:r>
        <w:rPr>
          <w:bCs/>
          <w:color w:val="auto"/>
          <w:szCs w:val="24"/>
          <w:highlight w:val="none"/>
          <w:lang w:eastAsia="zh-CN"/>
        </w:rPr>
        <w:t>室外</w:t>
      </w:r>
      <w:r>
        <w:rPr>
          <w:rFonts w:hint="eastAsia"/>
          <w:bCs/>
          <w:color w:val="auto"/>
          <w:szCs w:val="24"/>
          <w:highlight w:val="none"/>
          <w:lang w:eastAsia="zh-CN"/>
        </w:rPr>
        <w:t>管道</w:t>
      </w:r>
      <w:r>
        <w:rPr>
          <w:bCs/>
          <w:color w:val="auto"/>
          <w:szCs w:val="24"/>
          <w:highlight w:val="none"/>
          <w:lang w:eastAsia="zh-CN"/>
        </w:rPr>
        <w:t>、</w:t>
      </w:r>
      <w:r>
        <w:rPr>
          <w:rFonts w:hint="eastAsia"/>
          <w:bCs/>
          <w:color w:val="auto"/>
          <w:szCs w:val="24"/>
          <w:highlight w:val="none"/>
          <w:lang w:eastAsia="zh-CN"/>
        </w:rPr>
        <w:t>管沟、</w:t>
      </w:r>
      <w:r>
        <w:rPr>
          <w:bCs/>
          <w:color w:val="auto"/>
          <w:szCs w:val="24"/>
          <w:highlight w:val="none"/>
          <w:lang w:eastAsia="zh-CN"/>
        </w:rPr>
        <w:t>回填）</w:t>
      </w:r>
      <w:r>
        <w:rPr>
          <w:rFonts w:hint="eastAsia"/>
          <w:bCs/>
          <w:color w:val="auto"/>
          <w:szCs w:val="24"/>
          <w:highlight w:val="none"/>
          <w:lang w:eastAsia="zh-CN"/>
        </w:rPr>
        <w:t>；</w:t>
      </w:r>
    </w:p>
    <w:p>
      <w:pPr>
        <w:pStyle w:val="2"/>
        <w:ind w:firstLine="480"/>
        <w:rPr>
          <w:color w:val="auto"/>
          <w:highlight w:val="none"/>
          <w:lang w:eastAsia="zh-CN"/>
        </w:rPr>
      </w:pPr>
      <w:r>
        <w:rPr>
          <w:rFonts w:hint="eastAsia"/>
          <w:color w:val="auto"/>
          <w:highlight w:val="none"/>
          <w:lang w:eastAsia="zh-CN"/>
        </w:rPr>
        <w:t>（9）设备带的供应及安装，含设备带上的灯具及设备带灯具的开关、插座；</w:t>
      </w:r>
    </w:p>
    <w:p>
      <w:pPr>
        <w:pStyle w:val="2"/>
        <w:ind w:firstLine="480"/>
        <w:rPr>
          <w:color w:val="auto"/>
          <w:highlight w:val="none"/>
          <w:lang w:eastAsia="zh-CN"/>
        </w:rPr>
      </w:pPr>
      <w:r>
        <w:rPr>
          <w:rFonts w:hint="eastAsia"/>
          <w:color w:val="auto"/>
          <w:highlight w:val="none"/>
          <w:lang w:eastAsia="zh-CN"/>
        </w:rPr>
        <w:t>（1</w:t>
      </w:r>
      <w:r>
        <w:rPr>
          <w:color w:val="auto"/>
          <w:highlight w:val="none"/>
          <w:lang w:eastAsia="zh-CN"/>
        </w:rPr>
        <w:t>0</w:t>
      </w:r>
      <w:r>
        <w:rPr>
          <w:rFonts w:hint="eastAsia"/>
          <w:color w:val="auto"/>
          <w:highlight w:val="none"/>
          <w:lang w:eastAsia="zh-CN"/>
        </w:rPr>
        <w:t>）汇流排系统机房外管道的供应及安装；</w:t>
      </w:r>
    </w:p>
    <w:p>
      <w:pPr>
        <w:tabs>
          <w:tab w:val="left" w:pos="426"/>
        </w:tabs>
        <w:spacing w:line="400" w:lineRule="exact"/>
        <w:ind w:firstLine="480" w:firstLineChars="200"/>
        <w:rPr>
          <w:bCs/>
          <w:color w:val="auto"/>
          <w:szCs w:val="24"/>
          <w:highlight w:val="none"/>
          <w:lang w:eastAsia="zh-CN"/>
        </w:rPr>
      </w:pPr>
      <w:r>
        <w:rPr>
          <w:rFonts w:hint="eastAsia"/>
          <w:bCs/>
          <w:color w:val="auto"/>
          <w:szCs w:val="24"/>
          <w:highlight w:val="none"/>
          <w:lang w:eastAsia="zh-CN"/>
        </w:rPr>
        <w:t>（</w:t>
      </w:r>
      <w:r>
        <w:rPr>
          <w:bCs/>
          <w:color w:val="auto"/>
          <w:szCs w:val="24"/>
          <w:highlight w:val="none"/>
          <w:lang w:eastAsia="zh-CN"/>
        </w:rPr>
        <w:t>11</w:t>
      </w:r>
      <w:r>
        <w:rPr>
          <w:rFonts w:hint="eastAsia"/>
          <w:bCs/>
          <w:color w:val="auto"/>
          <w:szCs w:val="24"/>
          <w:highlight w:val="none"/>
          <w:lang w:eastAsia="zh-CN"/>
        </w:rPr>
        <w:t>）病床呼叫系统的供应及安装（病房门口显示屏除外）。</w:t>
      </w:r>
    </w:p>
    <w:p>
      <w:pPr>
        <w:tabs>
          <w:tab w:val="left" w:pos="426"/>
        </w:tabs>
        <w:spacing w:line="400" w:lineRule="exact"/>
        <w:ind w:firstLine="480" w:firstLineChars="200"/>
        <w:rPr>
          <w:bCs/>
          <w:color w:val="auto"/>
          <w:szCs w:val="24"/>
          <w:highlight w:val="none"/>
          <w:lang w:eastAsia="zh-CN"/>
        </w:rPr>
      </w:pPr>
      <w:r>
        <w:rPr>
          <w:rFonts w:hint="eastAsia"/>
          <w:bCs/>
          <w:color w:val="auto"/>
          <w:szCs w:val="24"/>
          <w:highlight w:val="none"/>
          <w:lang w:eastAsia="zh-CN"/>
        </w:rPr>
        <w:t>（1</w:t>
      </w:r>
      <w:r>
        <w:rPr>
          <w:bCs/>
          <w:color w:val="auto"/>
          <w:szCs w:val="24"/>
          <w:highlight w:val="none"/>
          <w:lang w:eastAsia="zh-CN"/>
        </w:rPr>
        <w:t>2</w:t>
      </w:r>
      <w:r>
        <w:rPr>
          <w:rFonts w:hint="eastAsia"/>
          <w:bCs/>
          <w:color w:val="auto"/>
          <w:szCs w:val="24"/>
          <w:highlight w:val="none"/>
          <w:lang w:eastAsia="zh-CN"/>
        </w:rPr>
        <w:t>）接地</w:t>
      </w:r>
      <w:r>
        <w:rPr>
          <w:bCs/>
          <w:color w:val="auto"/>
          <w:szCs w:val="24"/>
          <w:highlight w:val="none"/>
          <w:lang w:eastAsia="zh-CN"/>
        </w:rPr>
        <w:t>系统</w:t>
      </w:r>
      <w:r>
        <w:rPr>
          <w:rFonts w:hint="eastAsia"/>
          <w:bCs/>
          <w:color w:val="auto"/>
          <w:szCs w:val="24"/>
          <w:highlight w:val="none"/>
          <w:lang w:eastAsia="zh-CN"/>
        </w:rPr>
        <w:t>。</w:t>
      </w:r>
    </w:p>
    <w:p>
      <w:pPr>
        <w:spacing w:before="60" w:beforeLines="25" w:after="60" w:afterLines="25" w:line="360" w:lineRule="auto"/>
        <w:ind w:firstLine="444"/>
        <w:rPr>
          <w:rFonts w:cs="PMingLiU"/>
          <w:color w:val="auto"/>
          <w:szCs w:val="24"/>
          <w:highlight w:val="none"/>
          <w:lang w:eastAsia="zh-CN"/>
        </w:rPr>
      </w:pPr>
      <w:r>
        <w:rPr>
          <w:rFonts w:hint="eastAsia"/>
          <w:bCs/>
          <w:color w:val="auto"/>
          <w:szCs w:val="24"/>
          <w:highlight w:val="none"/>
          <w:lang w:eastAsia="zh-CN"/>
        </w:rPr>
        <w:t>（</w:t>
      </w:r>
      <w:r>
        <w:rPr>
          <w:bCs/>
          <w:color w:val="auto"/>
          <w:szCs w:val="24"/>
          <w:highlight w:val="none"/>
          <w:lang w:eastAsia="zh-CN"/>
        </w:rPr>
        <w:t>13</w:t>
      </w:r>
      <w:r>
        <w:rPr>
          <w:rFonts w:hint="eastAsia"/>
          <w:bCs/>
          <w:color w:val="auto"/>
          <w:szCs w:val="24"/>
          <w:highlight w:val="none"/>
          <w:lang w:eastAsia="zh-CN"/>
        </w:rPr>
        <w:t>）</w:t>
      </w:r>
      <w:r>
        <w:rPr>
          <w:rFonts w:hint="eastAsia" w:cs="PMingLiU"/>
          <w:color w:val="auto"/>
          <w:szCs w:val="24"/>
          <w:highlight w:val="none"/>
          <w:lang w:eastAsia="zh-CN"/>
        </w:rPr>
        <w:t>负责线管道安装所需墙面、地面的开槽、开孔、套管预埋、封堵、开槽敷管之后的补槽、挂网、抹灰及收边收口等所有工作。</w:t>
      </w:r>
    </w:p>
    <w:p>
      <w:pPr>
        <w:snapToGrid w:val="0"/>
        <w:spacing w:line="360" w:lineRule="auto"/>
        <w:ind w:firstLine="480" w:firstLineChars="200"/>
        <w:rPr>
          <w:bCs/>
          <w:color w:val="auto"/>
          <w:szCs w:val="24"/>
          <w:highlight w:val="none"/>
          <w:lang w:eastAsia="zh-CN"/>
        </w:rPr>
      </w:pPr>
      <w:r>
        <w:rPr>
          <w:rFonts w:hint="eastAsia"/>
          <w:bCs/>
          <w:color w:val="auto"/>
          <w:szCs w:val="24"/>
          <w:highlight w:val="none"/>
          <w:lang w:eastAsia="zh-CN"/>
        </w:rPr>
        <w:t>上述</w:t>
      </w:r>
      <w:r>
        <w:rPr>
          <w:bCs/>
          <w:color w:val="auto"/>
          <w:szCs w:val="24"/>
          <w:highlight w:val="none"/>
          <w:lang w:eastAsia="zh-CN"/>
        </w:rPr>
        <w:t>承包范围，可</w:t>
      </w:r>
      <w:r>
        <w:rPr>
          <w:rFonts w:hint="eastAsia"/>
          <w:bCs/>
          <w:color w:val="auto"/>
          <w:szCs w:val="24"/>
          <w:highlight w:val="none"/>
          <w:lang w:eastAsia="zh-CN"/>
        </w:rPr>
        <w:t>根据</w:t>
      </w:r>
      <w:r>
        <w:rPr>
          <w:bCs/>
          <w:color w:val="auto"/>
          <w:szCs w:val="24"/>
          <w:highlight w:val="none"/>
          <w:lang w:eastAsia="zh-CN"/>
        </w:rPr>
        <w:t>工</w:t>
      </w:r>
      <w:r>
        <w:rPr>
          <w:rFonts w:hint="eastAsia"/>
          <w:bCs/>
          <w:color w:val="auto"/>
          <w:szCs w:val="24"/>
          <w:highlight w:val="none"/>
          <w:lang w:eastAsia="zh-CN"/>
        </w:rPr>
        <w:t>期情况</w:t>
      </w:r>
      <w:r>
        <w:rPr>
          <w:bCs/>
          <w:color w:val="auto"/>
          <w:szCs w:val="24"/>
          <w:highlight w:val="none"/>
          <w:lang w:eastAsia="zh-CN"/>
        </w:rPr>
        <w:t>、院方需求及建设方与使用方界面的调整</w:t>
      </w:r>
      <w:r>
        <w:rPr>
          <w:rFonts w:hint="eastAsia"/>
          <w:bCs/>
          <w:color w:val="auto"/>
          <w:szCs w:val="24"/>
          <w:highlight w:val="none"/>
          <w:lang w:eastAsia="zh-CN"/>
        </w:rPr>
        <w:t>进行调整，</w:t>
      </w:r>
      <w:r>
        <w:rPr>
          <w:bCs/>
          <w:color w:val="auto"/>
          <w:szCs w:val="24"/>
          <w:highlight w:val="none"/>
          <w:lang w:eastAsia="zh-CN"/>
        </w:rPr>
        <w:t>结算按照</w:t>
      </w:r>
      <w:r>
        <w:rPr>
          <w:rFonts w:hint="eastAsia"/>
          <w:bCs/>
          <w:color w:val="auto"/>
          <w:szCs w:val="24"/>
          <w:highlight w:val="none"/>
          <w:lang w:eastAsia="zh-CN"/>
        </w:rPr>
        <w:t>施工</w:t>
      </w:r>
      <w:r>
        <w:rPr>
          <w:bCs/>
          <w:color w:val="auto"/>
          <w:szCs w:val="24"/>
          <w:highlight w:val="none"/>
          <w:lang w:eastAsia="zh-CN"/>
        </w:rPr>
        <w:t>图、</w:t>
      </w:r>
      <w:r>
        <w:rPr>
          <w:rFonts w:hint="eastAsia"/>
          <w:bCs/>
          <w:color w:val="auto"/>
          <w:szCs w:val="24"/>
          <w:highlight w:val="none"/>
          <w:lang w:eastAsia="zh-CN"/>
        </w:rPr>
        <w:t>实际发生</w:t>
      </w:r>
      <w:r>
        <w:rPr>
          <w:bCs/>
          <w:color w:val="auto"/>
          <w:szCs w:val="24"/>
          <w:highlight w:val="none"/>
          <w:lang w:eastAsia="zh-CN"/>
        </w:rPr>
        <w:t>工程量</w:t>
      </w:r>
      <w:r>
        <w:rPr>
          <w:rFonts w:hint="eastAsia"/>
          <w:bCs/>
          <w:color w:val="auto"/>
          <w:szCs w:val="24"/>
          <w:highlight w:val="none"/>
          <w:lang w:eastAsia="zh-CN"/>
        </w:rPr>
        <w:t>、</w:t>
      </w:r>
      <w:r>
        <w:rPr>
          <w:bCs/>
          <w:color w:val="auto"/>
          <w:szCs w:val="24"/>
          <w:highlight w:val="none"/>
          <w:lang w:eastAsia="zh-CN"/>
        </w:rPr>
        <w:t>清单</w:t>
      </w:r>
      <w:r>
        <w:rPr>
          <w:rFonts w:hint="eastAsia"/>
          <w:bCs/>
          <w:color w:val="auto"/>
          <w:szCs w:val="24"/>
          <w:highlight w:val="none"/>
          <w:lang w:eastAsia="zh-CN"/>
        </w:rPr>
        <w:t>进行</w:t>
      </w:r>
      <w:r>
        <w:rPr>
          <w:bCs/>
          <w:color w:val="auto"/>
          <w:szCs w:val="24"/>
          <w:highlight w:val="none"/>
          <w:lang w:eastAsia="zh-CN"/>
        </w:rPr>
        <w:t>结算</w:t>
      </w:r>
      <w:r>
        <w:rPr>
          <w:rFonts w:hint="eastAsia"/>
          <w:bCs/>
          <w:color w:val="auto"/>
          <w:szCs w:val="24"/>
          <w:highlight w:val="none"/>
          <w:lang w:eastAsia="zh-CN"/>
        </w:rPr>
        <w:t>。</w:t>
      </w:r>
    </w:p>
    <w:p>
      <w:pPr>
        <w:pStyle w:val="241"/>
        <w:widowControl/>
        <w:snapToGrid w:val="0"/>
        <w:spacing w:line="360" w:lineRule="auto"/>
        <w:ind w:left="1680" w:right="1680" w:firstLine="0" w:firstLineChars="0"/>
        <w:jc w:val="left"/>
        <w:outlineLvl w:val="3"/>
        <w:rPr>
          <w:rFonts w:ascii="宋体" w:hAnsi="宋体" w:cs="宋体"/>
          <w:b/>
          <w:color w:val="auto"/>
          <w:kern w:val="0"/>
          <w:sz w:val="24"/>
          <w:highlight w:val="none"/>
        </w:rPr>
      </w:pPr>
      <w:r>
        <w:rPr>
          <w:rFonts w:ascii="宋体" w:hAnsi="宋体" w:cs="宋体"/>
          <w:b/>
          <w:color w:val="auto"/>
          <w:kern w:val="0"/>
          <w:sz w:val="24"/>
          <w:highlight w:val="none"/>
        </w:rPr>
        <w:t>1.</w:t>
      </w:r>
      <w:r>
        <w:rPr>
          <w:rFonts w:hint="eastAsia" w:ascii="宋体" w:hAnsi="宋体" w:cs="宋体"/>
          <w:b/>
          <w:color w:val="auto"/>
          <w:kern w:val="0"/>
          <w:sz w:val="24"/>
          <w:highlight w:val="none"/>
        </w:rPr>
        <w:t>预留</w:t>
      </w:r>
      <w:r>
        <w:rPr>
          <w:rFonts w:ascii="宋体" w:hAnsi="宋体" w:cs="宋体"/>
          <w:b/>
          <w:color w:val="auto"/>
          <w:kern w:val="0"/>
          <w:sz w:val="24"/>
          <w:highlight w:val="none"/>
        </w:rPr>
        <w:t>预</w:t>
      </w:r>
      <w:r>
        <w:rPr>
          <w:rFonts w:hint="eastAsia" w:ascii="宋体" w:hAnsi="宋体" w:cs="宋体"/>
          <w:b/>
          <w:color w:val="auto"/>
          <w:kern w:val="0"/>
          <w:sz w:val="24"/>
          <w:highlight w:val="none"/>
        </w:rPr>
        <w:t>埋</w:t>
      </w:r>
    </w:p>
    <w:p>
      <w:pPr>
        <w:pStyle w:val="241"/>
        <w:widowControl/>
        <w:numPr>
          <w:ilvl w:val="0"/>
          <w:numId w:val="6"/>
        </w:numPr>
        <w:snapToGrid w:val="0"/>
        <w:spacing w:line="360" w:lineRule="auto"/>
        <w:ind w:left="2100" w:right="1680" w:firstLineChars="0"/>
        <w:rPr>
          <w:rFonts w:ascii="宋体" w:hAnsi="宋体" w:cs="宋体"/>
          <w:color w:val="auto"/>
          <w:kern w:val="0"/>
          <w:sz w:val="24"/>
          <w:highlight w:val="none"/>
        </w:rPr>
      </w:pPr>
      <w:r>
        <w:rPr>
          <w:rFonts w:ascii="宋体" w:hAnsi="宋体" w:cs="宋体"/>
          <w:color w:val="auto"/>
          <w:kern w:val="0"/>
          <w:sz w:val="24"/>
          <w:highlight w:val="none"/>
        </w:rPr>
        <w:t>进场后负责承包范围内机电管线的预留预埋，及承包范围内机电管线的套管内封堵</w:t>
      </w:r>
      <w:r>
        <w:rPr>
          <w:rFonts w:hint="eastAsia" w:ascii="宋体" w:hAnsi="宋体" w:cs="宋体"/>
          <w:color w:val="auto"/>
          <w:kern w:val="0"/>
          <w:sz w:val="24"/>
          <w:highlight w:val="none"/>
        </w:rPr>
        <w:t>。</w:t>
      </w:r>
    </w:p>
    <w:p>
      <w:pPr>
        <w:pStyle w:val="241"/>
        <w:widowControl/>
        <w:numPr>
          <w:ilvl w:val="0"/>
          <w:numId w:val="6"/>
        </w:numPr>
        <w:snapToGrid w:val="0"/>
        <w:spacing w:line="360" w:lineRule="auto"/>
        <w:ind w:left="2100" w:right="1680" w:firstLineChars="0"/>
        <w:rPr>
          <w:rFonts w:ascii="宋体" w:hAnsi="宋体" w:cs="宋体"/>
          <w:color w:val="auto"/>
          <w:kern w:val="0"/>
          <w:sz w:val="24"/>
          <w:highlight w:val="none"/>
        </w:rPr>
      </w:pPr>
      <w:r>
        <w:rPr>
          <w:rFonts w:ascii="宋体" w:hAnsi="宋体" w:cs="宋体"/>
          <w:color w:val="auto"/>
          <w:kern w:val="0"/>
          <w:sz w:val="24"/>
          <w:highlight w:val="none"/>
        </w:rPr>
        <w:t>对进场前土建总承包商已完成</w:t>
      </w:r>
      <w:r>
        <w:rPr>
          <w:rFonts w:hint="eastAsia" w:ascii="宋体" w:hAnsi="宋体" w:cs="宋体"/>
          <w:color w:val="auto"/>
          <w:kern w:val="0"/>
          <w:sz w:val="24"/>
          <w:highlight w:val="none"/>
        </w:rPr>
        <w:t>土</w:t>
      </w:r>
      <w:r>
        <w:rPr>
          <w:rFonts w:ascii="宋体" w:hAnsi="宋体" w:cs="宋体"/>
          <w:color w:val="auto"/>
          <w:kern w:val="0"/>
          <w:sz w:val="24"/>
          <w:highlight w:val="none"/>
        </w:rPr>
        <w:t>建工程，</w:t>
      </w:r>
      <w:r>
        <w:rPr>
          <w:rFonts w:hint="eastAsia" w:ascii="宋体" w:hAnsi="宋体" w:cs="宋体"/>
          <w:color w:val="auto"/>
          <w:kern w:val="0"/>
          <w:sz w:val="24"/>
          <w:highlight w:val="none"/>
        </w:rPr>
        <w:t>机</w:t>
      </w:r>
      <w:r>
        <w:rPr>
          <w:rFonts w:ascii="宋体" w:hAnsi="宋体" w:cs="宋体"/>
          <w:color w:val="auto"/>
          <w:kern w:val="0"/>
          <w:sz w:val="24"/>
          <w:highlight w:val="none"/>
        </w:rPr>
        <w:t>电承包商</w:t>
      </w:r>
      <w:r>
        <w:rPr>
          <w:rFonts w:hint="eastAsia" w:ascii="宋体" w:hAnsi="宋体" w:cs="宋体"/>
          <w:color w:val="auto"/>
          <w:kern w:val="0"/>
          <w:sz w:val="24"/>
          <w:highlight w:val="none"/>
        </w:rPr>
        <w:t>进</w:t>
      </w:r>
      <w:r>
        <w:rPr>
          <w:rFonts w:ascii="宋体" w:hAnsi="宋体" w:cs="宋体"/>
          <w:color w:val="auto"/>
          <w:kern w:val="0"/>
          <w:sz w:val="24"/>
          <w:highlight w:val="none"/>
        </w:rPr>
        <w:t>行预留预埋</w:t>
      </w:r>
      <w:r>
        <w:rPr>
          <w:rFonts w:hint="eastAsia" w:ascii="宋体" w:hAnsi="宋体" w:cs="宋体"/>
          <w:color w:val="auto"/>
          <w:kern w:val="0"/>
          <w:sz w:val="24"/>
          <w:highlight w:val="none"/>
        </w:rPr>
        <w:t>的</w:t>
      </w:r>
      <w:r>
        <w:rPr>
          <w:rFonts w:ascii="宋体" w:hAnsi="宋体" w:cs="宋体"/>
          <w:color w:val="auto"/>
          <w:kern w:val="0"/>
          <w:sz w:val="24"/>
          <w:highlight w:val="none"/>
        </w:rPr>
        <w:t>复核</w:t>
      </w:r>
      <w:r>
        <w:rPr>
          <w:rFonts w:hint="eastAsia" w:ascii="宋体" w:hAnsi="宋体" w:cs="宋体"/>
          <w:color w:val="auto"/>
          <w:kern w:val="0"/>
          <w:sz w:val="24"/>
          <w:highlight w:val="none"/>
        </w:rPr>
        <w:t>：</w:t>
      </w:r>
    </w:p>
    <w:p>
      <w:pPr>
        <w:pStyle w:val="241"/>
        <w:widowControl/>
        <w:numPr>
          <w:ilvl w:val="0"/>
          <w:numId w:val="7"/>
        </w:numPr>
        <w:snapToGrid w:val="0"/>
        <w:spacing w:line="360" w:lineRule="auto"/>
        <w:ind w:left="2100" w:right="1680" w:firstLineChars="0"/>
        <w:rPr>
          <w:rFonts w:ascii="宋体" w:hAnsi="宋体" w:cs="宋体"/>
          <w:color w:val="auto"/>
          <w:kern w:val="0"/>
          <w:sz w:val="24"/>
          <w:highlight w:val="none"/>
        </w:rPr>
      </w:pPr>
      <w:r>
        <w:rPr>
          <w:rFonts w:hint="eastAsia" w:ascii="宋体" w:hAnsi="宋体" w:cs="宋体"/>
          <w:color w:val="auto"/>
          <w:kern w:val="0"/>
          <w:sz w:val="24"/>
          <w:highlight w:val="none"/>
        </w:rPr>
        <w:t>机电</w:t>
      </w:r>
      <w:r>
        <w:rPr>
          <w:rFonts w:ascii="宋体" w:hAnsi="宋体" w:cs="宋体"/>
          <w:color w:val="auto"/>
          <w:kern w:val="0"/>
          <w:sz w:val="24"/>
          <w:highlight w:val="none"/>
        </w:rPr>
        <w:t>承包商发现</w:t>
      </w:r>
      <w:r>
        <w:rPr>
          <w:rFonts w:hint="eastAsia" w:ascii="宋体" w:hAnsi="宋体" w:cs="宋体"/>
          <w:color w:val="auto"/>
          <w:kern w:val="0"/>
          <w:sz w:val="24"/>
          <w:highlight w:val="none"/>
        </w:rPr>
        <w:t>不</w:t>
      </w:r>
      <w:r>
        <w:rPr>
          <w:rFonts w:ascii="宋体" w:hAnsi="宋体" w:cs="宋体"/>
          <w:color w:val="auto"/>
          <w:kern w:val="0"/>
          <w:sz w:val="24"/>
          <w:highlight w:val="none"/>
        </w:rPr>
        <w:t>符合土建</w:t>
      </w:r>
      <w:r>
        <w:rPr>
          <w:rFonts w:hint="eastAsia" w:ascii="宋体" w:hAnsi="宋体" w:cs="宋体"/>
          <w:color w:val="auto"/>
          <w:kern w:val="0"/>
          <w:sz w:val="24"/>
          <w:highlight w:val="none"/>
        </w:rPr>
        <w:t>施工当</w:t>
      </w:r>
      <w:r>
        <w:rPr>
          <w:rFonts w:ascii="宋体" w:hAnsi="宋体" w:cs="宋体"/>
          <w:color w:val="auto"/>
          <w:kern w:val="0"/>
          <w:sz w:val="24"/>
          <w:highlight w:val="none"/>
        </w:rPr>
        <w:t>时的</w:t>
      </w:r>
      <w:r>
        <w:rPr>
          <w:rFonts w:hint="eastAsia" w:ascii="宋体" w:hAnsi="宋体" w:cs="宋体"/>
          <w:color w:val="auto"/>
          <w:kern w:val="0"/>
          <w:sz w:val="24"/>
          <w:highlight w:val="none"/>
        </w:rPr>
        <w:t>预留</w:t>
      </w:r>
      <w:r>
        <w:rPr>
          <w:rFonts w:ascii="宋体" w:hAnsi="宋体" w:cs="宋体"/>
          <w:color w:val="auto"/>
          <w:kern w:val="0"/>
          <w:sz w:val="24"/>
          <w:highlight w:val="none"/>
        </w:rPr>
        <w:t>预</w:t>
      </w:r>
      <w:r>
        <w:rPr>
          <w:rFonts w:hint="eastAsia" w:ascii="宋体" w:hAnsi="宋体" w:cs="宋体"/>
          <w:color w:val="auto"/>
          <w:kern w:val="0"/>
          <w:sz w:val="24"/>
          <w:highlight w:val="none"/>
        </w:rPr>
        <w:t>埋</w:t>
      </w:r>
      <w:r>
        <w:rPr>
          <w:rFonts w:ascii="宋体" w:hAnsi="宋体" w:cs="宋体"/>
          <w:color w:val="auto"/>
          <w:kern w:val="0"/>
          <w:sz w:val="24"/>
          <w:highlight w:val="none"/>
        </w:rPr>
        <w:t>施工图纸</w:t>
      </w:r>
      <w:r>
        <w:rPr>
          <w:rFonts w:hint="eastAsia" w:ascii="宋体" w:hAnsi="宋体" w:cs="宋体"/>
          <w:color w:val="auto"/>
          <w:kern w:val="0"/>
          <w:sz w:val="24"/>
          <w:highlight w:val="none"/>
        </w:rPr>
        <w:t>或</w:t>
      </w:r>
      <w:r>
        <w:rPr>
          <w:rFonts w:ascii="宋体" w:hAnsi="宋体" w:cs="宋体"/>
          <w:color w:val="auto"/>
          <w:kern w:val="0"/>
          <w:sz w:val="24"/>
          <w:highlight w:val="none"/>
        </w:rPr>
        <w:t>堵塞的，及时书面向业主及监理提出，配合土建总承包商整改处理。</w:t>
      </w:r>
    </w:p>
    <w:p>
      <w:pPr>
        <w:pStyle w:val="241"/>
        <w:widowControl/>
        <w:numPr>
          <w:ilvl w:val="0"/>
          <w:numId w:val="7"/>
        </w:numPr>
        <w:snapToGrid w:val="0"/>
        <w:spacing w:line="360" w:lineRule="auto"/>
        <w:ind w:left="2100" w:right="1680" w:firstLineChars="0"/>
        <w:rPr>
          <w:rFonts w:ascii="宋体" w:hAnsi="宋体" w:cs="宋体"/>
          <w:color w:val="auto"/>
          <w:kern w:val="0"/>
          <w:sz w:val="24"/>
          <w:highlight w:val="none"/>
        </w:rPr>
      </w:pPr>
      <w:r>
        <w:rPr>
          <w:rFonts w:hint="eastAsia" w:ascii="宋体" w:hAnsi="宋体" w:cs="宋体"/>
          <w:color w:val="auto"/>
          <w:kern w:val="0"/>
          <w:sz w:val="24"/>
          <w:highlight w:val="none"/>
        </w:rPr>
        <w:t>机电承包商应利用总承</w:t>
      </w:r>
      <w:r>
        <w:rPr>
          <w:rFonts w:ascii="宋体" w:hAnsi="宋体" w:cs="宋体"/>
          <w:color w:val="auto"/>
          <w:kern w:val="0"/>
          <w:sz w:val="24"/>
          <w:highlight w:val="none"/>
        </w:rPr>
        <w:t>包商</w:t>
      </w:r>
      <w:r>
        <w:rPr>
          <w:rFonts w:hint="eastAsia" w:ascii="宋体" w:hAnsi="宋体" w:cs="宋体"/>
          <w:color w:val="auto"/>
          <w:kern w:val="0"/>
          <w:sz w:val="24"/>
          <w:highlight w:val="none"/>
        </w:rPr>
        <w:t>在</w:t>
      </w:r>
      <w:r>
        <w:rPr>
          <w:rFonts w:ascii="宋体" w:hAnsi="宋体" w:cs="宋体"/>
          <w:color w:val="auto"/>
          <w:kern w:val="0"/>
          <w:sz w:val="24"/>
          <w:highlight w:val="none"/>
        </w:rPr>
        <w:t>已完成</w:t>
      </w:r>
      <w:r>
        <w:rPr>
          <w:rFonts w:hint="eastAsia" w:ascii="宋体" w:hAnsi="宋体" w:cs="宋体"/>
          <w:color w:val="auto"/>
          <w:kern w:val="0"/>
          <w:sz w:val="24"/>
          <w:highlight w:val="none"/>
        </w:rPr>
        <w:t>土</w:t>
      </w:r>
      <w:r>
        <w:rPr>
          <w:rFonts w:ascii="宋体" w:hAnsi="宋体" w:cs="宋体"/>
          <w:color w:val="auto"/>
          <w:kern w:val="0"/>
          <w:sz w:val="24"/>
          <w:highlight w:val="none"/>
        </w:rPr>
        <w:t>建工程的</w:t>
      </w:r>
      <w:r>
        <w:rPr>
          <w:rFonts w:hint="eastAsia" w:ascii="宋体" w:hAnsi="宋体" w:cs="宋体"/>
          <w:color w:val="auto"/>
          <w:kern w:val="0"/>
          <w:sz w:val="24"/>
          <w:highlight w:val="none"/>
        </w:rPr>
        <w:t>机</w:t>
      </w:r>
      <w:r>
        <w:rPr>
          <w:rFonts w:ascii="宋体" w:hAnsi="宋体" w:cs="宋体"/>
          <w:color w:val="auto"/>
          <w:kern w:val="0"/>
          <w:sz w:val="24"/>
          <w:highlight w:val="none"/>
        </w:rPr>
        <w:t>电</w:t>
      </w:r>
      <w:r>
        <w:rPr>
          <w:rFonts w:hint="eastAsia" w:ascii="宋体" w:hAnsi="宋体" w:cs="宋体"/>
          <w:color w:val="auto"/>
          <w:kern w:val="0"/>
          <w:sz w:val="24"/>
          <w:highlight w:val="none"/>
        </w:rPr>
        <w:t>预留预埋项目，</w:t>
      </w:r>
      <w:r>
        <w:rPr>
          <w:rFonts w:ascii="宋体" w:hAnsi="宋体" w:cs="宋体"/>
          <w:color w:val="auto"/>
          <w:kern w:val="0"/>
          <w:sz w:val="24"/>
          <w:highlight w:val="none"/>
        </w:rPr>
        <w:t>如不适用时</w:t>
      </w:r>
      <w:r>
        <w:rPr>
          <w:rFonts w:hint="eastAsia" w:ascii="宋体" w:hAnsi="宋体" w:cs="宋体"/>
          <w:color w:val="auto"/>
          <w:kern w:val="0"/>
          <w:sz w:val="24"/>
          <w:highlight w:val="none"/>
        </w:rPr>
        <w:t>：</w:t>
      </w:r>
    </w:p>
    <w:p>
      <w:pPr>
        <w:spacing w:before="156" w:after="156" w:line="400" w:lineRule="exact"/>
        <w:ind w:left="1440" w:right="-137"/>
        <w:contextualSpacing/>
        <w:rPr>
          <w:color w:val="auto"/>
          <w:szCs w:val="24"/>
          <w:highlight w:val="none"/>
          <w:lang w:eastAsia="zh-CN"/>
        </w:rPr>
      </w:pPr>
      <w:r>
        <w:rPr>
          <w:color w:val="auto"/>
          <w:szCs w:val="24"/>
          <w:highlight w:val="none"/>
        </w:rPr>
        <w:fldChar w:fldCharType="begin"/>
      </w:r>
      <w:r>
        <w:rPr>
          <w:color w:val="auto"/>
          <w:szCs w:val="24"/>
          <w:highlight w:val="none"/>
          <w:lang w:eastAsia="zh-CN"/>
        </w:rPr>
        <w:instrText xml:space="preserve"> </w:instrText>
      </w:r>
      <w:r>
        <w:rPr>
          <w:rFonts w:hint="eastAsia"/>
          <w:color w:val="auto"/>
          <w:szCs w:val="24"/>
          <w:highlight w:val="none"/>
          <w:lang w:eastAsia="zh-CN"/>
        </w:rPr>
        <w:instrText xml:space="preserve">= 1 \* GB3</w:instrText>
      </w:r>
      <w:r>
        <w:rPr>
          <w:color w:val="auto"/>
          <w:szCs w:val="24"/>
          <w:highlight w:val="none"/>
          <w:lang w:eastAsia="zh-CN"/>
        </w:rPr>
        <w:instrText xml:space="preserve"> </w:instrText>
      </w:r>
      <w:r>
        <w:rPr>
          <w:color w:val="auto"/>
          <w:szCs w:val="24"/>
          <w:highlight w:val="none"/>
        </w:rPr>
        <w:fldChar w:fldCharType="separate"/>
      </w:r>
      <w:r>
        <w:rPr>
          <w:rFonts w:hint="eastAsia"/>
          <w:color w:val="auto"/>
          <w:szCs w:val="24"/>
          <w:highlight w:val="none"/>
          <w:lang w:eastAsia="zh-CN"/>
        </w:rPr>
        <w:t>①</w:t>
      </w:r>
      <w:r>
        <w:rPr>
          <w:color w:val="auto"/>
          <w:szCs w:val="24"/>
          <w:highlight w:val="none"/>
        </w:rPr>
        <w:fldChar w:fldCharType="end"/>
      </w:r>
      <w:r>
        <w:rPr>
          <w:rFonts w:hint="eastAsia"/>
          <w:color w:val="auto"/>
          <w:szCs w:val="24"/>
          <w:highlight w:val="none"/>
          <w:lang w:eastAsia="zh-CN"/>
        </w:rPr>
        <w:t>如预留孔</w:t>
      </w:r>
      <w:r>
        <w:rPr>
          <w:color w:val="auto"/>
          <w:szCs w:val="24"/>
          <w:highlight w:val="none"/>
          <w:lang w:eastAsia="zh-CN"/>
        </w:rPr>
        <w:t>洞</w:t>
      </w:r>
      <w:r>
        <w:rPr>
          <w:rFonts w:hint="eastAsia"/>
          <w:color w:val="auto"/>
          <w:szCs w:val="24"/>
          <w:highlight w:val="none"/>
          <w:lang w:eastAsia="zh-CN"/>
        </w:rPr>
        <w:t>或</w:t>
      </w:r>
      <w:r>
        <w:rPr>
          <w:color w:val="auto"/>
          <w:szCs w:val="24"/>
          <w:highlight w:val="none"/>
          <w:lang w:eastAsia="zh-CN"/>
        </w:rPr>
        <w:t>埋</w:t>
      </w:r>
      <w:r>
        <w:rPr>
          <w:rFonts w:hint="eastAsia"/>
          <w:color w:val="auto"/>
          <w:szCs w:val="24"/>
          <w:highlight w:val="none"/>
          <w:lang w:eastAsia="zh-CN"/>
        </w:rPr>
        <w:t>套</w:t>
      </w:r>
      <w:r>
        <w:rPr>
          <w:color w:val="auto"/>
          <w:szCs w:val="24"/>
          <w:highlight w:val="none"/>
          <w:lang w:eastAsia="zh-CN"/>
        </w:rPr>
        <w:t>管</w:t>
      </w:r>
      <w:r>
        <w:rPr>
          <w:rFonts w:hint="eastAsia"/>
          <w:color w:val="auto"/>
          <w:szCs w:val="24"/>
          <w:highlight w:val="none"/>
          <w:lang w:eastAsia="zh-CN"/>
        </w:rPr>
        <w:t>已</w:t>
      </w:r>
      <w:r>
        <w:rPr>
          <w:color w:val="auto"/>
          <w:szCs w:val="24"/>
          <w:highlight w:val="none"/>
          <w:lang w:eastAsia="zh-CN"/>
        </w:rPr>
        <w:t>不适用，则由</w:t>
      </w:r>
      <w:r>
        <w:rPr>
          <w:rFonts w:hint="eastAsia"/>
          <w:color w:val="auto"/>
          <w:szCs w:val="24"/>
          <w:highlight w:val="none"/>
          <w:lang w:eastAsia="zh-CN"/>
        </w:rPr>
        <w:t>机</w:t>
      </w:r>
      <w:r>
        <w:rPr>
          <w:color w:val="auto"/>
          <w:szCs w:val="24"/>
          <w:highlight w:val="none"/>
          <w:lang w:eastAsia="zh-CN"/>
        </w:rPr>
        <w:t>电承包商按施工图</w:t>
      </w:r>
      <w:r>
        <w:rPr>
          <w:rFonts w:hint="eastAsia"/>
          <w:color w:val="auto"/>
          <w:szCs w:val="24"/>
          <w:highlight w:val="none"/>
          <w:lang w:eastAsia="zh-CN"/>
        </w:rPr>
        <w:t>施工</w:t>
      </w:r>
      <w:r>
        <w:rPr>
          <w:color w:val="auto"/>
          <w:szCs w:val="24"/>
          <w:highlight w:val="none"/>
          <w:lang w:eastAsia="zh-CN"/>
        </w:rPr>
        <w:t>时需自行开孔</w:t>
      </w:r>
      <w:r>
        <w:rPr>
          <w:rFonts w:hint="eastAsia"/>
          <w:color w:val="auto"/>
          <w:szCs w:val="24"/>
          <w:highlight w:val="none"/>
          <w:lang w:eastAsia="zh-CN"/>
        </w:rPr>
        <w:t>及</w:t>
      </w:r>
      <w:r>
        <w:rPr>
          <w:color w:val="auto"/>
          <w:szCs w:val="24"/>
          <w:highlight w:val="none"/>
          <w:lang w:eastAsia="zh-CN"/>
        </w:rPr>
        <w:t>安装套管，</w:t>
      </w:r>
      <w:r>
        <w:rPr>
          <w:rFonts w:hint="eastAsia"/>
          <w:color w:val="auto"/>
          <w:szCs w:val="24"/>
          <w:highlight w:val="none"/>
          <w:lang w:eastAsia="zh-CN"/>
        </w:rPr>
        <w:t>费</w:t>
      </w:r>
      <w:r>
        <w:rPr>
          <w:color w:val="auto"/>
          <w:szCs w:val="24"/>
          <w:highlight w:val="none"/>
          <w:lang w:eastAsia="zh-CN"/>
        </w:rPr>
        <w:t>用</w:t>
      </w:r>
      <w:r>
        <w:rPr>
          <w:rFonts w:hint="eastAsia"/>
          <w:color w:val="auto"/>
          <w:szCs w:val="24"/>
          <w:highlight w:val="none"/>
          <w:lang w:eastAsia="zh-CN"/>
        </w:rPr>
        <w:t>需在在投标报价中综合考虑，结算时不单独列项计</w:t>
      </w:r>
      <w:r>
        <w:rPr>
          <w:color w:val="auto"/>
          <w:szCs w:val="24"/>
          <w:highlight w:val="none"/>
          <w:lang w:eastAsia="zh-CN"/>
        </w:rPr>
        <w:t>取</w:t>
      </w:r>
      <w:r>
        <w:rPr>
          <w:rFonts w:hint="eastAsia"/>
          <w:color w:val="auto"/>
          <w:szCs w:val="24"/>
          <w:highlight w:val="none"/>
          <w:lang w:eastAsia="zh-CN"/>
        </w:rPr>
        <w:t>。</w:t>
      </w:r>
      <w:r>
        <w:rPr>
          <w:color w:val="auto"/>
          <w:szCs w:val="24"/>
          <w:highlight w:val="none"/>
          <w:lang w:eastAsia="zh-CN"/>
        </w:rPr>
        <w:t>机电</w:t>
      </w:r>
      <w:r>
        <w:rPr>
          <w:rFonts w:hint="eastAsia"/>
          <w:color w:val="auto"/>
          <w:szCs w:val="24"/>
          <w:highlight w:val="none"/>
          <w:lang w:eastAsia="zh-CN"/>
        </w:rPr>
        <w:t>承包商投</w:t>
      </w:r>
      <w:r>
        <w:rPr>
          <w:color w:val="auto"/>
          <w:szCs w:val="24"/>
          <w:highlight w:val="none"/>
          <w:lang w:eastAsia="zh-CN"/>
        </w:rPr>
        <w:t>标时</w:t>
      </w:r>
      <w:r>
        <w:rPr>
          <w:rFonts w:hint="eastAsia"/>
          <w:color w:val="auto"/>
          <w:szCs w:val="24"/>
          <w:highlight w:val="none"/>
          <w:lang w:eastAsia="zh-CN"/>
        </w:rPr>
        <w:t>需仔细探勘现场情况及招标图纸。</w:t>
      </w:r>
    </w:p>
    <w:p>
      <w:pPr>
        <w:spacing w:before="156" w:after="156" w:line="400" w:lineRule="exact"/>
        <w:ind w:left="1440" w:right="-137"/>
        <w:contextualSpacing/>
        <w:rPr>
          <w:color w:val="auto"/>
          <w:szCs w:val="24"/>
          <w:highlight w:val="none"/>
          <w:lang w:eastAsia="zh-CN"/>
        </w:rPr>
      </w:pPr>
      <w:r>
        <w:rPr>
          <w:color w:val="auto"/>
          <w:szCs w:val="24"/>
          <w:highlight w:val="none"/>
        </w:rPr>
        <w:fldChar w:fldCharType="begin"/>
      </w:r>
      <w:r>
        <w:rPr>
          <w:color w:val="auto"/>
          <w:szCs w:val="24"/>
          <w:highlight w:val="none"/>
          <w:lang w:eastAsia="zh-CN"/>
        </w:rPr>
        <w:instrText xml:space="preserve"> </w:instrText>
      </w:r>
      <w:r>
        <w:rPr>
          <w:rFonts w:hint="eastAsia"/>
          <w:color w:val="auto"/>
          <w:szCs w:val="24"/>
          <w:highlight w:val="none"/>
          <w:lang w:eastAsia="zh-CN"/>
        </w:rPr>
        <w:instrText xml:space="preserve">= 2 \* GB3</w:instrText>
      </w:r>
      <w:r>
        <w:rPr>
          <w:color w:val="auto"/>
          <w:szCs w:val="24"/>
          <w:highlight w:val="none"/>
          <w:lang w:eastAsia="zh-CN"/>
        </w:rPr>
        <w:instrText xml:space="preserve"> </w:instrText>
      </w:r>
      <w:r>
        <w:rPr>
          <w:color w:val="auto"/>
          <w:szCs w:val="24"/>
          <w:highlight w:val="none"/>
        </w:rPr>
        <w:fldChar w:fldCharType="separate"/>
      </w:r>
      <w:r>
        <w:rPr>
          <w:rFonts w:hint="eastAsia"/>
          <w:color w:val="auto"/>
          <w:szCs w:val="24"/>
          <w:highlight w:val="none"/>
          <w:lang w:eastAsia="zh-CN"/>
        </w:rPr>
        <w:t>②</w:t>
      </w:r>
      <w:r>
        <w:rPr>
          <w:color w:val="auto"/>
          <w:szCs w:val="24"/>
          <w:highlight w:val="none"/>
        </w:rPr>
        <w:fldChar w:fldCharType="end"/>
      </w:r>
      <w:r>
        <w:rPr>
          <w:rFonts w:hint="eastAsia"/>
          <w:color w:val="auto"/>
          <w:szCs w:val="24"/>
          <w:highlight w:val="none"/>
          <w:lang w:eastAsia="zh-CN"/>
        </w:rPr>
        <w:t>如对比</w:t>
      </w:r>
      <w:r>
        <w:rPr>
          <w:color w:val="auto"/>
          <w:szCs w:val="24"/>
          <w:highlight w:val="none"/>
          <w:lang w:eastAsia="zh-CN"/>
        </w:rPr>
        <w:t>施工图与预埋时</w:t>
      </w:r>
      <w:r>
        <w:rPr>
          <w:rFonts w:hint="eastAsia"/>
          <w:color w:val="auto"/>
          <w:szCs w:val="24"/>
          <w:highlight w:val="none"/>
          <w:lang w:eastAsia="zh-CN"/>
        </w:rPr>
        <w:t>的</w:t>
      </w:r>
      <w:r>
        <w:rPr>
          <w:color w:val="auto"/>
          <w:szCs w:val="24"/>
          <w:highlight w:val="none"/>
          <w:lang w:eastAsia="zh-CN"/>
        </w:rPr>
        <w:t>图纸，</w:t>
      </w:r>
      <w:r>
        <w:rPr>
          <w:rFonts w:hint="eastAsia"/>
          <w:color w:val="auto"/>
          <w:szCs w:val="24"/>
          <w:highlight w:val="none"/>
          <w:lang w:eastAsia="zh-CN"/>
        </w:rPr>
        <w:t>总</w:t>
      </w:r>
      <w:r>
        <w:rPr>
          <w:color w:val="auto"/>
          <w:szCs w:val="24"/>
          <w:highlight w:val="none"/>
          <w:lang w:eastAsia="zh-CN"/>
        </w:rPr>
        <w:t>承包</w:t>
      </w:r>
      <w:r>
        <w:rPr>
          <w:rFonts w:hint="eastAsia"/>
          <w:color w:val="auto"/>
          <w:szCs w:val="24"/>
          <w:highlight w:val="none"/>
          <w:lang w:eastAsia="zh-CN"/>
        </w:rPr>
        <w:t>预埋的</w:t>
      </w:r>
      <w:r>
        <w:rPr>
          <w:color w:val="auto"/>
          <w:szCs w:val="24"/>
          <w:highlight w:val="none"/>
          <w:lang w:eastAsia="zh-CN"/>
        </w:rPr>
        <w:t>线路</w:t>
      </w:r>
      <w:r>
        <w:rPr>
          <w:rFonts w:hint="eastAsia"/>
          <w:color w:val="auto"/>
          <w:szCs w:val="24"/>
          <w:highlight w:val="none"/>
          <w:lang w:eastAsia="zh-CN"/>
        </w:rPr>
        <w:t>已</w:t>
      </w:r>
      <w:r>
        <w:rPr>
          <w:color w:val="auto"/>
          <w:szCs w:val="24"/>
          <w:highlight w:val="none"/>
          <w:lang w:eastAsia="zh-CN"/>
        </w:rPr>
        <w:t>不适用，</w:t>
      </w:r>
      <w:r>
        <w:rPr>
          <w:rFonts w:hint="eastAsia"/>
          <w:color w:val="auto"/>
          <w:szCs w:val="24"/>
          <w:highlight w:val="none"/>
          <w:lang w:eastAsia="zh-CN"/>
        </w:rPr>
        <w:t>则机</w:t>
      </w:r>
      <w:r>
        <w:rPr>
          <w:color w:val="auto"/>
          <w:szCs w:val="24"/>
          <w:highlight w:val="none"/>
          <w:lang w:eastAsia="zh-CN"/>
        </w:rPr>
        <w:t>电</w:t>
      </w:r>
      <w:r>
        <w:rPr>
          <w:rFonts w:hint="eastAsia"/>
          <w:color w:val="auto"/>
          <w:szCs w:val="24"/>
          <w:highlight w:val="none"/>
          <w:lang w:eastAsia="zh-CN"/>
        </w:rPr>
        <w:t>承</w:t>
      </w:r>
      <w:r>
        <w:rPr>
          <w:color w:val="auto"/>
          <w:szCs w:val="24"/>
          <w:highlight w:val="none"/>
          <w:lang w:eastAsia="zh-CN"/>
        </w:rPr>
        <w:t>包商需</w:t>
      </w:r>
      <w:r>
        <w:rPr>
          <w:rFonts w:hint="eastAsia"/>
          <w:color w:val="auto"/>
          <w:szCs w:val="24"/>
          <w:highlight w:val="none"/>
          <w:lang w:eastAsia="zh-CN"/>
        </w:rPr>
        <w:t>按</w:t>
      </w:r>
      <w:r>
        <w:rPr>
          <w:color w:val="auto"/>
          <w:szCs w:val="24"/>
          <w:highlight w:val="none"/>
          <w:lang w:eastAsia="zh-CN"/>
        </w:rPr>
        <w:t>施工图</w:t>
      </w:r>
      <w:r>
        <w:rPr>
          <w:rFonts w:hint="eastAsia"/>
          <w:color w:val="auto"/>
          <w:szCs w:val="24"/>
          <w:highlight w:val="none"/>
          <w:lang w:eastAsia="zh-CN"/>
        </w:rPr>
        <w:t>自行安装适合线</w:t>
      </w:r>
      <w:r>
        <w:rPr>
          <w:color w:val="auto"/>
          <w:szCs w:val="24"/>
          <w:highlight w:val="none"/>
          <w:lang w:eastAsia="zh-CN"/>
        </w:rPr>
        <w:t>管线盒</w:t>
      </w:r>
      <w:r>
        <w:rPr>
          <w:rFonts w:hint="eastAsia"/>
          <w:color w:val="auto"/>
          <w:szCs w:val="24"/>
          <w:highlight w:val="none"/>
          <w:lang w:eastAsia="zh-CN"/>
        </w:rPr>
        <w:t>组件，</w:t>
      </w:r>
      <w:r>
        <w:rPr>
          <w:color w:val="auto"/>
          <w:szCs w:val="24"/>
          <w:highlight w:val="none"/>
          <w:lang w:eastAsia="zh-CN"/>
        </w:rPr>
        <w:t>完成</w:t>
      </w:r>
      <w:r>
        <w:rPr>
          <w:rFonts w:hint="eastAsia"/>
          <w:color w:val="auto"/>
          <w:szCs w:val="24"/>
          <w:highlight w:val="none"/>
          <w:lang w:eastAsia="zh-CN"/>
        </w:rPr>
        <w:t>改位、接驳、封盖等</w:t>
      </w:r>
      <w:r>
        <w:rPr>
          <w:color w:val="auto"/>
          <w:szCs w:val="24"/>
          <w:highlight w:val="none"/>
          <w:lang w:eastAsia="zh-CN"/>
        </w:rPr>
        <w:t>工作</w:t>
      </w:r>
      <w:r>
        <w:rPr>
          <w:rFonts w:hint="eastAsia"/>
          <w:color w:val="auto"/>
          <w:szCs w:val="24"/>
          <w:highlight w:val="none"/>
          <w:lang w:eastAsia="zh-CN"/>
        </w:rPr>
        <w:t>，此</w:t>
      </w:r>
      <w:r>
        <w:rPr>
          <w:color w:val="auto"/>
          <w:szCs w:val="24"/>
          <w:highlight w:val="none"/>
          <w:lang w:eastAsia="zh-CN"/>
        </w:rPr>
        <w:t>部分工程</w:t>
      </w:r>
      <w:r>
        <w:rPr>
          <w:rFonts w:hint="eastAsia"/>
          <w:color w:val="auto"/>
          <w:szCs w:val="24"/>
          <w:highlight w:val="none"/>
          <w:lang w:eastAsia="zh-CN"/>
        </w:rPr>
        <w:t>量</w:t>
      </w:r>
      <w:r>
        <w:rPr>
          <w:color w:val="auto"/>
          <w:szCs w:val="24"/>
          <w:highlight w:val="none"/>
          <w:lang w:eastAsia="zh-CN"/>
        </w:rPr>
        <w:t>须经监理</w:t>
      </w:r>
      <w:r>
        <w:rPr>
          <w:rFonts w:hint="eastAsia"/>
          <w:color w:val="auto"/>
          <w:szCs w:val="24"/>
          <w:highlight w:val="none"/>
          <w:lang w:eastAsia="zh-CN"/>
        </w:rPr>
        <w:t>单位</w:t>
      </w:r>
      <w:r>
        <w:rPr>
          <w:color w:val="auto"/>
          <w:szCs w:val="24"/>
          <w:highlight w:val="none"/>
          <w:lang w:eastAsia="zh-CN"/>
        </w:rPr>
        <w:t>现场</w:t>
      </w:r>
      <w:r>
        <w:rPr>
          <w:rFonts w:hint="eastAsia"/>
          <w:color w:val="auto"/>
          <w:szCs w:val="24"/>
          <w:highlight w:val="none"/>
          <w:lang w:eastAsia="zh-CN"/>
        </w:rPr>
        <w:t>确认</w:t>
      </w:r>
      <w:r>
        <w:rPr>
          <w:color w:val="auto"/>
          <w:szCs w:val="24"/>
          <w:highlight w:val="none"/>
          <w:lang w:eastAsia="zh-CN"/>
        </w:rPr>
        <w:t>。</w:t>
      </w:r>
    </w:p>
    <w:p>
      <w:pPr>
        <w:pStyle w:val="241"/>
        <w:widowControl/>
        <w:snapToGrid w:val="0"/>
        <w:spacing w:line="360" w:lineRule="auto"/>
        <w:ind w:left="1680" w:right="1680" w:firstLine="0" w:firstLineChars="0"/>
        <w:jc w:val="left"/>
        <w:outlineLvl w:val="3"/>
        <w:rPr>
          <w:rFonts w:ascii="宋体" w:hAnsi="宋体" w:cs="宋体"/>
          <w:b/>
          <w:color w:val="auto"/>
          <w:kern w:val="0"/>
          <w:sz w:val="24"/>
          <w:highlight w:val="none"/>
        </w:rPr>
      </w:pPr>
      <w:r>
        <w:rPr>
          <w:rFonts w:ascii="宋体" w:hAnsi="宋体" w:cs="宋体"/>
          <w:b/>
          <w:color w:val="auto"/>
          <w:kern w:val="0"/>
          <w:sz w:val="24"/>
          <w:highlight w:val="none"/>
        </w:rPr>
        <w:t>2.</w:t>
      </w:r>
      <w:r>
        <w:rPr>
          <w:rFonts w:hint="eastAsia" w:ascii="宋体" w:hAnsi="宋体" w:cs="宋体"/>
          <w:b/>
          <w:color w:val="auto"/>
          <w:kern w:val="0"/>
          <w:sz w:val="24"/>
          <w:highlight w:val="none"/>
        </w:rPr>
        <w:t>医用气体管道工程</w:t>
      </w:r>
    </w:p>
    <w:p>
      <w:pPr>
        <w:pStyle w:val="241"/>
        <w:widowControl/>
        <w:numPr>
          <w:ilvl w:val="0"/>
          <w:numId w:val="8"/>
        </w:numPr>
        <w:snapToGrid w:val="0"/>
        <w:spacing w:line="360" w:lineRule="auto"/>
        <w:ind w:left="2100" w:right="1680" w:firstLineChars="0"/>
        <w:rPr>
          <w:rFonts w:ascii="宋体" w:hAnsi="宋体" w:cs="宋体"/>
          <w:color w:val="auto"/>
          <w:kern w:val="0"/>
          <w:sz w:val="24"/>
          <w:highlight w:val="none"/>
        </w:rPr>
      </w:pPr>
      <w:r>
        <w:rPr>
          <w:rFonts w:hint="eastAsia" w:ascii="宋体" w:hAnsi="宋体" w:cs="宋体"/>
          <w:color w:val="auto"/>
          <w:kern w:val="0"/>
          <w:sz w:val="24"/>
          <w:highlight w:val="none"/>
        </w:rPr>
        <w:t>负责</w:t>
      </w:r>
      <w:r>
        <w:rPr>
          <w:rFonts w:ascii="宋体" w:hAnsi="宋体" w:cs="宋体"/>
          <w:color w:val="auto"/>
          <w:kern w:val="0"/>
          <w:sz w:val="24"/>
          <w:highlight w:val="none"/>
        </w:rPr>
        <w:t>医用气体管道</w:t>
      </w:r>
      <w:r>
        <w:rPr>
          <w:rFonts w:hint="eastAsia" w:ascii="宋体" w:hAnsi="宋体" w:cs="宋体"/>
          <w:color w:val="auto"/>
          <w:kern w:val="0"/>
          <w:sz w:val="24"/>
          <w:highlight w:val="none"/>
        </w:rPr>
        <w:t>及</w:t>
      </w:r>
      <w:r>
        <w:rPr>
          <w:rFonts w:ascii="宋体" w:hAnsi="宋体" w:cs="宋体"/>
          <w:color w:val="auto"/>
          <w:kern w:val="0"/>
          <w:sz w:val="24"/>
          <w:highlight w:val="none"/>
        </w:rPr>
        <w:t>阀门附件等的采购、安装调试验收等工作</w:t>
      </w:r>
      <w:r>
        <w:rPr>
          <w:rFonts w:hint="eastAsia" w:ascii="宋体" w:hAnsi="宋体" w:cs="宋体"/>
          <w:color w:val="auto"/>
          <w:kern w:val="0"/>
          <w:sz w:val="24"/>
          <w:highlight w:val="none"/>
        </w:rPr>
        <w:t>，</w:t>
      </w:r>
      <w:r>
        <w:rPr>
          <w:rFonts w:ascii="宋体" w:hAnsi="宋体" w:cs="宋体"/>
          <w:color w:val="auto"/>
          <w:kern w:val="0"/>
          <w:sz w:val="24"/>
          <w:highlight w:val="none"/>
        </w:rPr>
        <w:t>包括管道</w:t>
      </w:r>
      <w:r>
        <w:rPr>
          <w:rFonts w:hint="eastAsia" w:ascii="宋体" w:hAnsi="宋体" w:cs="宋体"/>
          <w:color w:val="auto"/>
          <w:kern w:val="0"/>
          <w:sz w:val="24"/>
          <w:highlight w:val="none"/>
        </w:rPr>
        <w:t>（含室外直埋管道及其埋地）</w:t>
      </w:r>
      <w:r>
        <w:rPr>
          <w:rFonts w:ascii="宋体" w:hAnsi="宋体" w:cs="宋体"/>
          <w:color w:val="auto"/>
          <w:kern w:val="0"/>
          <w:sz w:val="24"/>
          <w:highlight w:val="none"/>
        </w:rPr>
        <w:t>、阀门</w:t>
      </w:r>
      <w:r>
        <w:rPr>
          <w:rFonts w:hint="eastAsia" w:ascii="宋体" w:hAnsi="宋体" w:cs="宋体"/>
          <w:color w:val="auto"/>
          <w:kern w:val="0"/>
          <w:sz w:val="24"/>
          <w:highlight w:val="none"/>
        </w:rPr>
        <w:t>及</w:t>
      </w:r>
      <w:r>
        <w:rPr>
          <w:rFonts w:ascii="宋体" w:hAnsi="宋体" w:cs="宋体"/>
          <w:color w:val="auto"/>
          <w:kern w:val="0"/>
          <w:sz w:val="24"/>
          <w:highlight w:val="none"/>
        </w:rPr>
        <w:t>阀门箱</w:t>
      </w:r>
      <w:r>
        <w:rPr>
          <w:rFonts w:hint="eastAsia" w:ascii="宋体" w:hAnsi="宋体" w:cs="宋体"/>
          <w:color w:val="auto"/>
          <w:kern w:val="0"/>
          <w:sz w:val="24"/>
          <w:highlight w:val="none"/>
        </w:rPr>
        <w:t>、</w:t>
      </w:r>
      <w:r>
        <w:rPr>
          <w:rFonts w:ascii="宋体" w:hAnsi="宋体" w:cs="宋体"/>
          <w:color w:val="auto"/>
          <w:kern w:val="0"/>
          <w:sz w:val="24"/>
          <w:highlight w:val="none"/>
        </w:rPr>
        <w:t>减压装置</w:t>
      </w:r>
      <w:r>
        <w:rPr>
          <w:rFonts w:hint="eastAsia" w:ascii="宋体" w:hAnsi="宋体" w:cs="宋体"/>
          <w:color w:val="auto"/>
          <w:kern w:val="0"/>
          <w:sz w:val="24"/>
          <w:highlight w:val="none"/>
        </w:rPr>
        <w:t>、</w:t>
      </w:r>
      <w:r>
        <w:rPr>
          <w:rFonts w:ascii="宋体" w:hAnsi="宋体" w:cs="宋体"/>
          <w:color w:val="auto"/>
          <w:kern w:val="0"/>
          <w:sz w:val="24"/>
          <w:highlight w:val="none"/>
        </w:rPr>
        <w:t>计量装置</w:t>
      </w:r>
      <w:r>
        <w:rPr>
          <w:rFonts w:hint="eastAsia" w:ascii="宋体" w:hAnsi="宋体" w:cs="宋体"/>
          <w:color w:val="auto"/>
          <w:kern w:val="0"/>
          <w:sz w:val="24"/>
          <w:highlight w:val="none"/>
        </w:rPr>
        <w:t>、</w:t>
      </w:r>
      <w:r>
        <w:rPr>
          <w:rFonts w:ascii="宋体" w:hAnsi="宋体" w:cs="宋体"/>
          <w:color w:val="auto"/>
          <w:kern w:val="0"/>
          <w:sz w:val="24"/>
          <w:highlight w:val="none"/>
        </w:rPr>
        <w:t>放散管</w:t>
      </w:r>
      <w:r>
        <w:rPr>
          <w:rFonts w:hint="eastAsia" w:ascii="宋体" w:hAnsi="宋体" w:cs="宋体"/>
          <w:color w:val="auto"/>
          <w:kern w:val="0"/>
          <w:sz w:val="24"/>
          <w:highlight w:val="none"/>
        </w:rPr>
        <w:t>等</w:t>
      </w:r>
      <w:r>
        <w:rPr>
          <w:rFonts w:ascii="宋体" w:hAnsi="宋体" w:cs="宋体"/>
          <w:color w:val="auto"/>
          <w:kern w:val="0"/>
          <w:sz w:val="24"/>
          <w:highlight w:val="none"/>
        </w:rPr>
        <w:t>。</w:t>
      </w:r>
    </w:p>
    <w:p>
      <w:pPr>
        <w:pStyle w:val="241"/>
        <w:widowControl/>
        <w:snapToGrid w:val="0"/>
        <w:spacing w:line="360" w:lineRule="auto"/>
        <w:ind w:left="1680" w:right="1680" w:firstLine="0" w:firstLineChars="0"/>
        <w:jc w:val="left"/>
        <w:outlineLvl w:val="3"/>
        <w:rPr>
          <w:rFonts w:ascii="宋体" w:hAnsi="宋体" w:cs="宋体"/>
          <w:b/>
          <w:color w:val="auto"/>
          <w:kern w:val="0"/>
          <w:sz w:val="24"/>
          <w:highlight w:val="none"/>
        </w:rPr>
      </w:pPr>
      <w:r>
        <w:rPr>
          <w:rFonts w:ascii="宋体" w:hAnsi="宋体" w:cs="宋体"/>
          <w:b/>
          <w:color w:val="auto"/>
          <w:kern w:val="0"/>
          <w:sz w:val="24"/>
          <w:highlight w:val="none"/>
        </w:rPr>
        <w:t>3. 成品综合支吊架、普通支吊架</w:t>
      </w:r>
    </w:p>
    <w:p>
      <w:pPr>
        <w:pStyle w:val="241"/>
        <w:widowControl/>
        <w:numPr>
          <w:ilvl w:val="0"/>
          <w:numId w:val="9"/>
        </w:numPr>
        <w:snapToGrid w:val="0"/>
        <w:spacing w:line="360" w:lineRule="auto"/>
        <w:ind w:left="2105" w:right="1680" w:firstLineChars="0"/>
        <w:rPr>
          <w:rFonts w:ascii="宋体" w:hAnsi="宋体" w:cs="宋体"/>
          <w:color w:val="auto"/>
          <w:kern w:val="0"/>
          <w:sz w:val="24"/>
          <w:highlight w:val="none"/>
        </w:rPr>
      </w:pPr>
      <w:r>
        <w:rPr>
          <w:rFonts w:ascii="宋体" w:hAnsi="宋体" w:cs="宋体"/>
          <w:color w:val="auto"/>
          <w:kern w:val="0"/>
          <w:sz w:val="24"/>
          <w:highlight w:val="none"/>
        </w:rPr>
        <w:t>负责深化自身承包范围内的管线布置，并对总承包的综合支吊架设计进行复核，双方需签字确认。（综合支吊架是指由土建总承包负责统一深化设计并安装的支吊架系统。）</w:t>
      </w:r>
    </w:p>
    <w:p>
      <w:pPr>
        <w:pStyle w:val="241"/>
        <w:widowControl/>
        <w:numPr>
          <w:ilvl w:val="0"/>
          <w:numId w:val="9"/>
        </w:numPr>
        <w:snapToGrid w:val="0"/>
        <w:spacing w:line="360" w:lineRule="auto"/>
        <w:ind w:left="2105" w:right="1680" w:firstLineChars="0"/>
        <w:rPr>
          <w:rFonts w:ascii="宋体" w:hAnsi="宋体" w:cs="宋体"/>
          <w:color w:val="auto"/>
          <w:kern w:val="0"/>
          <w:sz w:val="24"/>
          <w:highlight w:val="none"/>
        </w:rPr>
      </w:pPr>
      <w:r>
        <w:rPr>
          <w:rFonts w:ascii="宋体" w:hAnsi="宋体" w:cs="宋体"/>
          <w:color w:val="auto"/>
          <w:kern w:val="0"/>
          <w:sz w:val="24"/>
          <w:highlight w:val="none"/>
        </w:rPr>
        <w:t>对总承包商成品综合支吊架范围以外的支吊架的采购、安装及调试并通过验收，并对其进行受力分析、合理排布、优化设计、制定方案，经业主、监理确认以后方可施工。</w:t>
      </w:r>
    </w:p>
    <w:p>
      <w:pPr>
        <w:pStyle w:val="241"/>
        <w:widowControl/>
        <w:snapToGrid w:val="0"/>
        <w:spacing w:line="360" w:lineRule="auto"/>
        <w:ind w:left="1680" w:right="1680" w:firstLine="0" w:firstLineChars="0"/>
        <w:jc w:val="left"/>
        <w:outlineLvl w:val="3"/>
        <w:rPr>
          <w:rFonts w:ascii="宋体" w:hAnsi="宋体" w:cs="宋体"/>
          <w:b/>
          <w:color w:val="auto"/>
          <w:kern w:val="0"/>
          <w:sz w:val="24"/>
          <w:highlight w:val="none"/>
        </w:rPr>
      </w:pPr>
      <w:r>
        <w:rPr>
          <w:rFonts w:ascii="宋体" w:hAnsi="宋体" w:cs="宋体"/>
          <w:b/>
          <w:color w:val="auto"/>
          <w:kern w:val="0"/>
          <w:sz w:val="24"/>
          <w:highlight w:val="none"/>
        </w:rPr>
        <w:t>4.</w:t>
      </w:r>
      <w:r>
        <w:rPr>
          <w:rFonts w:hint="eastAsia" w:ascii="宋体" w:hAnsi="宋体" w:cs="宋体"/>
          <w:b/>
          <w:color w:val="auto"/>
          <w:kern w:val="0"/>
          <w:sz w:val="24"/>
          <w:highlight w:val="none"/>
        </w:rPr>
        <w:t>设备监控</w:t>
      </w:r>
      <w:r>
        <w:rPr>
          <w:rFonts w:ascii="宋体" w:hAnsi="宋体" w:cs="宋体"/>
          <w:b/>
          <w:color w:val="auto"/>
          <w:kern w:val="0"/>
          <w:sz w:val="24"/>
          <w:highlight w:val="none"/>
        </w:rPr>
        <w:t>系统</w:t>
      </w:r>
    </w:p>
    <w:p>
      <w:pPr>
        <w:pStyle w:val="241"/>
        <w:widowControl/>
        <w:numPr>
          <w:ilvl w:val="0"/>
          <w:numId w:val="10"/>
        </w:numPr>
        <w:snapToGrid w:val="0"/>
        <w:spacing w:line="360" w:lineRule="auto"/>
        <w:ind w:left="2100" w:right="1680" w:firstLineChars="0"/>
        <w:rPr>
          <w:rFonts w:ascii="宋体" w:hAnsi="宋体" w:cs="宋体"/>
          <w:color w:val="auto"/>
          <w:kern w:val="0"/>
          <w:sz w:val="24"/>
          <w:highlight w:val="none"/>
        </w:rPr>
      </w:pPr>
      <w:r>
        <w:rPr>
          <w:rFonts w:hint="eastAsia" w:ascii="宋体" w:hAnsi="宋体" w:cs="宋体"/>
          <w:color w:val="auto"/>
          <w:kern w:val="0"/>
          <w:sz w:val="24"/>
          <w:highlight w:val="none"/>
        </w:rPr>
        <w:t>负责医用</w:t>
      </w:r>
      <w:r>
        <w:rPr>
          <w:rFonts w:ascii="宋体" w:hAnsi="宋体" w:cs="宋体"/>
          <w:color w:val="auto"/>
          <w:kern w:val="0"/>
          <w:sz w:val="24"/>
          <w:highlight w:val="none"/>
        </w:rPr>
        <w:t>气体的监控系统</w:t>
      </w:r>
      <w:r>
        <w:rPr>
          <w:rFonts w:hint="eastAsia" w:ascii="宋体" w:hAnsi="宋体" w:cs="宋体"/>
          <w:color w:val="auto"/>
          <w:kern w:val="0"/>
          <w:sz w:val="24"/>
          <w:highlight w:val="none"/>
        </w:rPr>
        <w:t>，</w:t>
      </w:r>
      <w:r>
        <w:rPr>
          <w:rFonts w:ascii="宋体" w:hAnsi="宋体" w:cs="宋体"/>
          <w:color w:val="auto"/>
          <w:kern w:val="0"/>
          <w:sz w:val="24"/>
          <w:highlight w:val="none"/>
        </w:rPr>
        <w:t>包含区域报警系统；</w:t>
      </w:r>
    </w:p>
    <w:p>
      <w:pPr>
        <w:pStyle w:val="241"/>
        <w:widowControl/>
        <w:snapToGrid w:val="0"/>
        <w:spacing w:line="360" w:lineRule="auto"/>
        <w:ind w:left="1680" w:right="1680" w:firstLine="0" w:firstLineChars="0"/>
        <w:jc w:val="left"/>
        <w:outlineLvl w:val="3"/>
        <w:rPr>
          <w:rFonts w:ascii="宋体" w:hAnsi="宋体" w:cs="宋体"/>
          <w:b/>
          <w:color w:val="auto"/>
          <w:kern w:val="0"/>
          <w:sz w:val="24"/>
          <w:highlight w:val="none"/>
        </w:rPr>
      </w:pPr>
      <w:r>
        <w:rPr>
          <w:rFonts w:ascii="宋体" w:hAnsi="宋体" w:cs="宋体"/>
          <w:b/>
          <w:color w:val="auto"/>
          <w:kern w:val="0"/>
          <w:sz w:val="24"/>
          <w:highlight w:val="none"/>
        </w:rPr>
        <w:t xml:space="preserve">5. </w:t>
      </w:r>
      <w:r>
        <w:rPr>
          <w:rFonts w:hint="eastAsia" w:ascii="宋体" w:hAnsi="宋体" w:cs="宋体"/>
          <w:b/>
          <w:color w:val="auto"/>
          <w:kern w:val="0"/>
          <w:sz w:val="24"/>
          <w:highlight w:val="none"/>
        </w:rPr>
        <w:t>其它工作</w:t>
      </w:r>
    </w:p>
    <w:p>
      <w:pPr>
        <w:pStyle w:val="241"/>
        <w:widowControl/>
        <w:numPr>
          <w:ilvl w:val="0"/>
          <w:numId w:val="11"/>
        </w:numPr>
        <w:snapToGrid w:val="0"/>
        <w:spacing w:line="360" w:lineRule="auto"/>
        <w:ind w:left="2100" w:right="1680" w:firstLineChars="0"/>
        <w:rPr>
          <w:rFonts w:ascii="宋体" w:hAnsi="宋体" w:cs="宋体"/>
          <w:color w:val="auto"/>
          <w:kern w:val="0"/>
          <w:sz w:val="24"/>
          <w:highlight w:val="none"/>
        </w:rPr>
      </w:pPr>
      <w:r>
        <w:rPr>
          <w:rFonts w:hint="eastAsia" w:ascii="宋体" w:hAnsi="宋体" w:cs="宋体"/>
          <w:color w:val="auto"/>
          <w:kern w:val="0"/>
          <w:sz w:val="24"/>
          <w:highlight w:val="none"/>
        </w:rPr>
        <w:t>负责</w:t>
      </w:r>
      <w:r>
        <w:rPr>
          <w:rFonts w:ascii="宋体" w:hAnsi="宋体" w:cs="宋体"/>
          <w:color w:val="auto"/>
          <w:kern w:val="0"/>
          <w:sz w:val="24"/>
          <w:highlight w:val="none"/>
        </w:rPr>
        <w:t>医用</w:t>
      </w:r>
      <w:r>
        <w:rPr>
          <w:rFonts w:hint="eastAsia" w:ascii="宋体" w:hAnsi="宋体" w:cs="宋体"/>
          <w:color w:val="auto"/>
          <w:kern w:val="0"/>
          <w:sz w:val="24"/>
          <w:highlight w:val="none"/>
        </w:rPr>
        <w:t>气体</w:t>
      </w:r>
      <w:r>
        <w:rPr>
          <w:rFonts w:ascii="宋体" w:hAnsi="宋体" w:cs="宋体"/>
          <w:color w:val="auto"/>
          <w:kern w:val="0"/>
          <w:sz w:val="24"/>
          <w:highlight w:val="none"/>
        </w:rPr>
        <w:t>系统的图纸审核、系统</w:t>
      </w:r>
      <w:r>
        <w:rPr>
          <w:rFonts w:hint="eastAsia" w:ascii="宋体" w:hAnsi="宋体" w:cs="宋体"/>
          <w:color w:val="auto"/>
          <w:kern w:val="0"/>
          <w:sz w:val="24"/>
          <w:highlight w:val="none"/>
        </w:rPr>
        <w:t>的</w:t>
      </w:r>
      <w:r>
        <w:rPr>
          <w:rFonts w:ascii="宋体" w:hAnsi="宋体" w:cs="宋体"/>
          <w:color w:val="auto"/>
          <w:kern w:val="0"/>
          <w:sz w:val="24"/>
          <w:highlight w:val="none"/>
        </w:rPr>
        <w:t>深化设计</w:t>
      </w:r>
      <w:r>
        <w:rPr>
          <w:rFonts w:hint="eastAsia" w:ascii="宋体" w:hAnsi="宋体" w:cs="宋体"/>
          <w:color w:val="auto"/>
          <w:kern w:val="0"/>
          <w:sz w:val="24"/>
          <w:highlight w:val="none"/>
        </w:rPr>
        <w:t>工作</w:t>
      </w:r>
      <w:r>
        <w:rPr>
          <w:rFonts w:ascii="宋体" w:hAnsi="宋体" w:cs="宋体"/>
          <w:color w:val="auto"/>
          <w:kern w:val="0"/>
          <w:sz w:val="24"/>
          <w:highlight w:val="none"/>
        </w:rPr>
        <w:t>。</w:t>
      </w:r>
    </w:p>
    <w:p>
      <w:pPr>
        <w:pStyle w:val="241"/>
        <w:widowControl/>
        <w:numPr>
          <w:ilvl w:val="0"/>
          <w:numId w:val="11"/>
        </w:numPr>
        <w:snapToGrid w:val="0"/>
        <w:spacing w:line="360" w:lineRule="auto"/>
        <w:ind w:left="2100" w:right="1680" w:firstLineChars="0"/>
        <w:rPr>
          <w:rFonts w:ascii="宋体" w:hAnsi="宋体" w:cs="宋体"/>
          <w:color w:val="auto"/>
          <w:kern w:val="0"/>
          <w:sz w:val="24"/>
          <w:highlight w:val="none"/>
        </w:rPr>
      </w:pPr>
      <w:r>
        <w:rPr>
          <w:rFonts w:ascii="宋体" w:hAnsi="宋体" w:cs="宋体"/>
          <w:color w:val="auto"/>
          <w:kern w:val="0"/>
          <w:sz w:val="24"/>
          <w:highlight w:val="none"/>
        </w:rPr>
        <w:t>按设计及医院管理要求完成设备、管线所需的运行、维护、安全警示的标识；</w:t>
      </w:r>
    </w:p>
    <w:p>
      <w:pPr>
        <w:pStyle w:val="241"/>
        <w:widowControl/>
        <w:numPr>
          <w:ilvl w:val="0"/>
          <w:numId w:val="11"/>
        </w:numPr>
        <w:snapToGrid w:val="0"/>
        <w:spacing w:line="360" w:lineRule="auto"/>
        <w:ind w:left="2100" w:right="1680" w:firstLineChars="0"/>
        <w:rPr>
          <w:rFonts w:ascii="宋体" w:hAnsi="宋体" w:cs="宋体"/>
          <w:color w:val="auto"/>
          <w:kern w:val="0"/>
          <w:sz w:val="24"/>
          <w:highlight w:val="none"/>
        </w:rPr>
      </w:pPr>
      <w:r>
        <w:rPr>
          <w:rFonts w:ascii="宋体" w:hAnsi="宋体" w:cs="宋体"/>
          <w:color w:val="auto"/>
          <w:kern w:val="0"/>
          <w:sz w:val="24"/>
          <w:highlight w:val="none"/>
        </w:rPr>
        <w:t>配合土建、精装修单位、医疗工艺和净化、防护等施工单位绘制末端定位图及所有需深化设计的工作；</w:t>
      </w:r>
    </w:p>
    <w:p>
      <w:pPr>
        <w:pStyle w:val="241"/>
        <w:widowControl/>
        <w:numPr>
          <w:ilvl w:val="0"/>
          <w:numId w:val="11"/>
        </w:numPr>
        <w:snapToGrid w:val="0"/>
        <w:spacing w:line="360" w:lineRule="auto"/>
        <w:ind w:left="2100" w:right="1680" w:firstLineChars="0"/>
        <w:rPr>
          <w:rFonts w:ascii="宋体" w:hAnsi="宋体" w:cs="宋体"/>
          <w:color w:val="auto"/>
          <w:kern w:val="0"/>
          <w:sz w:val="24"/>
          <w:highlight w:val="none"/>
        </w:rPr>
      </w:pPr>
      <w:r>
        <w:rPr>
          <w:rFonts w:ascii="宋体" w:hAnsi="宋体" w:cs="宋体"/>
          <w:color w:val="auto"/>
          <w:kern w:val="0"/>
          <w:sz w:val="24"/>
          <w:highlight w:val="none"/>
        </w:rPr>
        <w:t>防辐射、磁屏蔽、医疗工艺及净化区域的机电系统在施工前必须得到业主和监理单位的书面认可；</w:t>
      </w:r>
    </w:p>
    <w:p>
      <w:pPr>
        <w:pStyle w:val="241"/>
        <w:widowControl/>
        <w:numPr>
          <w:ilvl w:val="0"/>
          <w:numId w:val="11"/>
        </w:numPr>
        <w:snapToGrid w:val="0"/>
        <w:spacing w:line="360" w:lineRule="auto"/>
        <w:ind w:left="2100" w:right="1680" w:firstLineChars="0"/>
        <w:rPr>
          <w:rFonts w:ascii="宋体" w:hAnsi="宋体" w:cs="宋体"/>
          <w:color w:val="auto"/>
          <w:kern w:val="0"/>
          <w:sz w:val="24"/>
          <w:highlight w:val="none"/>
        </w:rPr>
      </w:pPr>
      <w:r>
        <w:rPr>
          <w:rFonts w:ascii="宋体" w:hAnsi="宋体" w:cs="宋体"/>
          <w:color w:val="auto"/>
          <w:kern w:val="0"/>
          <w:sz w:val="24"/>
          <w:highlight w:val="none"/>
        </w:rPr>
        <w:t>负责将本承包范围内的垃圾清运至总承包单位指定的垃圾堆放点；</w:t>
      </w:r>
    </w:p>
    <w:p>
      <w:pPr>
        <w:pStyle w:val="241"/>
        <w:widowControl/>
        <w:numPr>
          <w:ilvl w:val="0"/>
          <w:numId w:val="11"/>
        </w:numPr>
        <w:snapToGrid w:val="0"/>
        <w:spacing w:line="360" w:lineRule="auto"/>
        <w:ind w:left="2100" w:right="1680" w:firstLineChars="0"/>
        <w:rPr>
          <w:rFonts w:ascii="宋体" w:hAnsi="宋体" w:cs="宋体"/>
          <w:color w:val="auto"/>
          <w:kern w:val="0"/>
          <w:sz w:val="24"/>
          <w:highlight w:val="none"/>
        </w:rPr>
      </w:pPr>
      <w:r>
        <w:rPr>
          <w:rFonts w:ascii="宋体" w:hAnsi="宋体" w:cs="宋体"/>
          <w:color w:val="auto"/>
          <w:kern w:val="0"/>
          <w:sz w:val="24"/>
          <w:highlight w:val="none"/>
        </w:rPr>
        <w:t>配合发包人进行档案信息化管理，具体工作按发包人相关要求实施；</w:t>
      </w:r>
    </w:p>
    <w:p>
      <w:pPr>
        <w:pStyle w:val="241"/>
        <w:widowControl/>
        <w:numPr>
          <w:ilvl w:val="0"/>
          <w:numId w:val="11"/>
        </w:numPr>
        <w:snapToGrid w:val="0"/>
        <w:spacing w:line="360" w:lineRule="auto"/>
        <w:ind w:left="2100" w:right="1680" w:firstLineChars="0"/>
        <w:rPr>
          <w:rFonts w:ascii="宋体" w:hAnsi="宋体" w:cs="宋体"/>
          <w:color w:val="auto"/>
          <w:kern w:val="0"/>
          <w:sz w:val="24"/>
          <w:highlight w:val="none"/>
        </w:rPr>
      </w:pPr>
      <w:r>
        <w:rPr>
          <w:rFonts w:ascii="宋体" w:hAnsi="宋体" w:cs="宋体"/>
          <w:color w:val="auto"/>
          <w:kern w:val="0"/>
          <w:sz w:val="24"/>
          <w:highlight w:val="none"/>
        </w:rPr>
        <w:t>负责办理发包人委托的相关工作；</w:t>
      </w:r>
    </w:p>
    <w:p>
      <w:pPr>
        <w:pStyle w:val="241"/>
        <w:widowControl/>
        <w:numPr>
          <w:ilvl w:val="0"/>
          <w:numId w:val="11"/>
        </w:numPr>
        <w:snapToGrid w:val="0"/>
        <w:spacing w:line="360" w:lineRule="auto"/>
        <w:ind w:left="2100" w:right="1680" w:firstLineChars="0"/>
        <w:rPr>
          <w:rFonts w:ascii="宋体" w:hAnsi="宋体" w:cs="宋体"/>
          <w:color w:val="auto"/>
          <w:kern w:val="0"/>
          <w:sz w:val="24"/>
          <w:highlight w:val="none"/>
        </w:rPr>
      </w:pPr>
      <w:r>
        <w:rPr>
          <w:rFonts w:ascii="宋体" w:hAnsi="宋体" w:cs="宋体"/>
          <w:color w:val="auto"/>
          <w:kern w:val="0"/>
          <w:sz w:val="24"/>
          <w:highlight w:val="none"/>
        </w:rPr>
        <w:t>负责完成承包范围内的专项验收，并配合总承包商、消防施工单位完成整个医院的</w:t>
      </w:r>
      <w:r>
        <w:rPr>
          <w:rFonts w:hint="eastAsia" w:ascii="宋体" w:hAnsi="宋体" w:cs="宋体"/>
          <w:color w:val="auto"/>
          <w:kern w:val="0"/>
          <w:sz w:val="24"/>
          <w:highlight w:val="none"/>
        </w:rPr>
        <w:t>竣工</w:t>
      </w:r>
      <w:r>
        <w:rPr>
          <w:rFonts w:ascii="宋体" w:hAnsi="宋体" w:cs="宋体"/>
          <w:color w:val="auto"/>
          <w:kern w:val="0"/>
          <w:sz w:val="24"/>
          <w:highlight w:val="none"/>
        </w:rPr>
        <w:t>验收、消防验收、环保验收、节能</w:t>
      </w:r>
      <w:r>
        <w:rPr>
          <w:rFonts w:hint="eastAsia" w:ascii="宋体" w:hAnsi="宋体" w:cs="宋体"/>
          <w:color w:val="auto"/>
          <w:kern w:val="0"/>
          <w:sz w:val="24"/>
          <w:highlight w:val="none"/>
        </w:rPr>
        <w:t>、</w:t>
      </w:r>
      <w:r>
        <w:rPr>
          <w:rFonts w:ascii="宋体" w:hAnsi="宋体" w:cs="宋体"/>
          <w:color w:val="auto"/>
          <w:kern w:val="0"/>
          <w:sz w:val="24"/>
          <w:highlight w:val="none"/>
        </w:rPr>
        <w:t>规划验收等其他验收；</w:t>
      </w:r>
    </w:p>
    <w:p>
      <w:pPr>
        <w:pStyle w:val="241"/>
        <w:widowControl/>
        <w:numPr>
          <w:ilvl w:val="0"/>
          <w:numId w:val="11"/>
        </w:numPr>
        <w:snapToGrid w:val="0"/>
        <w:spacing w:line="360" w:lineRule="auto"/>
        <w:ind w:left="2100" w:right="1680" w:firstLineChars="0"/>
        <w:rPr>
          <w:rFonts w:ascii="宋体" w:hAnsi="宋体" w:cs="宋体"/>
          <w:color w:val="auto"/>
          <w:kern w:val="0"/>
          <w:sz w:val="24"/>
          <w:highlight w:val="none"/>
        </w:rPr>
      </w:pPr>
      <w:r>
        <w:rPr>
          <w:rFonts w:ascii="宋体" w:hAnsi="宋体" w:cs="宋体"/>
          <w:color w:val="auto"/>
          <w:kern w:val="0"/>
          <w:sz w:val="24"/>
          <w:highlight w:val="none"/>
        </w:rPr>
        <w:t>所有的细目详见工程招标图纸、工程量清单及合同条款，承包商不能拒绝执行为完成全部工程而需执行的可能遗漏的工作。发包人保留调整发包范围的权利，承包商不得提出异议。</w:t>
      </w:r>
    </w:p>
    <w:p>
      <w:pPr>
        <w:pStyle w:val="241"/>
        <w:widowControl/>
        <w:numPr>
          <w:ilvl w:val="0"/>
          <w:numId w:val="11"/>
        </w:numPr>
        <w:snapToGrid w:val="0"/>
        <w:spacing w:line="360" w:lineRule="auto"/>
        <w:ind w:left="2100" w:right="1680" w:firstLineChars="0"/>
        <w:rPr>
          <w:rFonts w:ascii="宋体" w:hAnsi="宋体" w:cs="宋体"/>
          <w:color w:val="auto"/>
          <w:kern w:val="0"/>
          <w:sz w:val="24"/>
          <w:highlight w:val="none"/>
        </w:rPr>
      </w:pPr>
      <w:r>
        <w:rPr>
          <w:rFonts w:hint="eastAsia" w:ascii="宋体" w:hAnsi="宋体" w:cs="宋体"/>
          <w:color w:val="auto"/>
          <w:kern w:val="0"/>
          <w:sz w:val="24"/>
          <w:highlight w:val="none"/>
        </w:rPr>
        <w:t>机</w:t>
      </w:r>
      <w:r>
        <w:rPr>
          <w:rFonts w:ascii="宋体" w:hAnsi="宋体" w:cs="宋体"/>
          <w:color w:val="auto"/>
          <w:kern w:val="0"/>
          <w:sz w:val="24"/>
          <w:highlight w:val="none"/>
        </w:rPr>
        <w:t>电承包商</w:t>
      </w:r>
      <w:r>
        <w:rPr>
          <w:rFonts w:hint="eastAsia" w:ascii="宋体" w:hAnsi="宋体" w:cs="宋体"/>
          <w:color w:val="auto"/>
          <w:kern w:val="0"/>
          <w:sz w:val="24"/>
          <w:highlight w:val="none"/>
        </w:rPr>
        <w:t>结合</w:t>
      </w:r>
      <w:r>
        <w:rPr>
          <w:rFonts w:ascii="宋体" w:hAnsi="宋体" w:cs="宋体"/>
          <w:color w:val="auto"/>
          <w:kern w:val="0"/>
          <w:sz w:val="24"/>
          <w:highlight w:val="none"/>
        </w:rPr>
        <w:t>本项目实际情况，</w:t>
      </w:r>
      <w:r>
        <w:rPr>
          <w:rFonts w:hint="eastAsia" w:ascii="宋体" w:hAnsi="宋体" w:cs="宋体"/>
          <w:color w:val="auto"/>
          <w:kern w:val="0"/>
          <w:sz w:val="24"/>
          <w:highlight w:val="none"/>
        </w:rPr>
        <w:t>按</w:t>
      </w:r>
      <w:r>
        <w:rPr>
          <w:rFonts w:ascii="宋体" w:hAnsi="宋体" w:cs="宋体"/>
          <w:color w:val="auto"/>
          <w:kern w:val="0"/>
          <w:sz w:val="24"/>
          <w:highlight w:val="none"/>
        </w:rPr>
        <w:t>照</w:t>
      </w:r>
      <w:r>
        <w:rPr>
          <w:rFonts w:hint="eastAsia" w:ascii="宋体" w:hAnsi="宋体" w:cs="宋体"/>
          <w:color w:val="auto"/>
          <w:kern w:val="0"/>
          <w:sz w:val="24"/>
          <w:highlight w:val="none"/>
        </w:rPr>
        <w:t>政府</w:t>
      </w:r>
      <w:r>
        <w:rPr>
          <w:rFonts w:ascii="宋体" w:hAnsi="宋体" w:cs="宋体"/>
          <w:color w:val="auto"/>
          <w:kern w:val="0"/>
          <w:sz w:val="24"/>
          <w:highlight w:val="none"/>
        </w:rPr>
        <w:t>主管部门管理规定办理施工许可，</w:t>
      </w:r>
      <w:r>
        <w:rPr>
          <w:rFonts w:hint="eastAsia" w:ascii="宋体" w:hAnsi="宋体" w:cs="宋体"/>
          <w:color w:val="auto"/>
          <w:kern w:val="0"/>
          <w:sz w:val="24"/>
          <w:highlight w:val="none"/>
        </w:rPr>
        <w:t>本</w:t>
      </w:r>
      <w:r>
        <w:rPr>
          <w:rFonts w:ascii="宋体" w:hAnsi="宋体" w:cs="宋体"/>
          <w:color w:val="auto"/>
          <w:kern w:val="0"/>
          <w:sz w:val="24"/>
          <w:highlight w:val="none"/>
        </w:rPr>
        <w:t>承包商</w:t>
      </w:r>
      <w:r>
        <w:rPr>
          <w:rFonts w:hint="eastAsia" w:ascii="宋体" w:hAnsi="宋体" w:cs="宋体"/>
          <w:color w:val="auto"/>
          <w:kern w:val="0"/>
          <w:sz w:val="24"/>
          <w:highlight w:val="none"/>
        </w:rPr>
        <w:t>承</w:t>
      </w:r>
      <w:r>
        <w:rPr>
          <w:rFonts w:ascii="宋体" w:hAnsi="宋体" w:cs="宋体"/>
          <w:color w:val="auto"/>
          <w:kern w:val="0"/>
          <w:sz w:val="24"/>
          <w:highlight w:val="none"/>
        </w:rPr>
        <w:t>包</w:t>
      </w:r>
      <w:r>
        <w:rPr>
          <w:rFonts w:hint="eastAsia" w:ascii="宋体" w:hAnsi="宋体" w:cs="宋体"/>
          <w:color w:val="auto"/>
          <w:kern w:val="0"/>
          <w:sz w:val="24"/>
          <w:highlight w:val="none"/>
        </w:rPr>
        <w:t>范围</w:t>
      </w:r>
      <w:r>
        <w:rPr>
          <w:rFonts w:ascii="宋体" w:hAnsi="宋体" w:cs="宋体"/>
          <w:color w:val="auto"/>
          <w:kern w:val="0"/>
          <w:sz w:val="24"/>
          <w:highlight w:val="none"/>
        </w:rPr>
        <w:t>内的</w:t>
      </w:r>
      <w:r>
        <w:rPr>
          <w:rFonts w:hint="eastAsia" w:ascii="宋体" w:hAnsi="宋体" w:cs="宋体"/>
          <w:color w:val="auto"/>
          <w:kern w:val="0"/>
          <w:sz w:val="24"/>
          <w:highlight w:val="none"/>
        </w:rPr>
        <w:t>工程</w:t>
      </w:r>
      <w:r>
        <w:rPr>
          <w:rFonts w:ascii="宋体" w:hAnsi="宋体" w:cs="宋体"/>
          <w:color w:val="auto"/>
          <w:kern w:val="0"/>
          <w:sz w:val="24"/>
          <w:highlight w:val="none"/>
        </w:rPr>
        <w:t>资料内容</w:t>
      </w:r>
      <w:r>
        <w:rPr>
          <w:rFonts w:hint="eastAsia" w:ascii="宋体" w:hAnsi="宋体" w:cs="宋体"/>
          <w:color w:val="auto"/>
          <w:kern w:val="0"/>
          <w:sz w:val="24"/>
          <w:highlight w:val="none"/>
        </w:rPr>
        <w:t>应符合</w:t>
      </w:r>
      <w:r>
        <w:rPr>
          <w:rFonts w:ascii="宋体" w:hAnsi="宋体" w:cs="宋体"/>
          <w:color w:val="auto"/>
          <w:kern w:val="0"/>
          <w:sz w:val="24"/>
          <w:highlight w:val="none"/>
        </w:rPr>
        <w:t>项目整</w:t>
      </w:r>
      <w:r>
        <w:rPr>
          <w:rFonts w:hint="eastAsia" w:ascii="宋体" w:hAnsi="宋体" w:cs="宋体"/>
          <w:color w:val="auto"/>
          <w:kern w:val="0"/>
          <w:sz w:val="24"/>
          <w:highlight w:val="none"/>
        </w:rPr>
        <w:t>体</w:t>
      </w:r>
      <w:r>
        <w:rPr>
          <w:rFonts w:ascii="宋体" w:hAnsi="宋体" w:cs="宋体"/>
          <w:color w:val="auto"/>
          <w:kern w:val="0"/>
          <w:sz w:val="24"/>
          <w:highlight w:val="none"/>
        </w:rPr>
        <w:t>竣工验收资料的要求。</w:t>
      </w:r>
    </w:p>
    <w:p>
      <w:pPr>
        <w:pStyle w:val="6"/>
        <w:rPr>
          <w:color w:val="auto"/>
          <w:highlight w:val="none"/>
        </w:rPr>
      </w:pPr>
    </w:p>
    <w:p>
      <w:pPr>
        <w:pStyle w:val="4"/>
        <w:spacing w:before="120" w:beforeLines="50"/>
        <w:ind w:left="567" w:hanging="567"/>
        <w:rPr>
          <w:color w:val="auto"/>
          <w:highlight w:val="none"/>
        </w:rPr>
      </w:pPr>
      <w:r>
        <w:rPr>
          <w:rFonts w:hint="eastAsia"/>
          <w:color w:val="auto"/>
          <w:highlight w:val="none"/>
        </w:rPr>
        <w:t>放射防护及磁屏蔽工程界面划分一般原则</w:t>
      </w:r>
      <w:bookmarkEnd w:id="17"/>
    </w:p>
    <w:p>
      <w:pPr>
        <w:pStyle w:val="5"/>
        <w:rPr>
          <w:color w:val="auto"/>
          <w:highlight w:val="none"/>
        </w:rPr>
      </w:pPr>
      <w:r>
        <w:rPr>
          <w:rFonts w:hint="eastAsia"/>
          <w:color w:val="auto"/>
          <w:highlight w:val="none"/>
        </w:rPr>
        <w:t>放射防护及磁屏蔽专业工程承包人应主动安排好自己与有关单位间的配合，积极执行监理工程师安排的施工进度计划，在与本工程有关的上、下道工序施工时放射防护及磁屏蔽专业工程承包人应派专人值班，处理工序之间的干扰和矛盾，保证施工正常进行。</w:t>
      </w:r>
    </w:p>
    <w:p>
      <w:pPr>
        <w:pStyle w:val="5"/>
        <w:rPr>
          <w:color w:val="auto"/>
          <w:highlight w:val="none"/>
        </w:rPr>
      </w:pPr>
      <w:r>
        <w:rPr>
          <w:rFonts w:hint="eastAsia"/>
          <w:color w:val="auto"/>
          <w:highlight w:val="none"/>
        </w:rPr>
        <w:t>一切因放射防护及磁屏蔽专业工程承包人未能准时提供有关资料或因提供资料不足而导致工程延误或其他专业工程承包人返工修改或增加工程量等</w:t>
      </w:r>
      <w:r>
        <w:rPr>
          <w:color w:val="auto"/>
          <w:highlight w:val="none"/>
        </w:rPr>
        <w:t xml:space="preserve">, </w:t>
      </w:r>
      <w:r>
        <w:rPr>
          <w:rFonts w:hint="eastAsia"/>
          <w:color w:val="auto"/>
          <w:highlight w:val="none"/>
        </w:rPr>
        <w:t>有关费用由放射防护及磁屏蔽专业工程承包人负责。</w:t>
      </w:r>
    </w:p>
    <w:p>
      <w:pPr>
        <w:pStyle w:val="5"/>
        <w:rPr>
          <w:color w:val="auto"/>
          <w:highlight w:val="none"/>
        </w:rPr>
      </w:pPr>
      <w:r>
        <w:rPr>
          <w:rFonts w:hint="eastAsia"/>
          <w:color w:val="auto"/>
          <w:highlight w:val="none"/>
        </w:rPr>
        <w:t>任何因放射防护及磁屏蔽专业工程承包人原因而直接或间接地导致其它专业专业工程承包人需要进行修改或修复工作</w:t>
      </w:r>
      <w:r>
        <w:rPr>
          <w:color w:val="auto"/>
          <w:highlight w:val="none"/>
        </w:rPr>
        <w:t xml:space="preserve">, </w:t>
      </w:r>
      <w:r>
        <w:rPr>
          <w:rFonts w:hint="eastAsia"/>
          <w:color w:val="auto"/>
          <w:highlight w:val="none"/>
        </w:rPr>
        <w:t>所引起的费用应由放射防护及磁屏蔽专业工程承包人负责。</w:t>
      </w:r>
    </w:p>
    <w:p>
      <w:pPr>
        <w:pStyle w:val="5"/>
        <w:rPr>
          <w:color w:val="auto"/>
          <w:highlight w:val="none"/>
        </w:rPr>
      </w:pPr>
      <w:bookmarkStart w:id="19" w:name="_Toc17641966"/>
      <w:r>
        <w:rPr>
          <w:rFonts w:hint="eastAsia"/>
          <w:color w:val="auto"/>
          <w:highlight w:val="none"/>
        </w:rPr>
        <w:t>放射防护及磁屏蔽专业工程承包人已安装完成的工作在移交给发包人前，须提供适当的保护；</w:t>
      </w:r>
      <w:bookmarkEnd w:id="19"/>
      <w:r>
        <w:rPr>
          <w:rFonts w:hint="eastAsia"/>
          <w:color w:val="auto"/>
          <w:highlight w:val="none"/>
        </w:rPr>
        <w:t>若有关工作遭受其它专业工程承包人损坏，放射防护及磁屏蔽专业工程承包人找出责任方</w:t>
      </w:r>
      <w:r>
        <w:rPr>
          <w:color w:val="auto"/>
          <w:highlight w:val="none"/>
        </w:rPr>
        <w:t>,</w:t>
      </w:r>
      <w:r>
        <w:rPr>
          <w:rFonts w:hint="eastAsia"/>
          <w:color w:val="auto"/>
          <w:highlight w:val="none"/>
        </w:rPr>
        <w:t>并提出相关申诉，追讨有关损失，但放射防护及磁屏蔽专业工程承包人在获得赔偿前仍需自费对受损部分工作进行修补。</w:t>
      </w:r>
    </w:p>
    <w:p>
      <w:pPr>
        <w:pStyle w:val="4"/>
        <w:spacing w:before="120" w:beforeLines="50"/>
        <w:ind w:left="567" w:hanging="567"/>
        <w:rPr>
          <w:color w:val="auto"/>
          <w:highlight w:val="none"/>
        </w:rPr>
      </w:pPr>
      <w:bookmarkStart w:id="20" w:name="_Toc122371812"/>
      <w:r>
        <w:rPr>
          <w:rFonts w:hint="eastAsia"/>
          <w:color w:val="auto"/>
          <w:highlight w:val="none"/>
        </w:rPr>
        <w:t>放射防护及磁屏蔽工程与总承包人之间界面划分</w:t>
      </w:r>
      <w:bookmarkEnd w:id="20"/>
    </w:p>
    <w:p>
      <w:pPr>
        <w:pStyle w:val="5"/>
        <w:rPr>
          <w:color w:val="auto"/>
          <w:highlight w:val="none"/>
        </w:rPr>
      </w:pPr>
      <w:r>
        <w:rPr>
          <w:rFonts w:hint="eastAsia"/>
          <w:color w:val="auto"/>
          <w:highlight w:val="none"/>
        </w:rPr>
        <w:t>与总承包人之间的管理界面划分</w:t>
      </w:r>
    </w:p>
    <w:p>
      <w:pPr>
        <w:pStyle w:val="8"/>
        <w:rPr>
          <w:color w:val="auto"/>
          <w:highlight w:val="none"/>
        </w:rPr>
      </w:pPr>
      <w:r>
        <w:rPr>
          <w:rFonts w:hint="eastAsia"/>
          <w:color w:val="auto"/>
          <w:highlight w:val="none"/>
        </w:rPr>
        <w:t>总承包人负责将防护施工场地按照要求提供给放射防护及磁屏蔽专业工程承包人。与总承包人交接场地时，交接场地须清理完成，不得有材料和垃圾等堆放。</w:t>
      </w:r>
    </w:p>
    <w:p>
      <w:pPr>
        <w:pStyle w:val="8"/>
        <w:rPr>
          <w:color w:val="auto"/>
          <w:highlight w:val="none"/>
        </w:rPr>
      </w:pPr>
      <w:r>
        <w:rPr>
          <w:rFonts w:hint="eastAsia"/>
          <w:color w:val="auto"/>
          <w:highlight w:val="none"/>
        </w:rPr>
        <w:t>现场总包设置的临建场地、办公室及宿舍，承包人需与总承包人沟通协调有偿使用。</w:t>
      </w:r>
    </w:p>
    <w:p>
      <w:pPr>
        <w:pStyle w:val="8"/>
        <w:rPr>
          <w:color w:val="auto"/>
          <w:highlight w:val="none"/>
        </w:rPr>
      </w:pPr>
      <w:r>
        <w:rPr>
          <w:rFonts w:hint="eastAsia"/>
          <w:color w:val="auto"/>
          <w:highlight w:val="none"/>
        </w:rPr>
        <w:t>由总承包人提供现场施工用电接驳点（二级电箱），放射防护及磁屏蔽专业工程承包人落实用电管理，同时接受发包人、监理、总包的监督管理并遵守现场相关规定。</w:t>
      </w:r>
    </w:p>
    <w:p>
      <w:pPr>
        <w:pStyle w:val="8"/>
        <w:rPr>
          <w:color w:val="auto"/>
          <w:highlight w:val="none"/>
        </w:rPr>
      </w:pPr>
      <w:r>
        <w:rPr>
          <w:rFonts w:hint="eastAsia"/>
          <w:color w:val="auto"/>
          <w:highlight w:val="none"/>
        </w:rPr>
        <w:t>由总承包人提供现场临时施工用水接驳点，放射防护及磁屏蔽专业工程承包人落实用水管理，同时接受发包人、监理、总包的监督管理并遵守现场相关规定。</w:t>
      </w:r>
    </w:p>
    <w:p>
      <w:pPr>
        <w:pStyle w:val="8"/>
        <w:rPr>
          <w:color w:val="auto"/>
          <w:highlight w:val="none"/>
        </w:rPr>
      </w:pPr>
      <w:r>
        <w:rPr>
          <w:rFonts w:hint="eastAsia"/>
          <w:color w:val="auto"/>
          <w:highlight w:val="none"/>
        </w:rPr>
        <w:t>放射防护及磁屏蔽专业工程承包人自行解决所需的机械设备（方案须经发包人及总承包人认可）。放射防护及磁屏蔽专业工程承包人需要与总承包人联系协调，了解其关于相关设施的详细管理要求，并提供适当配合，且不影响其他单位施工。</w:t>
      </w:r>
    </w:p>
    <w:p>
      <w:pPr>
        <w:pStyle w:val="8"/>
        <w:rPr>
          <w:color w:val="auto"/>
          <w:highlight w:val="none"/>
        </w:rPr>
      </w:pPr>
      <w:r>
        <w:rPr>
          <w:rFonts w:hint="eastAsia"/>
          <w:color w:val="auto"/>
          <w:highlight w:val="none"/>
        </w:rPr>
        <w:t>总承包人负责临时施工用电设施、临时施工用水、临时排水系统的接管及维护。</w:t>
      </w:r>
    </w:p>
    <w:p>
      <w:pPr>
        <w:pStyle w:val="8"/>
        <w:rPr>
          <w:color w:val="auto"/>
          <w:highlight w:val="none"/>
        </w:rPr>
      </w:pPr>
      <w:r>
        <w:rPr>
          <w:rFonts w:hint="eastAsia"/>
          <w:color w:val="auto"/>
          <w:highlight w:val="none"/>
        </w:rPr>
        <w:t>总承包人负责工程的整体进度管理，负责与放射防护及磁屏蔽专业工程承包人协调放射防护及磁屏蔽工程的进度。放射防护及磁屏蔽专业工程承包人应积极主动地向总包、监理汇报放射防护及磁屏蔽工程情况，尤其是将影响土建工程进度的有关项目。同时，放射防护及磁屏蔽专业工程承包人应根据总包要求调整与工程总体进度不符的放射防护及磁屏蔽工程的进度。</w:t>
      </w:r>
    </w:p>
    <w:p>
      <w:pPr>
        <w:pStyle w:val="8"/>
        <w:rPr>
          <w:color w:val="auto"/>
          <w:highlight w:val="none"/>
        </w:rPr>
      </w:pPr>
      <w:r>
        <w:rPr>
          <w:rFonts w:hint="eastAsia"/>
          <w:color w:val="auto"/>
          <w:highlight w:val="none"/>
        </w:rPr>
        <w:t>总承包总体协调工程局部及整体竣工验收，放射防护及磁屏蔽专业工程承包人配合总包的验收安排。</w:t>
      </w:r>
    </w:p>
    <w:p>
      <w:pPr>
        <w:pStyle w:val="8"/>
        <w:rPr>
          <w:color w:val="auto"/>
          <w:highlight w:val="none"/>
        </w:rPr>
      </w:pPr>
      <w:r>
        <w:rPr>
          <w:rFonts w:hint="eastAsia"/>
          <w:color w:val="auto"/>
          <w:highlight w:val="none"/>
        </w:rPr>
        <w:t>与总承包人界面划分的其他要求</w:t>
      </w:r>
    </w:p>
    <w:p>
      <w:pPr>
        <w:pStyle w:val="5"/>
        <w:rPr>
          <w:color w:val="auto"/>
          <w:highlight w:val="none"/>
        </w:rPr>
      </w:pPr>
      <w:r>
        <w:rPr>
          <w:rFonts w:hint="eastAsia"/>
          <w:color w:val="auto"/>
          <w:highlight w:val="none"/>
        </w:rPr>
        <w:t>与总承包人之间的施工界面划分</w:t>
      </w:r>
    </w:p>
    <w:p>
      <w:pPr>
        <w:pStyle w:val="8"/>
        <w:numPr>
          <w:ilvl w:val="0"/>
          <w:numId w:val="12"/>
        </w:numPr>
        <w:rPr>
          <w:color w:val="auto"/>
          <w:highlight w:val="none"/>
        </w:rPr>
      </w:pPr>
      <w:r>
        <w:rPr>
          <w:rFonts w:hint="eastAsia"/>
          <w:color w:val="auto"/>
          <w:highlight w:val="none"/>
        </w:rPr>
        <w:t>总承包人负责</w:t>
      </w:r>
    </w:p>
    <w:p>
      <w:pPr>
        <w:pStyle w:val="9"/>
        <w:rPr>
          <w:color w:val="auto"/>
          <w:highlight w:val="none"/>
        </w:rPr>
      </w:pPr>
      <w:r>
        <w:rPr>
          <w:rFonts w:hint="eastAsia"/>
          <w:color w:val="auto"/>
          <w:highlight w:val="none"/>
        </w:rPr>
        <w:t>完成防护区域无防护要求分界墙（如普通砌块）墙体砌筑；区域内楼地面、顶棚只施工完成到结构面。</w:t>
      </w:r>
    </w:p>
    <w:p>
      <w:pPr>
        <w:pStyle w:val="9"/>
        <w:rPr>
          <w:color w:val="auto"/>
          <w:highlight w:val="none"/>
        </w:rPr>
      </w:pPr>
      <w:r>
        <w:rPr>
          <w:rFonts w:hint="eastAsia"/>
          <w:color w:val="auto"/>
          <w:highlight w:val="none"/>
        </w:rPr>
        <w:t>统筹</w:t>
      </w:r>
      <w:r>
        <w:rPr>
          <w:color w:val="auto"/>
          <w:highlight w:val="none"/>
        </w:rPr>
        <w:t>BIM</w:t>
      </w:r>
      <w:r>
        <w:rPr>
          <w:rFonts w:hint="eastAsia"/>
          <w:color w:val="auto"/>
          <w:highlight w:val="none"/>
        </w:rPr>
        <w:t>相关工作。</w:t>
      </w:r>
    </w:p>
    <w:p>
      <w:pPr>
        <w:pStyle w:val="9"/>
        <w:rPr>
          <w:color w:val="auto"/>
          <w:highlight w:val="none"/>
        </w:rPr>
      </w:pPr>
      <w:r>
        <w:rPr>
          <w:rFonts w:hint="eastAsia"/>
          <w:color w:val="auto"/>
          <w:highlight w:val="none"/>
        </w:rPr>
        <w:t>负责管线综合工作，负责综合支吊架安装工作。</w:t>
      </w:r>
    </w:p>
    <w:p>
      <w:pPr>
        <w:pStyle w:val="8"/>
        <w:rPr>
          <w:color w:val="auto"/>
          <w:highlight w:val="none"/>
        </w:rPr>
      </w:pPr>
      <w:r>
        <w:rPr>
          <w:rFonts w:hint="eastAsia"/>
          <w:color w:val="auto"/>
          <w:highlight w:val="none"/>
        </w:rPr>
        <w:t>放射防护及磁屏蔽工程专业指定承包商负责</w:t>
      </w:r>
    </w:p>
    <w:p>
      <w:pPr>
        <w:pStyle w:val="9"/>
        <w:numPr>
          <w:ilvl w:val="1"/>
          <w:numId w:val="13"/>
        </w:numPr>
        <w:rPr>
          <w:color w:val="auto"/>
          <w:highlight w:val="none"/>
        </w:rPr>
      </w:pPr>
      <w:r>
        <w:rPr>
          <w:rFonts w:hint="eastAsia"/>
          <w:color w:val="auto"/>
          <w:highlight w:val="none"/>
        </w:rPr>
        <w:t>区域内分隔墙及有防护要求的分界墙（如实心灰砂砖）、楼地面、顶棚按确认的设计图纸施工完成。</w:t>
      </w:r>
    </w:p>
    <w:p>
      <w:pPr>
        <w:pStyle w:val="9"/>
        <w:rPr>
          <w:color w:val="auto"/>
          <w:highlight w:val="none"/>
        </w:rPr>
      </w:pPr>
      <w:r>
        <w:rPr>
          <w:rFonts w:hint="eastAsia"/>
          <w:color w:val="auto"/>
          <w:highlight w:val="none"/>
        </w:rPr>
        <w:t>负责承包范围内砌筑的墙体挂网、抹灰等后续工作。负责防护墙体的补槽及后续所有工作。</w:t>
      </w:r>
    </w:p>
    <w:p>
      <w:pPr>
        <w:pStyle w:val="9"/>
        <w:rPr>
          <w:color w:val="auto"/>
          <w:highlight w:val="none"/>
        </w:rPr>
      </w:pPr>
      <w:r>
        <w:rPr>
          <w:rFonts w:hint="eastAsia"/>
          <w:color w:val="auto"/>
          <w:highlight w:val="none"/>
        </w:rPr>
        <w:t>内墙与外立面的封堵。</w:t>
      </w:r>
    </w:p>
    <w:p>
      <w:pPr>
        <w:pStyle w:val="9"/>
        <w:rPr>
          <w:color w:val="auto"/>
          <w:highlight w:val="none"/>
        </w:rPr>
      </w:pPr>
      <w:r>
        <w:rPr>
          <w:rFonts w:hint="eastAsia"/>
          <w:color w:val="auto"/>
          <w:highlight w:val="none"/>
        </w:rPr>
        <w:t>防护区域内门及分界墙上的防护门、窗的安装、塞缝和收边收口。</w:t>
      </w:r>
    </w:p>
    <w:p>
      <w:pPr>
        <w:pStyle w:val="9"/>
        <w:rPr>
          <w:color w:val="auto"/>
          <w:highlight w:val="none"/>
        </w:rPr>
      </w:pPr>
      <w:r>
        <w:rPr>
          <w:rFonts w:hint="eastAsia"/>
          <w:color w:val="auto"/>
          <w:highlight w:val="none"/>
        </w:rPr>
        <w:t>防护区域内的医疗设备基础及不锈钢电缆沟按确认的图施工完成。</w:t>
      </w:r>
    </w:p>
    <w:p>
      <w:pPr>
        <w:pStyle w:val="9"/>
        <w:rPr>
          <w:color w:val="auto"/>
          <w:highlight w:val="none"/>
        </w:rPr>
      </w:pPr>
      <w:r>
        <w:rPr>
          <w:rFonts w:hint="eastAsia"/>
          <w:color w:val="auto"/>
          <w:highlight w:val="none"/>
        </w:rPr>
        <w:t>防护区域内各专业（但不限于强弱电、消防及通风等）二次孔洞、墙体砌筑中的洞口预留及穿越防护区域墙体的管道的防护、封堵、收边收口。</w:t>
      </w:r>
    </w:p>
    <w:p>
      <w:pPr>
        <w:pStyle w:val="9"/>
        <w:rPr>
          <w:color w:val="auto"/>
          <w:highlight w:val="none"/>
        </w:rPr>
      </w:pPr>
      <w:r>
        <w:rPr>
          <w:rFonts w:hint="eastAsia"/>
          <w:color w:val="auto"/>
          <w:highlight w:val="none"/>
        </w:rPr>
        <w:t>在防护工程承包人负责的精装修区域内：</w:t>
      </w:r>
    </w:p>
    <w:p>
      <w:pPr>
        <w:pStyle w:val="10"/>
        <w:rPr>
          <w:color w:val="auto"/>
          <w:highlight w:val="none"/>
        </w:rPr>
      </w:pPr>
      <w:r>
        <w:rPr>
          <w:rFonts w:hint="eastAsia"/>
          <w:color w:val="auto"/>
          <w:highlight w:val="none"/>
        </w:rPr>
        <w:t>负责防辐射区域给排水设施、设备（包括但不限于洁具、水龙头、花洒、地漏、角阀、软管、存水弯、管道附件、套管等）的供应及安装。</w:t>
      </w:r>
    </w:p>
    <w:p>
      <w:pPr>
        <w:pStyle w:val="10"/>
        <w:rPr>
          <w:color w:val="auto"/>
          <w:highlight w:val="none"/>
        </w:rPr>
      </w:pPr>
      <w:r>
        <w:rPr>
          <w:rFonts w:hint="eastAsia"/>
          <w:color w:val="auto"/>
          <w:highlight w:val="none"/>
        </w:rPr>
        <w:t>负责本单位承包范围内的各种试验、调试、验收等工作。配合总承包完成给排水系统的试验、调试、验收等工作。</w:t>
      </w:r>
    </w:p>
    <w:p>
      <w:pPr>
        <w:pStyle w:val="10"/>
        <w:rPr>
          <w:color w:val="auto"/>
          <w:highlight w:val="none"/>
        </w:rPr>
      </w:pPr>
      <w:r>
        <w:rPr>
          <w:rFonts w:hint="eastAsia"/>
          <w:color w:val="auto"/>
          <w:highlight w:val="none"/>
        </w:rPr>
        <w:t>喷淋头精装准定位，定位方式：专用定位夹板开孔。</w:t>
      </w:r>
    </w:p>
    <w:p>
      <w:pPr>
        <w:pStyle w:val="10"/>
        <w:rPr>
          <w:color w:val="auto"/>
          <w:highlight w:val="none"/>
        </w:rPr>
      </w:pPr>
      <w:r>
        <w:rPr>
          <w:rFonts w:hint="eastAsia"/>
          <w:color w:val="auto"/>
          <w:highlight w:val="none"/>
        </w:rPr>
        <w:t>负责等电位联接系统，从总承包商预留的等电位箱接出。</w:t>
      </w:r>
    </w:p>
    <w:p>
      <w:pPr>
        <w:pStyle w:val="9"/>
        <w:rPr>
          <w:color w:val="auto"/>
          <w:highlight w:val="none"/>
        </w:rPr>
      </w:pPr>
      <w:r>
        <w:rPr>
          <w:rFonts w:hint="eastAsia"/>
          <w:color w:val="auto"/>
          <w:highlight w:val="none"/>
        </w:rPr>
        <w:t>协助现场</w:t>
      </w:r>
      <w:r>
        <w:rPr>
          <w:color w:val="auto"/>
          <w:highlight w:val="none"/>
        </w:rPr>
        <w:t>BIM</w:t>
      </w:r>
      <w:r>
        <w:rPr>
          <w:rFonts w:hint="eastAsia"/>
          <w:color w:val="auto"/>
          <w:highlight w:val="none"/>
        </w:rPr>
        <w:t>相关工作，配合在</w:t>
      </w:r>
      <w:r>
        <w:rPr>
          <w:color w:val="auto"/>
          <w:highlight w:val="none"/>
        </w:rPr>
        <w:t>BIM</w:t>
      </w:r>
      <w:r>
        <w:rPr>
          <w:rFonts w:hint="eastAsia"/>
          <w:color w:val="auto"/>
          <w:highlight w:val="none"/>
        </w:rPr>
        <w:t>平台开展相关</w:t>
      </w:r>
      <w:r>
        <w:rPr>
          <w:color w:val="auto"/>
          <w:highlight w:val="none"/>
        </w:rPr>
        <w:t>BIM</w:t>
      </w:r>
      <w:r>
        <w:rPr>
          <w:rFonts w:hint="eastAsia"/>
          <w:color w:val="auto"/>
          <w:highlight w:val="none"/>
        </w:rPr>
        <w:t>技术应用。</w:t>
      </w:r>
    </w:p>
    <w:p>
      <w:pPr>
        <w:pStyle w:val="9"/>
        <w:rPr>
          <w:color w:val="auto"/>
          <w:highlight w:val="none"/>
        </w:rPr>
      </w:pPr>
      <w:r>
        <w:rPr>
          <w:rFonts w:hint="eastAsia"/>
          <w:color w:val="auto"/>
          <w:highlight w:val="none"/>
        </w:rPr>
        <w:t>防护承包商配合土建总承包商完成综合管线工作，对管线综合成果进行审核确认并按成果施工。负责审核土建总承包综合支吊架深化设计。</w:t>
      </w:r>
    </w:p>
    <w:p>
      <w:pPr>
        <w:pStyle w:val="4"/>
        <w:spacing w:before="120" w:beforeLines="50"/>
        <w:ind w:left="426" w:hanging="567"/>
        <w:rPr>
          <w:color w:val="auto"/>
          <w:highlight w:val="none"/>
        </w:rPr>
      </w:pPr>
      <w:bookmarkStart w:id="21" w:name="_Toc122371813"/>
      <w:r>
        <w:rPr>
          <w:rFonts w:hint="eastAsia"/>
          <w:color w:val="auto"/>
          <w:highlight w:val="none"/>
        </w:rPr>
        <w:t>放射防护及磁屏蔽工程与其他专业工程承包人之间界面划分</w:t>
      </w:r>
      <w:bookmarkEnd w:id="21"/>
    </w:p>
    <w:p>
      <w:pPr>
        <w:pStyle w:val="5"/>
        <w:rPr>
          <w:color w:val="auto"/>
          <w:highlight w:val="none"/>
        </w:rPr>
      </w:pPr>
      <w:r>
        <w:rPr>
          <w:rFonts w:hint="eastAsia"/>
          <w:color w:val="auto"/>
          <w:highlight w:val="none"/>
        </w:rPr>
        <w:t>与院方医疗设备安装单位界面划分</w:t>
      </w:r>
    </w:p>
    <w:p>
      <w:pPr>
        <w:pStyle w:val="8"/>
        <w:numPr>
          <w:ilvl w:val="0"/>
          <w:numId w:val="12"/>
        </w:numPr>
        <w:rPr>
          <w:color w:val="auto"/>
          <w:highlight w:val="none"/>
        </w:rPr>
      </w:pPr>
      <w:r>
        <w:rPr>
          <w:rFonts w:hint="eastAsia"/>
          <w:color w:val="auto"/>
          <w:highlight w:val="none"/>
        </w:rPr>
        <w:t>院方医疗设备指定承包商负责</w:t>
      </w:r>
    </w:p>
    <w:p>
      <w:pPr>
        <w:pStyle w:val="9"/>
        <w:numPr>
          <w:ilvl w:val="1"/>
          <w:numId w:val="13"/>
        </w:numPr>
        <w:rPr>
          <w:color w:val="auto"/>
          <w:highlight w:val="none"/>
        </w:rPr>
      </w:pPr>
      <w:r>
        <w:rPr>
          <w:rFonts w:hint="eastAsia"/>
          <w:color w:val="auto"/>
          <w:highlight w:val="none"/>
        </w:rPr>
        <w:t>提供确定的医疗设备安装需求及设备进场安装计划；</w:t>
      </w:r>
    </w:p>
    <w:p>
      <w:pPr>
        <w:pStyle w:val="9"/>
        <w:rPr>
          <w:color w:val="auto"/>
          <w:highlight w:val="none"/>
        </w:rPr>
      </w:pPr>
      <w:r>
        <w:rPr>
          <w:rFonts w:hint="eastAsia"/>
          <w:color w:val="auto"/>
          <w:highlight w:val="none"/>
        </w:rPr>
        <w:t>负责从总包提供的电源箱引出医疗设备电缆的采购和安装。</w:t>
      </w:r>
    </w:p>
    <w:p>
      <w:pPr>
        <w:pStyle w:val="8"/>
        <w:rPr>
          <w:color w:val="auto"/>
          <w:highlight w:val="none"/>
        </w:rPr>
      </w:pPr>
      <w:r>
        <w:rPr>
          <w:rFonts w:hint="eastAsia"/>
          <w:color w:val="auto"/>
          <w:highlight w:val="none"/>
        </w:rPr>
        <w:t>放射防护及磁屏蔽工程专业指定承包商负责</w:t>
      </w:r>
    </w:p>
    <w:p>
      <w:pPr>
        <w:pStyle w:val="9"/>
        <w:numPr>
          <w:ilvl w:val="1"/>
          <w:numId w:val="13"/>
        </w:numPr>
        <w:rPr>
          <w:color w:val="auto"/>
          <w:highlight w:val="none"/>
        </w:rPr>
      </w:pPr>
      <w:r>
        <w:rPr>
          <w:rFonts w:hint="eastAsia"/>
          <w:color w:val="auto"/>
          <w:highlight w:val="none"/>
        </w:rPr>
        <w:t>按发包人明确医疗设备厂家的设备要求，配合医疗设备专业厂家在防护区域内进行电源敷设、墙面、地面、天花开洞、洞口封堵及收边收口工作。</w:t>
      </w:r>
    </w:p>
    <w:p>
      <w:pPr>
        <w:pStyle w:val="5"/>
        <w:rPr>
          <w:color w:val="auto"/>
          <w:highlight w:val="none"/>
        </w:rPr>
      </w:pPr>
      <w:r>
        <w:rPr>
          <w:rFonts w:hint="eastAsia"/>
          <w:color w:val="auto"/>
          <w:highlight w:val="none"/>
        </w:rPr>
        <w:t>与机电承包商之间界面划分</w:t>
      </w:r>
    </w:p>
    <w:p>
      <w:pPr>
        <w:pStyle w:val="8"/>
        <w:numPr>
          <w:ilvl w:val="0"/>
          <w:numId w:val="12"/>
        </w:numPr>
        <w:rPr>
          <w:b/>
          <w:bCs/>
          <w:color w:val="auto"/>
          <w:highlight w:val="none"/>
        </w:rPr>
      </w:pPr>
      <w:r>
        <w:rPr>
          <w:rFonts w:hint="eastAsia"/>
          <w:b/>
          <w:bCs/>
          <w:color w:val="auto"/>
          <w:highlight w:val="none"/>
        </w:rPr>
        <w:t>机电承包商负责</w:t>
      </w:r>
    </w:p>
    <w:p>
      <w:pPr>
        <w:pStyle w:val="9"/>
        <w:numPr>
          <w:ilvl w:val="1"/>
          <w:numId w:val="13"/>
        </w:numPr>
        <w:rPr>
          <w:color w:val="auto"/>
          <w:highlight w:val="none"/>
        </w:rPr>
      </w:pPr>
      <w:r>
        <w:rPr>
          <w:rFonts w:hint="eastAsia"/>
          <w:color w:val="auto"/>
          <w:highlight w:val="none"/>
        </w:rPr>
        <w:t>机电承包商按设计图纸供应及安装防护区域区域照明配电箱及动力配电箱（包括配套</w:t>
      </w:r>
      <w:r>
        <w:rPr>
          <w:color w:val="auto"/>
          <w:highlight w:val="none"/>
        </w:rPr>
        <w:t>UPS</w:t>
      </w:r>
      <w:r>
        <w:rPr>
          <w:rFonts w:hint="eastAsia"/>
          <w:color w:val="auto"/>
          <w:highlight w:val="none"/>
        </w:rPr>
        <w:t>及隔离电源（若有）），及自上述配电箱出线至防护承包商装修磁屏蔽区域末端的回路（包括但不限于照明天及插座（含面板）、吊塔电源、洁具电源制等）。</w:t>
      </w:r>
    </w:p>
    <w:p>
      <w:pPr>
        <w:pStyle w:val="9"/>
        <w:rPr>
          <w:color w:val="auto"/>
          <w:highlight w:val="none"/>
        </w:rPr>
      </w:pPr>
      <w:r>
        <w:rPr>
          <w:rFonts w:hint="eastAsia"/>
          <w:color w:val="auto"/>
          <w:highlight w:val="none"/>
        </w:rPr>
        <w:t>机电承包商负责供应及安装排气扇。</w:t>
      </w:r>
    </w:p>
    <w:p>
      <w:pPr>
        <w:pStyle w:val="9"/>
        <w:rPr>
          <w:color w:val="auto"/>
          <w:highlight w:val="none"/>
        </w:rPr>
      </w:pPr>
      <w:r>
        <w:rPr>
          <w:rFonts w:hint="eastAsia"/>
          <w:color w:val="auto"/>
          <w:highlight w:val="none"/>
        </w:rPr>
        <w:t>机电承包商按设计图纸供应及安装防护门电源所需配电箱或供应防护电动的电源线。</w:t>
      </w:r>
    </w:p>
    <w:p>
      <w:pPr>
        <w:pStyle w:val="9"/>
        <w:rPr>
          <w:color w:val="auto"/>
          <w:highlight w:val="none"/>
        </w:rPr>
      </w:pPr>
      <w:r>
        <w:rPr>
          <w:rFonts w:hint="eastAsia"/>
          <w:color w:val="auto"/>
          <w:highlight w:val="none"/>
        </w:rPr>
        <w:t>机电承包商负责供应及安装防护区域通风空调系统及防排烟系统，供应及安装其装修的磁屏蔽区域内空调风口百叶、防排烟百叶，防护承包商负责为机电承包商在装饰面上为包括但不限于风口百叶、防排烟风风口风阀控制装置及空调温控器等设施定位、开孔，双方应配合确保风管与风口接合严密。</w:t>
      </w:r>
    </w:p>
    <w:p>
      <w:pPr>
        <w:pStyle w:val="9"/>
        <w:rPr>
          <w:color w:val="auto"/>
          <w:highlight w:val="none"/>
        </w:rPr>
      </w:pPr>
      <w:r>
        <w:rPr>
          <w:rFonts w:hint="eastAsia"/>
          <w:color w:val="auto"/>
          <w:highlight w:val="none"/>
        </w:rPr>
        <w:t>机电承包商按图纸负责供应及防护区域空调通风设备的温控器及其配管配线。</w:t>
      </w:r>
    </w:p>
    <w:p>
      <w:pPr>
        <w:pStyle w:val="8"/>
        <w:rPr>
          <w:b/>
          <w:bCs/>
          <w:color w:val="auto"/>
          <w:highlight w:val="none"/>
        </w:rPr>
      </w:pPr>
      <w:r>
        <w:rPr>
          <w:rFonts w:hint="eastAsia"/>
          <w:b/>
          <w:bCs/>
          <w:color w:val="auto"/>
          <w:highlight w:val="none"/>
        </w:rPr>
        <w:t>防护承包商负责</w:t>
      </w:r>
    </w:p>
    <w:p>
      <w:pPr>
        <w:pStyle w:val="9"/>
        <w:numPr>
          <w:ilvl w:val="1"/>
          <w:numId w:val="13"/>
        </w:numPr>
        <w:rPr>
          <w:color w:val="auto"/>
          <w:highlight w:val="none"/>
        </w:rPr>
      </w:pPr>
      <w:r>
        <w:rPr>
          <w:rFonts w:hint="eastAsia"/>
          <w:color w:val="auto"/>
          <w:highlight w:val="none"/>
        </w:rPr>
        <w:t>供应及安装防护承包商负责装修的区域内包括但不限于以下末端回路电动门电源及控制等，并将回路端接至机电承包商提供的配电箱。</w:t>
      </w:r>
    </w:p>
    <w:p>
      <w:pPr>
        <w:pStyle w:val="9"/>
        <w:rPr>
          <w:color w:val="auto"/>
          <w:highlight w:val="none"/>
        </w:rPr>
      </w:pPr>
      <w:r>
        <w:rPr>
          <w:rFonts w:hint="eastAsia"/>
          <w:color w:val="auto"/>
          <w:highlight w:val="none"/>
        </w:rPr>
        <w:t>负责防护承包商承包的装修区域内的等电位联结系统，并接至土建总承包商提供的等电位箱。</w:t>
      </w:r>
    </w:p>
    <w:p>
      <w:pPr>
        <w:pStyle w:val="9"/>
        <w:rPr>
          <w:color w:val="auto"/>
          <w:highlight w:val="none"/>
        </w:rPr>
      </w:pPr>
      <w:r>
        <w:rPr>
          <w:rFonts w:hint="eastAsia"/>
          <w:color w:val="auto"/>
          <w:highlight w:val="none"/>
        </w:rPr>
        <w:t>供应及安装承包范围内防护门电源及控制回路，并将回路端接至机电承包商提供的配电箱。</w:t>
      </w:r>
    </w:p>
    <w:p>
      <w:pPr>
        <w:pStyle w:val="9"/>
        <w:rPr>
          <w:color w:val="auto"/>
          <w:highlight w:val="none"/>
        </w:rPr>
      </w:pPr>
      <w:r>
        <w:rPr>
          <w:rFonts w:hint="eastAsia"/>
          <w:color w:val="auto"/>
          <w:highlight w:val="none"/>
        </w:rPr>
        <w:t>负责核磁失超管的采购、安装及调试，失超排放口的安全措施及警告标识；</w:t>
      </w:r>
    </w:p>
    <w:p>
      <w:pPr>
        <w:pStyle w:val="9"/>
        <w:rPr>
          <w:color w:val="auto"/>
          <w:highlight w:val="none"/>
        </w:rPr>
      </w:pPr>
      <w:r>
        <w:rPr>
          <w:rFonts w:hint="eastAsia"/>
          <w:color w:val="auto"/>
          <w:highlight w:val="none"/>
        </w:rPr>
        <w:t>负责为机电承包商在屏蔽装修区域装饰面上为包括但不限于风口百叶、防排烟风风口风阀控制装置及空调温控器等设施的定位、开孔，双方应配合确保风管与风口接合严密。</w:t>
      </w:r>
    </w:p>
    <w:p>
      <w:pPr>
        <w:pStyle w:val="9"/>
        <w:rPr>
          <w:color w:val="auto"/>
          <w:highlight w:val="none"/>
        </w:rPr>
      </w:pPr>
      <w:r>
        <w:rPr>
          <w:rFonts w:hint="eastAsia"/>
          <w:color w:val="auto"/>
          <w:highlight w:val="none"/>
        </w:rPr>
        <w:t>提出医疗防护区域空调系统的专业意见。</w:t>
      </w:r>
    </w:p>
    <w:p>
      <w:pPr>
        <w:pStyle w:val="9"/>
        <w:rPr>
          <w:color w:val="auto"/>
          <w:highlight w:val="none"/>
        </w:rPr>
      </w:pPr>
      <w:r>
        <w:rPr>
          <w:rFonts w:hint="eastAsia"/>
          <w:color w:val="auto"/>
          <w:highlight w:val="none"/>
        </w:rPr>
        <w:t>防护承包商负责管线穿墙的防护及屏蔽处理。</w:t>
      </w:r>
    </w:p>
    <w:p>
      <w:pPr>
        <w:pStyle w:val="9"/>
        <w:rPr>
          <w:color w:val="auto"/>
          <w:highlight w:val="none"/>
        </w:rPr>
      </w:pPr>
      <w:r>
        <w:rPr>
          <w:rFonts w:hint="eastAsia"/>
          <w:color w:val="auto"/>
          <w:highlight w:val="none"/>
        </w:rPr>
        <w:t>机电系统所必须的防护施工。</w:t>
      </w:r>
    </w:p>
    <w:p>
      <w:pPr>
        <w:pStyle w:val="9"/>
        <w:rPr>
          <w:rFonts w:asciiTheme="minorEastAsia" w:hAnsiTheme="minorEastAsia"/>
          <w:color w:val="auto"/>
          <w:szCs w:val="24"/>
          <w:highlight w:val="none"/>
        </w:rPr>
      </w:pPr>
      <w:r>
        <w:rPr>
          <w:rFonts w:hint="eastAsia"/>
          <w:color w:val="auto"/>
          <w:highlight w:val="none"/>
        </w:rPr>
        <w:t>供应及安装本承包商负责装修区</w:t>
      </w:r>
      <w:r>
        <w:rPr>
          <w:rFonts w:hint="eastAsia" w:asciiTheme="minorEastAsia" w:hAnsiTheme="minorEastAsia"/>
          <w:color w:val="auto"/>
          <w:szCs w:val="24"/>
          <w:highlight w:val="none"/>
        </w:rPr>
        <w:t>域内电动挡烟垂臂及其控制箱，及时向管线综合单位提供设备尺寸安装要求。</w:t>
      </w:r>
    </w:p>
    <w:p>
      <w:pPr>
        <w:pStyle w:val="9"/>
        <w:rPr>
          <w:color w:val="auto"/>
          <w:highlight w:val="none"/>
        </w:rPr>
      </w:pPr>
      <w:r>
        <w:rPr>
          <w:rFonts w:hint="eastAsia"/>
          <w:color w:val="auto"/>
          <w:highlight w:val="none"/>
        </w:rPr>
        <w:t>穿越防护区域的机电管线：开槽、开孔、套管、敷管及套管内封堵工作由机电承包商负责，之后的补槽、补洞、挂网、抹灰及收边收口等所有工作由防护承包商负责。</w:t>
      </w:r>
    </w:p>
    <w:p>
      <w:pPr>
        <w:pStyle w:val="5"/>
        <w:rPr>
          <w:color w:val="auto"/>
          <w:highlight w:val="none"/>
        </w:rPr>
      </w:pPr>
      <w:r>
        <w:rPr>
          <w:rFonts w:hint="eastAsia"/>
          <w:color w:val="auto"/>
          <w:highlight w:val="none"/>
        </w:rPr>
        <w:t>与精装修专业工程承包人之间界面划分</w:t>
      </w:r>
    </w:p>
    <w:p>
      <w:pPr>
        <w:pStyle w:val="8"/>
        <w:numPr>
          <w:ilvl w:val="0"/>
          <w:numId w:val="12"/>
        </w:numPr>
        <w:rPr>
          <w:color w:val="auto"/>
          <w:highlight w:val="none"/>
        </w:rPr>
      </w:pPr>
      <w:r>
        <w:rPr>
          <w:rFonts w:hint="eastAsia"/>
          <w:color w:val="auto"/>
          <w:highlight w:val="none"/>
        </w:rPr>
        <w:t>精装修专业承包商负责</w:t>
      </w:r>
    </w:p>
    <w:p>
      <w:pPr>
        <w:pStyle w:val="9"/>
        <w:numPr>
          <w:ilvl w:val="1"/>
          <w:numId w:val="2"/>
        </w:numPr>
        <w:rPr>
          <w:color w:val="auto"/>
          <w:highlight w:val="none"/>
        </w:rPr>
      </w:pPr>
      <w:r>
        <w:rPr>
          <w:rFonts w:hint="eastAsia"/>
          <w:color w:val="auto"/>
          <w:highlight w:val="none"/>
        </w:rPr>
        <w:t>防护区域分界墙非防护侧的精装修施工。</w:t>
      </w:r>
    </w:p>
    <w:p>
      <w:pPr>
        <w:pStyle w:val="175"/>
        <w:numPr>
          <w:ilvl w:val="1"/>
          <w:numId w:val="2"/>
        </w:numPr>
        <w:ind w:firstLineChars="0"/>
        <w:rPr>
          <w:color w:val="auto"/>
          <w:highlight w:val="none"/>
          <w:lang w:eastAsia="zh-CN"/>
        </w:rPr>
      </w:pPr>
      <w:r>
        <w:rPr>
          <w:rFonts w:hint="eastAsia"/>
          <w:color w:val="auto"/>
          <w:highlight w:val="none"/>
          <w:lang w:eastAsia="zh-CN"/>
        </w:rPr>
        <w:t>分界墙上的门槛石安装及收口收边。</w:t>
      </w:r>
    </w:p>
    <w:p>
      <w:pPr>
        <w:rPr>
          <w:color w:val="auto"/>
          <w:highlight w:val="none"/>
          <w:lang w:eastAsia="zh-CN"/>
        </w:rPr>
      </w:pPr>
    </w:p>
    <w:p>
      <w:pPr>
        <w:pStyle w:val="8"/>
        <w:rPr>
          <w:color w:val="auto"/>
          <w:highlight w:val="none"/>
        </w:rPr>
      </w:pPr>
      <w:r>
        <w:rPr>
          <w:rFonts w:hint="eastAsia"/>
          <w:color w:val="auto"/>
          <w:highlight w:val="none"/>
        </w:rPr>
        <w:t>放射防护及磁屏蔽专业工程专业承包商负责</w:t>
      </w:r>
    </w:p>
    <w:p>
      <w:pPr>
        <w:pStyle w:val="9"/>
        <w:numPr>
          <w:ilvl w:val="1"/>
          <w:numId w:val="13"/>
        </w:numPr>
        <w:rPr>
          <w:color w:val="auto"/>
          <w:highlight w:val="none"/>
        </w:rPr>
      </w:pPr>
      <w:r>
        <w:rPr>
          <w:rFonts w:hint="eastAsia"/>
          <w:color w:val="auto"/>
          <w:highlight w:val="none"/>
        </w:rPr>
        <w:t>防护区域内有防护相关施工，包含各种孔洞的封堵，保证达到设计防护要求。</w:t>
      </w:r>
    </w:p>
    <w:p>
      <w:pPr>
        <w:pStyle w:val="9"/>
        <w:rPr>
          <w:color w:val="auto"/>
          <w:highlight w:val="none"/>
        </w:rPr>
      </w:pPr>
      <w:r>
        <w:rPr>
          <w:rFonts w:hint="eastAsia"/>
          <w:color w:val="auto"/>
          <w:highlight w:val="none"/>
        </w:rPr>
        <w:t>分界墙防护侧墙体抹灰施工，分界墙上门、窗（防火门、外墙窗除外）的采购、安装、塞缝及收边收口。</w:t>
      </w:r>
    </w:p>
    <w:p>
      <w:pPr>
        <w:pStyle w:val="5"/>
        <w:rPr>
          <w:color w:val="auto"/>
          <w:highlight w:val="none"/>
        </w:rPr>
      </w:pPr>
      <w:r>
        <w:rPr>
          <w:rFonts w:hint="eastAsia"/>
          <w:color w:val="auto"/>
          <w:highlight w:val="none"/>
        </w:rPr>
        <w:t>与智能化承包商的界面</w:t>
      </w:r>
    </w:p>
    <w:p>
      <w:pPr>
        <w:pStyle w:val="8"/>
        <w:numPr>
          <w:ilvl w:val="0"/>
          <w:numId w:val="12"/>
        </w:numPr>
        <w:rPr>
          <w:color w:val="auto"/>
          <w:highlight w:val="none"/>
        </w:rPr>
      </w:pPr>
      <w:r>
        <w:rPr>
          <w:rFonts w:hint="eastAsia"/>
          <w:color w:val="auto"/>
          <w:highlight w:val="none"/>
        </w:rPr>
        <w:t>智能化承包商负责供应及安装防护承包商装修磁屏蔽区域的智能化系统，防护承包商在装饰面上为智能化点位定位及开孔。</w:t>
      </w:r>
    </w:p>
    <w:p>
      <w:pPr>
        <w:pStyle w:val="8"/>
        <w:rPr>
          <w:color w:val="auto"/>
          <w:highlight w:val="none"/>
        </w:rPr>
      </w:pPr>
      <w:r>
        <w:rPr>
          <w:rFonts w:hint="eastAsia"/>
          <w:color w:val="auto"/>
          <w:highlight w:val="none"/>
        </w:rPr>
        <w:t>各承包商负责各自承包范围内机电管线在墙体上的布管穿线、底盒安装等工作。</w:t>
      </w:r>
    </w:p>
    <w:p>
      <w:pPr>
        <w:pStyle w:val="8"/>
        <w:rPr>
          <w:color w:val="auto"/>
          <w:highlight w:val="none"/>
        </w:rPr>
      </w:pPr>
      <w:r>
        <w:rPr>
          <w:rFonts w:hint="eastAsia"/>
          <w:color w:val="auto"/>
          <w:highlight w:val="none"/>
        </w:rPr>
        <w:t>防护承包商负责管线穿墙的防护及屏蔽处理。</w:t>
      </w:r>
    </w:p>
    <w:p>
      <w:pPr>
        <w:pStyle w:val="8"/>
        <w:rPr>
          <w:color w:val="auto"/>
          <w:highlight w:val="none"/>
        </w:rPr>
      </w:pPr>
      <w:r>
        <w:rPr>
          <w:rFonts w:hint="eastAsia"/>
          <w:color w:val="auto"/>
          <w:highlight w:val="none"/>
        </w:rPr>
        <w:t>防护承包商负责在防护区域内的屏蔽部分的滤波器的采购和安装。</w:t>
      </w:r>
    </w:p>
    <w:p>
      <w:pPr>
        <w:pStyle w:val="5"/>
        <w:rPr>
          <w:color w:val="auto"/>
          <w:highlight w:val="none"/>
        </w:rPr>
      </w:pPr>
      <w:r>
        <w:rPr>
          <w:rFonts w:hint="eastAsia"/>
          <w:color w:val="auto"/>
          <w:highlight w:val="none"/>
        </w:rPr>
        <w:t>与消防承包商的界面</w:t>
      </w:r>
    </w:p>
    <w:p>
      <w:pPr>
        <w:pStyle w:val="8"/>
        <w:numPr>
          <w:ilvl w:val="0"/>
          <w:numId w:val="12"/>
        </w:numPr>
        <w:rPr>
          <w:color w:val="auto"/>
          <w:highlight w:val="none"/>
        </w:rPr>
      </w:pPr>
      <w:r>
        <w:rPr>
          <w:rFonts w:hint="eastAsia"/>
          <w:color w:val="auto"/>
          <w:highlight w:val="none"/>
        </w:rPr>
        <w:t>消防承包商负责供应及安装本工程项目的消防系统（包括消防电及气体灭火，不包括特殊做法的泄压口），防护承包商装饰面上为消防点位定位、引线、开孔及收口。防护承包商负责气体灭火系统防护及屏蔽泄压口的防护屏蔽施工。</w:t>
      </w:r>
    </w:p>
    <w:p>
      <w:pPr>
        <w:pStyle w:val="8"/>
        <w:rPr>
          <w:color w:val="auto"/>
          <w:highlight w:val="none"/>
        </w:rPr>
      </w:pPr>
      <w:r>
        <w:rPr>
          <w:rFonts w:hint="eastAsia"/>
          <w:color w:val="auto"/>
          <w:highlight w:val="none"/>
        </w:rPr>
        <w:t>消防承包商负责其承包范围内机电管线在墙体上的布管穿线、底盒安装等工作。</w:t>
      </w:r>
    </w:p>
    <w:p>
      <w:pPr>
        <w:pStyle w:val="8"/>
        <w:rPr>
          <w:color w:val="auto"/>
          <w:highlight w:val="none"/>
        </w:rPr>
      </w:pPr>
      <w:r>
        <w:rPr>
          <w:rFonts w:hint="eastAsia"/>
          <w:color w:val="auto"/>
          <w:highlight w:val="none"/>
        </w:rPr>
        <w:t>防护承包商供应及安装本承包商负责装修区域内电动挡烟垂臂及其控制箱。消防承包商负责将挡烟垂臂接入大楼消防弱电系统。</w:t>
      </w:r>
    </w:p>
    <w:p>
      <w:pPr>
        <w:pStyle w:val="4"/>
        <w:spacing w:before="120" w:beforeLines="50"/>
        <w:ind w:left="426" w:hanging="567"/>
        <w:rPr>
          <w:color w:val="auto"/>
          <w:highlight w:val="none"/>
        </w:rPr>
      </w:pPr>
      <w:r>
        <w:rPr>
          <w:rFonts w:hint="eastAsia"/>
          <w:color w:val="auto"/>
          <w:highlight w:val="none"/>
        </w:rPr>
        <w:t>医疗工艺及净化工程界面划分</w:t>
      </w:r>
    </w:p>
    <w:p>
      <w:pPr>
        <w:rPr>
          <w:color w:val="auto"/>
          <w:highlight w:val="none"/>
          <w:lang w:eastAsia="zh-CN"/>
        </w:rPr>
      </w:pPr>
    </w:p>
    <w:tbl>
      <w:tblPr>
        <w:tblStyle w:val="85"/>
        <w:tblW w:w="9497" w:type="dxa"/>
        <w:tblInd w:w="42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8"/>
        <w:gridCol w:w="1276"/>
        <w:gridCol w:w="822"/>
        <w:gridCol w:w="7"/>
        <w:gridCol w:w="730"/>
        <w:gridCol w:w="59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5" w:hRule="atLeast"/>
        </w:trPr>
        <w:tc>
          <w:tcPr>
            <w:tcW w:w="9497" w:type="dxa"/>
            <w:gridSpan w:val="6"/>
            <w:tcBorders>
              <w:left w:val="nil"/>
              <w:right w:val="nil"/>
            </w:tcBorders>
            <w:shd w:val="clear" w:color="auto" w:fill="auto"/>
            <w:vAlign w:val="center"/>
          </w:tcPr>
          <w:p>
            <w:pPr>
              <w:rPr>
                <w:color w:val="auto"/>
                <w:highlight w:val="no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4" w:hRule="atLeast"/>
        </w:trPr>
        <w:tc>
          <w:tcPr>
            <w:tcW w:w="708" w:type="dxa"/>
            <w:shd w:val="clear" w:color="auto" w:fill="auto"/>
            <w:vAlign w:val="center"/>
          </w:tcPr>
          <w:p>
            <w:pPr>
              <w:jc w:val="center"/>
              <w:rPr>
                <w:color w:val="auto"/>
                <w:highlight w:val="none"/>
              </w:rPr>
            </w:pPr>
            <w:r>
              <w:rPr>
                <w:rFonts w:hint="eastAsia"/>
                <w:color w:val="auto"/>
                <w:highlight w:val="none"/>
              </w:rPr>
              <w:t>序号</w:t>
            </w:r>
          </w:p>
        </w:tc>
        <w:tc>
          <w:tcPr>
            <w:tcW w:w="1276" w:type="dxa"/>
            <w:shd w:val="clear" w:color="auto" w:fill="auto"/>
            <w:vAlign w:val="center"/>
          </w:tcPr>
          <w:p>
            <w:pPr>
              <w:jc w:val="center"/>
              <w:rPr>
                <w:color w:val="auto"/>
                <w:highlight w:val="none"/>
              </w:rPr>
            </w:pPr>
            <w:r>
              <w:rPr>
                <w:rFonts w:hint="eastAsia"/>
                <w:color w:val="auto"/>
                <w:highlight w:val="none"/>
              </w:rPr>
              <w:t>专业名称</w:t>
            </w:r>
          </w:p>
        </w:tc>
        <w:tc>
          <w:tcPr>
            <w:tcW w:w="1559" w:type="dxa"/>
            <w:gridSpan w:val="3"/>
            <w:shd w:val="clear" w:color="auto" w:fill="auto"/>
            <w:vAlign w:val="center"/>
          </w:tcPr>
          <w:p>
            <w:pPr>
              <w:jc w:val="center"/>
              <w:rPr>
                <w:color w:val="auto"/>
                <w:highlight w:val="none"/>
              </w:rPr>
            </w:pPr>
            <w:r>
              <w:rPr>
                <w:rFonts w:hint="eastAsia"/>
                <w:color w:val="auto"/>
                <w:highlight w:val="none"/>
              </w:rPr>
              <w:t>专业名称</w:t>
            </w:r>
          </w:p>
        </w:tc>
        <w:tc>
          <w:tcPr>
            <w:tcW w:w="5954" w:type="dxa"/>
            <w:shd w:val="clear" w:color="auto" w:fill="auto"/>
            <w:vAlign w:val="center"/>
          </w:tcPr>
          <w:p>
            <w:pPr>
              <w:jc w:val="center"/>
              <w:rPr>
                <w:color w:val="auto"/>
                <w:highlight w:val="none"/>
              </w:rPr>
            </w:pPr>
            <w:r>
              <w:rPr>
                <w:rFonts w:hint="eastAsia"/>
                <w:color w:val="auto"/>
                <w:highlight w:val="none"/>
              </w:rPr>
              <w:t>界面划分的内容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708" w:type="dxa"/>
            <w:shd w:val="clear" w:color="auto" w:fill="auto"/>
            <w:vAlign w:val="center"/>
          </w:tcPr>
          <w:p>
            <w:pPr>
              <w:rPr>
                <w:color w:val="auto"/>
                <w:highlight w:val="none"/>
              </w:rPr>
            </w:pPr>
            <w:r>
              <w:rPr>
                <w:rFonts w:hint="eastAsia"/>
                <w:color w:val="auto"/>
                <w:highlight w:val="none"/>
              </w:rPr>
              <w:t>一</w:t>
            </w:r>
          </w:p>
        </w:tc>
        <w:tc>
          <w:tcPr>
            <w:tcW w:w="8789" w:type="dxa"/>
            <w:gridSpan w:val="5"/>
            <w:shd w:val="clear" w:color="auto" w:fill="auto"/>
            <w:vAlign w:val="center"/>
          </w:tcPr>
          <w:p>
            <w:pPr>
              <w:rPr>
                <w:color w:val="auto"/>
                <w:highlight w:val="none"/>
                <w:lang w:eastAsia="zh-CN"/>
              </w:rPr>
            </w:pPr>
            <w:r>
              <w:rPr>
                <w:rFonts w:hint="eastAsia"/>
                <w:color w:val="auto"/>
                <w:highlight w:val="none"/>
                <w:lang w:eastAsia="zh-CN" w:bidi="ar"/>
              </w:rPr>
              <w:t>医疗工艺及净化工程采购及安装承包商</w:t>
            </w:r>
            <w:r>
              <w:rPr>
                <w:rFonts w:hint="eastAsia"/>
                <w:color w:val="auto"/>
                <w:highlight w:val="none"/>
                <w:lang w:eastAsia="zh-CN"/>
              </w:rPr>
              <w:t>与土建工程总承包商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8" w:hRule="atLeast"/>
        </w:trPr>
        <w:tc>
          <w:tcPr>
            <w:tcW w:w="708" w:type="dxa"/>
            <w:vMerge w:val="restart"/>
            <w:shd w:val="clear" w:color="auto" w:fill="auto"/>
            <w:vAlign w:val="center"/>
          </w:tcPr>
          <w:p>
            <w:pPr>
              <w:rPr>
                <w:color w:val="auto"/>
                <w:highlight w:val="none"/>
              </w:rPr>
            </w:pPr>
            <w:r>
              <w:rPr>
                <w:rFonts w:hint="eastAsia"/>
                <w:color w:val="auto"/>
                <w:highlight w:val="none"/>
              </w:rPr>
              <w:t>1</w:t>
            </w:r>
          </w:p>
        </w:tc>
        <w:tc>
          <w:tcPr>
            <w:tcW w:w="1276" w:type="dxa"/>
            <w:vMerge w:val="restart"/>
            <w:shd w:val="clear" w:color="auto" w:fill="auto"/>
            <w:vAlign w:val="center"/>
          </w:tcPr>
          <w:p>
            <w:pPr>
              <w:rPr>
                <w:color w:val="auto"/>
                <w:highlight w:val="none"/>
              </w:rPr>
            </w:pPr>
            <w:r>
              <w:rPr>
                <w:rFonts w:hint="eastAsia"/>
                <w:color w:val="auto"/>
                <w:highlight w:val="none"/>
              </w:rPr>
              <w:t>建筑专业</w:t>
            </w:r>
          </w:p>
        </w:tc>
        <w:tc>
          <w:tcPr>
            <w:tcW w:w="1559" w:type="dxa"/>
            <w:gridSpan w:val="3"/>
            <w:shd w:val="clear" w:color="auto" w:fill="auto"/>
            <w:vAlign w:val="center"/>
          </w:tcPr>
          <w:p>
            <w:pPr>
              <w:rPr>
                <w:color w:val="auto"/>
                <w:highlight w:val="none"/>
                <w:lang w:eastAsia="zh-CN"/>
              </w:rPr>
            </w:pPr>
            <w:r>
              <w:rPr>
                <w:rFonts w:hint="eastAsia"/>
                <w:color w:val="auto"/>
                <w:highlight w:val="none"/>
                <w:lang w:eastAsia="zh-CN" w:bidi="ar"/>
              </w:rPr>
              <w:t>医疗工艺及净化工程采购及安装承包商</w:t>
            </w:r>
          </w:p>
        </w:tc>
        <w:tc>
          <w:tcPr>
            <w:tcW w:w="5954" w:type="dxa"/>
            <w:shd w:val="clear" w:color="auto" w:fill="auto"/>
            <w:vAlign w:val="center"/>
          </w:tcPr>
          <w:p>
            <w:pPr>
              <w:rPr>
                <w:color w:val="auto"/>
                <w:highlight w:val="none"/>
                <w:lang w:eastAsia="zh-CN"/>
              </w:rPr>
            </w:pPr>
            <w:r>
              <w:rPr>
                <w:rFonts w:hint="eastAsia"/>
                <w:color w:val="auto"/>
                <w:highlight w:val="none"/>
                <w:lang w:eastAsia="zh-CN"/>
              </w:rPr>
              <w:t>1）区域内地面、找平层、填充层、保护层、装饰面层及装饰面层结合层（包含PVC地胶的自流平）施工。</w:t>
            </w:r>
          </w:p>
          <w:p>
            <w:pPr>
              <w:rPr>
                <w:color w:val="auto"/>
                <w:highlight w:val="none"/>
                <w:lang w:eastAsia="zh-CN"/>
              </w:rPr>
            </w:pPr>
            <w:r>
              <w:rPr>
                <w:rFonts w:hint="eastAsia"/>
                <w:color w:val="auto"/>
                <w:highlight w:val="none"/>
                <w:lang w:eastAsia="zh-CN"/>
              </w:rPr>
              <w:t>2）区域内的墙体砌筑及洞口预留（防火分区防火墙不得改变位置及砌体材质）；分界墙的本区域侧收边收口，分界墙（仅轻质隔墙）的施工等。</w:t>
            </w:r>
          </w:p>
          <w:p>
            <w:pPr>
              <w:rPr>
                <w:color w:val="auto"/>
                <w:highlight w:val="none"/>
                <w:lang w:eastAsia="zh-CN"/>
              </w:rPr>
            </w:pPr>
            <w:r>
              <w:rPr>
                <w:rFonts w:hint="eastAsia"/>
                <w:color w:val="auto"/>
                <w:highlight w:val="none"/>
                <w:lang w:eastAsia="zh-CN"/>
              </w:rPr>
              <w:t>3）区域内墙面、地面所开洞口的塞缝、封堵及收边收口，安装专业（包含但不限于空调、给排水、强弱电、医用气体等）在施工区域内天花上开洞及收边收口。</w:t>
            </w:r>
          </w:p>
          <w:p>
            <w:pPr>
              <w:rPr>
                <w:color w:val="auto"/>
                <w:highlight w:val="none"/>
                <w:lang w:eastAsia="zh-CN"/>
              </w:rPr>
            </w:pPr>
            <w:r>
              <w:rPr>
                <w:rFonts w:hint="eastAsia"/>
                <w:color w:val="auto"/>
                <w:highlight w:val="none"/>
                <w:lang w:eastAsia="zh-CN"/>
              </w:rPr>
              <w:t>4）区域内及分界墙（外立面及幕墙除外）门、窗、玻璃隔断（与幕墙、外围护相关门窗、防火门窗除外）的采购、安装、塞缝、封堵及收边收口。</w:t>
            </w:r>
          </w:p>
          <w:p>
            <w:pPr>
              <w:rPr>
                <w:color w:val="auto"/>
                <w:highlight w:val="none"/>
                <w:lang w:eastAsia="zh-CN"/>
              </w:rPr>
            </w:pPr>
            <w:r>
              <w:rPr>
                <w:rFonts w:hint="eastAsia"/>
                <w:color w:val="auto"/>
                <w:highlight w:val="none"/>
                <w:lang w:eastAsia="zh-CN"/>
              </w:rPr>
              <w:t>5）区域内的气密门、钢质门、防撞板和护角、人造石台面、暗装医用隔帘轨道、门窗密封、侧边抹灰、饰面、收边收口（承包范围侧）等。</w:t>
            </w:r>
          </w:p>
          <w:p>
            <w:pPr>
              <w:rPr>
                <w:color w:val="auto"/>
                <w:highlight w:val="none"/>
                <w:lang w:eastAsia="zh-CN"/>
              </w:rPr>
            </w:pPr>
            <w:r>
              <w:rPr>
                <w:rFonts w:hint="eastAsia"/>
                <w:color w:val="auto"/>
                <w:highlight w:val="none"/>
                <w:lang w:eastAsia="zh-CN"/>
              </w:rPr>
              <w:t>6）区域内室内机电设备及医疗设备基础、电缆沟施工。</w:t>
            </w:r>
          </w:p>
          <w:p>
            <w:pPr>
              <w:rPr>
                <w:color w:val="auto"/>
                <w:highlight w:val="none"/>
                <w:lang w:eastAsia="zh-CN"/>
              </w:rPr>
            </w:pPr>
            <w:r>
              <w:rPr>
                <w:rFonts w:hint="eastAsia"/>
                <w:color w:val="auto"/>
                <w:highlight w:val="none"/>
                <w:lang w:eastAsia="zh-CN"/>
              </w:rPr>
              <w:t>7）提供机房</w:t>
            </w:r>
            <w:r>
              <w:rPr>
                <w:color w:val="auto"/>
                <w:highlight w:val="none"/>
                <w:lang w:eastAsia="zh-CN"/>
              </w:rPr>
              <w:t>、</w:t>
            </w:r>
            <w:r>
              <w:rPr>
                <w:rFonts w:hint="eastAsia"/>
                <w:color w:val="auto"/>
                <w:highlight w:val="none"/>
                <w:lang w:eastAsia="zh-CN"/>
              </w:rPr>
              <w:t>室外、屋顶设备基础图大样及机房</w:t>
            </w:r>
            <w:r>
              <w:rPr>
                <w:color w:val="auto"/>
                <w:highlight w:val="none"/>
                <w:lang w:eastAsia="zh-CN"/>
              </w:rPr>
              <w:t>、</w:t>
            </w:r>
            <w:r>
              <w:rPr>
                <w:rFonts w:hint="eastAsia"/>
                <w:color w:val="auto"/>
                <w:highlight w:val="none"/>
                <w:lang w:eastAsia="zh-CN"/>
              </w:rPr>
              <w:t>室外、屋顶设备管道布置图纸给土建总承包商。</w:t>
            </w:r>
          </w:p>
          <w:p>
            <w:pPr>
              <w:rPr>
                <w:color w:val="auto"/>
                <w:highlight w:val="none"/>
                <w:lang w:eastAsia="zh-CN"/>
              </w:rPr>
            </w:pPr>
            <w:r>
              <w:rPr>
                <w:rFonts w:hint="eastAsia"/>
                <w:color w:val="auto"/>
                <w:highlight w:val="none"/>
                <w:lang w:eastAsia="zh-CN"/>
              </w:rPr>
              <w:t>防水工程：负责“医疗</w:t>
            </w:r>
            <w:r>
              <w:rPr>
                <w:color w:val="auto"/>
                <w:highlight w:val="none"/>
                <w:lang w:eastAsia="zh-CN"/>
              </w:rPr>
              <w:t>工艺及</w:t>
            </w:r>
            <w:r>
              <w:rPr>
                <w:rFonts w:hint="eastAsia"/>
                <w:color w:val="auto"/>
                <w:highlight w:val="none"/>
                <w:lang w:eastAsia="zh-CN"/>
              </w:rPr>
              <w:t>净化”区域内的防水施工、闭水试验及专项验收。</w:t>
            </w:r>
          </w:p>
          <w:p>
            <w:pPr>
              <w:rPr>
                <w:color w:val="auto"/>
                <w:highlight w:val="none"/>
                <w:lang w:eastAsia="zh-CN"/>
              </w:rPr>
            </w:pPr>
            <w:r>
              <w:rPr>
                <w:rFonts w:hint="eastAsia"/>
                <w:color w:val="auto"/>
                <w:highlight w:val="none"/>
                <w:lang w:eastAsia="zh-CN"/>
              </w:rPr>
              <w:t>封堵：区域内各专业管道及穿墙、穿梁、穿楼板的孔洞封堵等（包括但不限于）工作。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51" w:hRule="atLeast"/>
        </w:trPr>
        <w:tc>
          <w:tcPr>
            <w:tcW w:w="708" w:type="dxa"/>
            <w:vMerge w:val="continue"/>
            <w:shd w:val="clear" w:color="auto" w:fill="auto"/>
            <w:vAlign w:val="center"/>
          </w:tcPr>
          <w:p>
            <w:pPr>
              <w:rPr>
                <w:color w:val="auto"/>
                <w:highlight w:val="none"/>
                <w:lang w:eastAsia="zh-CN"/>
              </w:rPr>
            </w:pPr>
          </w:p>
        </w:tc>
        <w:tc>
          <w:tcPr>
            <w:tcW w:w="1276" w:type="dxa"/>
            <w:vMerge w:val="continue"/>
            <w:shd w:val="clear" w:color="auto" w:fill="auto"/>
            <w:vAlign w:val="center"/>
          </w:tcPr>
          <w:p>
            <w:pPr>
              <w:rPr>
                <w:color w:val="auto"/>
                <w:highlight w:val="none"/>
                <w:lang w:eastAsia="zh-CN"/>
              </w:rPr>
            </w:pPr>
          </w:p>
        </w:tc>
        <w:tc>
          <w:tcPr>
            <w:tcW w:w="1559" w:type="dxa"/>
            <w:gridSpan w:val="3"/>
            <w:shd w:val="clear" w:color="auto" w:fill="auto"/>
            <w:vAlign w:val="center"/>
          </w:tcPr>
          <w:p>
            <w:pPr>
              <w:rPr>
                <w:color w:val="auto"/>
                <w:highlight w:val="none"/>
              </w:rPr>
            </w:pPr>
            <w:r>
              <w:rPr>
                <w:rFonts w:hint="eastAsia"/>
                <w:color w:val="auto"/>
                <w:highlight w:val="none"/>
              </w:rPr>
              <w:t>土建</w:t>
            </w:r>
            <w:r>
              <w:rPr>
                <w:rFonts w:hint="eastAsia"/>
                <w:color w:val="auto"/>
                <w:highlight w:val="none"/>
                <w:lang w:eastAsia="zh-CN"/>
              </w:rPr>
              <w:t>及幕墙</w:t>
            </w:r>
            <w:r>
              <w:rPr>
                <w:rFonts w:hint="eastAsia"/>
                <w:color w:val="auto"/>
                <w:highlight w:val="none"/>
              </w:rPr>
              <w:t>总承包商</w:t>
            </w:r>
          </w:p>
        </w:tc>
        <w:tc>
          <w:tcPr>
            <w:tcW w:w="5954" w:type="dxa"/>
            <w:shd w:val="clear" w:color="auto" w:fill="auto"/>
            <w:vAlign w:val="center"/>
          </w:tcPr>
          <w:p>
            <w:pPr>
              <w:rPr>
                <w:b/>
                <w:bCs/>
                <w:color w:val="auto"/>
                <w:highlight w:val="none"/>
                <w:lang w:eastAsia="zh-CN"/>
              </w:rPr>
            </w:pPr>
            <w:r>
              <w:rPr>
                <w:rFonts w:hint="eastAsia"/>
                <w:b/>
                <w:bCs/>
                <w:color w:val="auto"/>
                <w:highlight w:val="none"/>
                <w:lang w:eastAsia="zh-CN"/>
              </w:rPr>
              <w:t>土建总承包商：</w:t>
            </w:r>
          </w:p>
          <w:p>
            <w:pPr>
              <w:rPr>
                <w:color w:val="auto"/>
                <w:highlight w:val="none"/>
                <w:lang w:eastAsia="zh-CN"/>
              </w:rPr>
            </w:pPr>
            <w:r>
              <w:rPr>
                <w:rFonts w:hint="eastAsia"/>
                <w:color w:val="auto"/>
                <w:highlight w:val="none"/>
                <w:lang w:eastAsia="zh-CN"/>
              </w:rPr>
              <w:t>1）土建总包区域与“医疗工艺</w:t>
            </w:r>
            <w:r>
              <w:rPr>
                <w:color w:val="auto"/>
                <w:highlight w:val="none"/>
                <w:lang w:eastAsia="zh-CN"/>
              </w:rPr>
              <w:t>及</w:t>
            </w:r>
            <w:r>
              <w:rPr>
                <w:rFonts w:hint="eastAsia"/>
                <w:color w:val="auto"/>
                <w:highlight w:val="none"/>
                <w:lang w:eastAsia="zh-CN"/>
              </w:rPr>
              <w:t>净化”区域分界墙（轻质隔墙除外）的砌筑、孔洞预留；区域内楼地面、天棚只施工完成到结构面。</w:t>
            </w:r>
          </w:p>
          <w:p>
            <w:pPr>
              <w:rPr>
                <w:color w:val="auto"/>
                <w:highlight w:val="none"/>
                <w:lang w:eastAsia="zh-CN"/>
              </w:rPr>
            </w:pPr>
            <w:r>
              <w:rPr>
                <w:rFonts w:hint="eastAsia"/>
                <w:color w:val="auto"/>
                <w:highlight w:val="none"/>
                <w:lang w:eastAsia="zh-CN"/>
              </w:rPr>
              <w:t>2）为“净化”承包商提供所需现场加工、制作、运输、安装工作面及测量控制基准线。</w:t>
            </w:r>
          </w:p>
          <w:p>
            <w:pPr>
              <w:rPr>
                <w:color w:val="auto"/>
                <w:highlight w:val="none"/>
                <w:lang w:eastAsia="zh-CN"/>
              </w:rPr>
            </w:pPr>
            <w:r>
              <w:rPr>
                <w:rFonts w:hint="eastAsia"/>
                <w:color w:val="auto"/>
                <w:highlight w:val="none"/>
                <w:lang w:eastAsia="zh-CN"/>
              </w:rPr>
              <w:t>3）区域内防火门、防火窗和防火卷帘的采购、安装、塞缝、防火封堵及收边收口。</w:t>
            </w:r>
          </w:p>
          <w:p>
            <w:pPr>
              <w:rPr>
                <w:color w:val="auto"/>
                <w:highlight w:val="none"/>
                <w:lang w:eastAsia="zh-CN"/>
              </w:rPr>
            </w:pPr>
            <w:r>
              <w:rPr>
                <w:color w:val="auto"/>
                <w:highlight w:val="none"/>
                <w:lang w:eastAsia="zh-CN"/>
              </w:rPr>
              <w:t>4</w:t>
            </w:r>
            <w:r>
              <w:rPr>
                <w:rFonts w:hint="eastAsia"/>
                <w:color w:val="auto"/>
                <w:highlight w:val="none"/>
                <w:lang w:eastAsia="zh-CN"/>
              </w:rPr>
              <w:t>）区域分界墙总包侧的装饰装修及收边收口等工作，交界处的所有门槛石由净化单位负责。</w:t>
            </w:r>
          </w:p>
          <w:p>
            <w:pPr>
              <w:rPr>
                <w:color w:val="auto"/>
                <w:highlight w:val="none"/>
                <w:lang w:eastAsia="zh-CN"/>
              </w:rPr>
            </w:pPr>
            <w:r>
              <w:rPr>
                <w:color w:val="auto"/>
                <w:highlight w:val="none"/>
                <w:lang w:eastAsia="zh-CN"/>
              </w:rPr>
              <w:t>5</w:t>
            </w:r>
            <w:r>
              <w:rPr>
                <w:rFonts w:hint="eastAsia"/>
                <w:color w:val="auto"/>
                <w:highlight w:val="none"/>
                <w:lang w:eastAsia="zh-CN"/>
              </w:rPr>
              <w:t>）负责根据“医疗工艺</w:t>
            </w:r>
            <w:r>
              <w:rPr>
                <w:color w:val="auto"/>
                <w:highlight w:val="none"/>
                <w:lang w:eastAsia="zh-CN"/>
              </w:rPr>
              <w:t>及</w:t>
            </w:r>
            <w:r>
              <w:rPr>
                <w:rFonts w:hint="eastAsia"/>
                <w:color w:val="auto"/>
                <w:highlight w:val="none"/>
                <w:lang w:eastAsia="zh-CN"/>
              </w:rPr>
              <w:t>净化”承包商提供的图纸，施工机房</w:t>
            </w:r>
            <w:r>
              <w:rPr>
                <w:color w:val="auto"/>
                <w:highlight w:val="none"/>
                <w:lang w:eastAsia="zh-CN"/>
              </w:rPr>
              <w:t>、</w:t>
            </w:r>
            <w:r>
              <w:rPr>
                <w:rFonts w:hint="eastAsia"/>
                <w:color w:val="auto"/>
                <w:highlight w:val="none"/>
                <w:lang w:eastAsia="zh-CN"/>
              </w:rPr>
              <w:t>屋面及室外的设备基础及预留接地端子等工作。</w:t>
            </w:r>
          </w:p>
          <w:p>
            <w:pPr>
              <w:rPr>
                <w:color w:val="auto"/>
                <w:highlight w:val="none"/>
                <w:lang w:eastAsia="zh-CN"/>
              </w:rPr>
            </w:pPr>
            <w:r>
              <w:rPr>
                <w:color w:val="auto"/>
                <w:highlight w:val="none"/>
                <w:lang w:eastAsia="zh-CN"/>
              </w:rPr>
              <w:t>6</w:t>
            </w:r>
            <w:r>
              <w:rPr>
                <w:rFonts w:hint="eastAsia"/>
                <w:color w:val="auto"/>
                <w:highlight w:val="none"/>
                <w:lang w:eastAsia="zh-CN"/>
              </w:rPr>
              <w:t>）风管出屋面的洞口封堵及防水处理。</w:t>
            </w:r>
          </w:p>
          <w:p>
            <w:pPr>
              <w:pStyle w:val="2"/>
              <w:rPr>
                <w:b/>
                <w:bCs/>
                <w:color w:val="auto"/>
                <w:highlight w:val="none"/>
                <w:lang w:eastAsia="zh-CN"/>
              </w:rPr>
            </w:pPr>
            <w:r>
              <w:rPr>
                <w:rFonts w:hint="eastAsia"/>
                <w:b/>
                <w:bCs/>
                <w:color w:val="auto"/>
                <w:highlight w:val="none"/>
                <w:lang w:eastAsia="zh-CN"/>
              </w:rPr>
              <w:t>幕墙承包商：</w:t>
            </w:r>
          </w:p>
          <w:p>
            <w:pPr>
              <w:pStyle w:val="2"/>
              <w:numPr>
                <w:ilvl w:val="0"/>
                <w:numId w:val="14"/>
              </w:numPr>
              <w:rPr>
                <w:color w:val="auto"/>
                <w:highlight w:val="none"/>
                <w:lang w:eastAsia="zh-CN"/>
              </w:rPr>
            </w:pPr>
            <w:r>
              <w:rPr>
                <w:rFonts w:hint="eastAsia"/>
                <w:color w:val="auto"/>
                <w:highlight w:val="none"/>
                <w:lang w:eastAsia="zh-CN"/>
              </w:rPr>
              <w:t>幕墙单位负责分界墙为外立面或幕墙相关门窗、铝合金门窗、金属百叶窗的采购、安装以及门窗框周边的塞缝、防火封堵。</w:t>
            </w:r>
          </w:p>
          <w:p>
            <w:pPr>
              <w:pStyle w:val="2"/>
              <w:numPr>
                <w:ilvl w:val="0"/>
                <w:numId w:val="14"/>
              </w:numPr>
              <w:rPr>
                <w:color w:val="auto"/>
                <w:highlight w:val="none"/>
                <w:lang w:eastAsia="zh-CN"/>
              </w:rPr>
            </w:pPr>
            <w:r>
              <w:rPr>
                <w:rFonts w:hint="eastAsia"/>
                <w:color w:val="auto"/>
                <w:highlight w:val="none"/>
                <w:lang w:eastAsia="zh-CN"/>
              </w:rPr>
              <w:t>按照“医疗工艺</w:t>
            </w:r>
            <w:r>
              <w:rPr>
                <w:color w:val="auto"/>
                <w:highlight w:val="none"/>
                <w:lang w:eastAsia="zh-CN"/>
              </w:rPr>
              <w:t>及</w:t>
            </w:r>
            <w:r>
              <w:rPr>
                <w:rFonts w:hint="eastAsia"/>
                <w:color w:val="auto"/>
                <w:highlight w:val="none"/>
                <w:lang w:eastAsia="zh-CN"/>
              </w:rPr>
              <w:t>净化”专业的要求在幕墙上预留风管洞口、安装百叶及防水处理等工作。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49" w:hRule="atLeast"/>
        </w:trPr>
        <w:tc>
          <w:tcPr>
            <w:tcW w:w="708" w:type="dxa"/>
            <w:vMerge w:val="restart"/>
            <w:shd w:val="clear" w:color="auto" w:fill="auto"/>
            <w:vAlign w:val="center"/>
          </w:tcPr>
          <w:p>
            <w:pPr>
              <w:rPr>
                <w:color w:val="auto"/>
                <w:highlight w:val="none"/>
              </w:rPr>
            </w:pPr>
            <w:r>
              <w:rPr>
                <w:rFonts w:hint="eastAsia"/>
                <w:color w:val="auto"/>
                <w:highlight w:val="none"/>
              </w:rPr>
              <w:t>2</w:t>
            </w:r>
          </w:p>
        </w:tc>
        <w:tc>
          <w:tcPr>
            <w:tcW w:w="1276" w:type="dxa"/>
            <w:vMerge w:val="restart"/>
            <w:shd w:val="clear" w:color="auto" w:fill="auto"/>
            <w:vAlign w:val="center"/>
          </w:tcPr>
          <w:p>
            <w:pPr>
              <w:rPr>
                <w:color w:val="auto"/>
                <w:highlight w:val="none"/>
              </w:rPr>
            </w:pPr>
            <w:r>
              <w:rPr>
                <w:rFonts w:hint="eastAsia"/>
                <w:color w:val="auto"/>
                <w:highlight w:val="none"/>
              </w:rPr>
              <w:t>给排水专业</w:t>
            </w:r>
          </w:p>
        </w:tc>
        <w:tc>
          <w:tcPr>
            <w:tcW w:w="1559" w:type="dxa"/>
            <w:gridSpan w:val="3"/>
            <w:shd w:val="clear" w:color="auto" w:fill="auto"/>
            <w:vAlign w:val="center"/>
          </w:tcPr>
          <w:p>
            <w:pPr>
              <w:rPr>
                <w:color w:val="auto"/>
                <w:highlight w:val="none"/>
                <w:lang w:eastAsia="zh-CN"/>
              </w:rPr>
            </w:pPr>
            <w:r>
              <w:rPr>
                <w:rFonts w:hint="eastAsia"/>
                <w:color w:val="auto"/>
                <w:highlight w:val="none"/>
                <w:lang w:eastAsia="zh-CN" w:bidi="ar"/>
              </w:rPr>
              <w:t>医疗工艺及净化工程采购及安装承包商</w:t>
            </w:r>
          </w:p>
        </w:tc>
        <w:tc>
          <w:tcPr>
            <w:tcW w:w="5954" w:type="dxa"/>
            <w:shd w:val="clear" w:color="auto" w:fill="auto"/>
            <w:vAlign w:val="center"/>
          </w:tcPr>
          <w:p>
            <w:pPr>
              <w:rPr>
                <w:color w:val="auto"/>
                <w:highlight w:val="none"/>
                <w:lang w:eastAsia="zh-CN"/>
              </w:rPr>
            </w:pPr>
            <w:r>
              <w:rPr>
                <w:color w:val="auto"/>
                <w:highlight w:val="none"/>
                <w:lang w:eastAsia="zh-CN"/>
              </w:rPr>
              <w:t>1）负责总承包商提供的给排水点位后的管线及末端医用用水器具和普通卫生器具（卫生洁具、淋浴器、水龙头、角阀等所有五金配件）、专用地漏、热水器等采购安装，负责各给水点与卫生器具和配件给水支管的连接等，并且配合总包单位调试、验收。</w:t>
            </w:r>
          </w:p>
          <w:p>
            <w:pPr>
              <w:rPr>
                <w:color w:val="auto"/>
                <w:highlight w:val="none"/>
                <w:lang w:eastAsia="zh-CN"/>
              </w:rPr>
            </w:pPr>
            <w:r>
              <w:rPr>
                <w:color w:val="auto"/>
                <w:highlight w:val="none"/>
                <w:lang w:eastAsia="zh-CN"/>
              </w:rPr>
              <w:t>2）区域内（包括但不限于）地漏、洁具、楼板以上的存水弯安装，负责总包甩口管道与洁具、用水设备的连接及密封处理，负责提供准确的末端定位。</w:t>
            </w:r>
          </w:p>
          <w:p>
            <w:pPr>
              <w:rPr>
                <w:color w:val="auto"/>
                <w:highlight w:val="none"/>
                <w:lang w:eastAsia="zh-CN"/>
              </w:rPr>
            </w:pPr>
            <w:r>
              <w:rPr>
                <w:color w:val="auto"/>
                <w:highlight w:val="none"/>
                <w:lang w:eastAsia="zh-CN"/>
              </w:rPr>
              <w:t>3）医用纯水系统管线的采购、安装；提供本区域及设备机房排水点需求及定位深化图。</w:t>
            </w:r>
          </w:p>
          <w:p>
            <w:pPr>
              <w:rPr>
                <w:color w:val="auto"/>
                <w:highlight w:val="none"/>
                <w:lang w:eastAsia="zh-CN"/>
              </w:rPr>
            </w:pPr>
            <w:r>
              <w:rPr>
                <w:color w:val="auto"/>
                <w:highlight w:val="none"/>
                <w:lang w:eastAsia="zh-CN"/>
              </w:rPr>
              <w:t>4）不含消防水系统。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16" w:hRule="atLeast"/>
        </w:trPr>
        <w:tc>
          <w:tcPr>
            <w:tcW w:w="708" w:type="dxa"/>
            <w:vMerge w:val="continue"/>
            <w:shd w:val="clear" w:color="auto" w:fill="auto"/>
            <w:vAlign w:val="center"/>
          </w:tcPr>
          <w:p>
            <w:pPr>
              <w:rPr>
                <w:color w:val="auto"/>
                <w:highlight w:val="none"/>
                <w:lang w:eastAsia="zh-CN"/>
              </w:rPr>
            </w:pPr>
          </w:p>
        </w:tc>
        <w:tc>
          <w:tcPr>
            <w:tcW w:w="1276" w:type="dxa"/>
            <w:vMerge w:val="continue"/>
            <w:shd w:val="clear" w:color="auto" w:fill="auto"/>
            <w:vAlign w:val="center"/>
          </w:tcPr>
          <w:p>
            <w:pPr>
              <w:rPr>
                <w:color w:val="auto"/>
                <w:highlight w:val="none"/>
                <w:lang w:eastAsia="zh-CN"/>
              </w:rPr>
            </w:pPr>
          </w:p>
        </w:tc>
        <w:tc>
          <w:tcPr>
            <w:tcW w:w="1559" w:type="dxa"/>
            <w:gridSpan w:val="3"/>
            <w:shd w:val="clear" w:color="auto" w:fill="auto"/>
            <w:vAlign w:val="center"/>
          </w:tcPr>
          <w:p>
            <w:pPr>
              <w:rPr>
                <w:color w:val="auto"/>
                <w:highlight w:val="none"/>
                <w:lang w:eastAsia="zh-CN"/>
              </w:rPr>
            </w:pPr>
            <w:r>
              <w:rPr>
                <w:rFonts w:hint="eastAsia"/>
                <w:color w:val="auto"/>
                <w:highlight w:val="none"/>
                <w:lang w:eastAsia="zh-CN"/>
              </w:rPr>
              <w:t>总承包商（机电）：</w:t>
            </w:r>
          </w:p>
        </w:tc>
        <w:tc>
          <w:tcPr>
            <w:tcW w:w="5954" w:type="dxa"/>
            <w:shd w:val="clear" w:color="auto" w:fill="auto"/>
            <w:vAlign w:val="center"/>
          </w:tcPr>
          <w:p>
            <w:pPr>
              <w:rPr>
                <w:color w:val="auto"/>
                <w:highlight w:val="none"/>
                <w:lang w:eastAsia="zh-CN"/>
              </w:rPr>
            </w:pPr>
            <w:r>
              <w:rPr>
                <w:color w:val="auto"/>
                <w:highlight w:val="none"/>
                <w:lang w:eastAsia="zh-CN"/>
              </w:rPr>
              <w:t>1）总承包负责为医疗专项工程单位预留给排水</w:t>
            </w:r>
            <w:r>
              <w:rPr>
                <w:rFonts w:hint="eastAsia"/>
                <w:color w:val="auto"/>
                <w:highlight w:val="none"/>
                <w:lang w:eastAsia="zh-CN"/>
              </w:rPr>
              <w:t>主</w:t>
            </w:r>
            <w:r>
              <w:rPr>
                <w:color w:val="auto"/>
                <w:highlight w:val="none"/>
                <w:lang w:eastAsia="zh-CN"/>
              </w:rPr>
              <w:t>管：给水预留至支管阀门</w:t>
            </w:r>
            <w:r>
              <w:rPr>
                <w:rFonts w:hint="eastAsia"/>
                <w:color w:val="auto"/>
                <w:highlight w:val="none"/>
                <w:lang w:eastAsia="zh-CN"/>
              </w:rPr>
              <w:t>或区域入口处</w:t>
            </w:r>
            <w:r>
              <w:rPr>
                <w:color w:val="auto"/>
                <w:highlight w:val="none"/>
                <w:lang w:eastAsia="zh-CN"/>
              </w:rPr>
              <w:t>。排水立管总承包预留排水立管三通及通气立管三通；后续末端施工均由医疗专项单位施工；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00" w:hRule="atLeast"/>
        </w:trPr>
        <w:tc>
          <w:tcPr>
            <w:tcW w:w="708" w:type="dxa"/>
            <w:vMerge w:val="restart"/>
            <w:shd w:val="clear" w:color="auto" w:fill="auto"/>
            <w:vAlign w:val="center"/>
          </w:tcPr>
          <w:p>
            <w:pPr>
              <w:rPr>
                <w:color w:val="auto"/>
                <w:highlight w:val="none"/>
              </w:rPr>
            </w:pPr>
            <w:r>
              <w:rPr>
                <w:rFonts w:hint="eastAsia"/>
                <w:color w:val="auto"/>
                <w:highlight w:val="none"/>
              </w:rPr>
              <w:t>3</w:t>
            </w:r>
          </w:p>
        </w:tc>
        <w:tc>
          <w:tcPr>
            <w:tcW w:w="1276" w:type="dxa"/>
            <w:vMerge w:val="restart"/>
            <w:shd w:val="clear" w:color="auto" w:fill="auto"/>
            <w:vAlign w:val="center"/>
          </w:tcPr>
          <w:p>
            <w:pPr>
              <w:rPr>
                <w:color w:val="auto"/>
                <w:highlight w:val="none"/>
              </w:rPr>
            </w:pPr>
            <w:r>
              <w:rPr>
                <w:rFonts w:hint="eastAsia"/>
                <w:color w:val="auto"/>
                <w:highlight w:val="none"/>
              </w:rPr>
              <w:t>消防专业</w:t>
            </w:r>
          </w:p>
        </w:tc>
        <w:tc>
          <w:tcPr>
            <w:tcW w:w="1559" w:type="dxa"/>
            <w:gridSpan w:val="3"/>
            <w:shd w:val="clear" w:color="auto" w:fill="auto"/>
            <w:vAlign w:val="center"/>
          </w:tcPr>
          <w:p>
            <w:pPr>
              <w:rPr>
                <w:color w:val="auto"/>
                <w:highlight w:val="none"/>
                <w:lang w:eastAsia="zh-CN"/>
              </w:rPr>
            </w:pPr>
            <w:r>
              <w:rPr>
                <w:rFonts w:hint="eastAsia"/>
                <w:color w:val="auto"/>
                <w:highlight w:val="none"/>
                <w:lang w:eastAsia="zh-CN" w:bidi="ar"/>
              </w:rPr>
              <w:t>医疗工艺及净化工程采购及安装承包商</w:t>
            </w:r>
          </w:p>
        </w:tc>
        <w:tc>
          <w:tcPr>
            <w:tcW w:w="5954" w:type="dxa"/>
            <w:shd w:val="clear" w:color="auto" w:fill="auto"/>
            <w:vAlign w:val="center"/>
          </w:tcPr>
          <w:p>
            <w:pPr>
              <w:rPr>
                <w:color w:val="auto"/>
                <w:highlight w:val="none"/>
                <w:lang w:eastAsia="zh-CN"/>
              </w:rPr>
            </w:pPr>
            <w:r>
              <w:rPr>
                <w:rFonts w:hint="eastAsia"/>
                <w:color w:val="auto"/>
                <w:highlight w:val="none"/>
                <w:lang w:eastAsia="zh-CN"/>
              </w:rPr>
              <w:t>1）区域内相关消防系统末端设备定位、开口（含检修口）、装修层开孔、封堵及收边收口等。</w:t>
            </w:r>
          </w:p>
          <w:p>
            <w:pPr>
              <w:rPr>
                <w:color w:val="auto"/>
                <w:highlight w:val="none"/>
                <w:lang w:eastAsia="zh-CN"/>
              </w:rPr>
            </w:pPr>
            <w:r>
              <w:rPr>
                <w:rFonts w:hint="eastAsia"/>
                <w:color w:val="auto"/>
                <w:highlight w:val="none"/>
                <w:lang w:eastAsia="zh-CN"/>
              </w:rPr>
              <w:t>2）配合相关单位对消防系统联动调试及验收。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42" w:hRule="atLeast"/>
        </w:trPr>
        <w:tc>
          <w:tcPr>
            <w:tcW w:w="708" w:type="dxa"/>
            <w:vMerge w:val="continue"/>
            <w:shd w:val="clear" w:color="auto" w:fill="auto"/>
            <w:vAlign w:val="center"/>
          </w:tcPr>
          <w:p>
            <w:pPr>
              <w:rPr>
                <w:color w:val="auto"/>
                <w:highlight w:val="none"/>
                <w:lang w:eastAsia="zh-CN"/>
              </w:rPr>
            </w:pPr>
          </w:p>
        </w:tc>
        <w:tc>
          <w:tcPr>
            <w:tcW w:w="1276" w:type="dxa"/>
            <w:vMerge w:val="continue"/>
            <w:shd w:val="clear" w:color="auto" w:fill="auto"/>
            <w:vAlign w:val="center"/>
          </w:tcPr>
          <w:p>
            <w:pPr>
              <w:rPr>
                <w:color w:val="auto"/>
                <w:highlight w:val="none"/>
                <w:lang w:eastAsia="zh-CN"/>
              </w:rPr>
            </w:pPr>
          </w:p>
        </w:tc>
        <w:tc>
          <w:tcPr>
            <w:tcW w:w="1559" w:type="dxa"/>
            <w:gridSpan w:val="3"/>
            <w:shd w:val="clear" w:color="auto" w:fill="auto"/>
            <w:vAlign w:val="center"/>
          </w:tcPr>
          <w:p>
            <w:pPr>
              <w:rPr>
                <w:color w:val="auto"/>
                <w:highlight w:val="none"/>
              </w:rPr>
            </w:pPr>
            <w:r>
              <w:rPr>
                <w:rFonts w:hint="eastAsia"/>
                <w:color w:val="auto"/>
                <w:highlight w:val="none"/>
                <w:lang w:eastAsia="zh-CN"/>
              </w:rPr>
              <w:t>消防工程</w:t>
            </w:r>
            <w:r>
              <w:rPr>
                <w:rFonts w:hint="eastAsia"/>
                <w:color w:val="auto"/>
                <w:highlight w:val="none"/>
              </w:rPr>
              <w:t>承包商</w:t>
            </w:r>
          </w:p>
        </w:tc>
        <w:tc>
          <w:tcPr>
            <w:tcW w:w="5954" w:type="dxa"/>
            <w:shd w:val="clear" w:color="auto" w:fill="auto"/>
            <w:vAlign w:val="center"/>
          </w:tcPr>
          <w:p>
            <w:pPr>
              <w:rPr>
                <w:color w:val="auto"/>
                <w:highlight w:val="none"/>
                <w:lang w:eastAsia="zh-CN"/>
              </w:rPr>
            </w:pPr>
            <w:r>
              <w:rPr>
                <w:color w:val="auto"/>
                <w:highlight w:val="none"/>
                <w:lang w:eastAsia="zh-CN"/>
              </w:rPr>
              <w:t>1</w:t>
            </w:r>
            <w:r>
              <w:rPr>
                <w:rFonts w:hint="eastAsia"/>
                <w:color w:val="auto"/>
                <w:highlight w:val="none"/>
                <w:lang w:eastAsia="zh-CN"/>
              </w:rPr>
              <w:t>）</w:t>
            </w:r>
            <w:r>
              <w:rPr>
                <w:color w:val="auto"/>
                <w:highlight w:val="none"/>
                <w:lang w:eastAsia="zh-CN"/>
              </w:rPr>
              <w:t>消防水系统（包括室内外消火栓系统、自动喷淋系统、水喷雾系统、高空水炮系统）、支吊架等材料设备的采购、安装及调试。</w:t>
            </w:r>
          </w:p>
          <w:p>
            <w:pPr>
              <w:rPr>
                <w:color w:val="auto"/>
                <w:highlight w:val="none"/>
                <w:lang w:eastAsia="zh-CN"/>
              </w:rPr>
            </w:pPr>
            <w:r>
              <w:rPr>
                <w:rFonts w:hint="eastAsia"/>
                <w:color w:val="auto"/>
                <w:highlight w:val="none"/>
                <w:lang w:eastAsia="zh-CN"/>
              </w:rPr>
              <w:t>2）为“医疗</w:t>
            </w:r>
            <w:r>
              <w:rPr>
                <w:color w:val="auto"/>
                <w:highlight w:val="none"/>
                <w:lang w:eastAsia="zh-CN"/>
              </w:rPr>
              <w:t>工艺及</w:t>
            </w:r>
            <w:r>
              <w:rPr>
                <w:rFonts w:hint="eastAsia"/>
                <w:color w:val="auto"/>
                <w:highlight w:val="none"/>
                <w:lang w:eastAsia="zh-CN"/>
              </w:rPr>
              <w:t>净化”承包商提供消防相关的管线安装空间需求、末端位置及相关检修孔位置及尺寸。</w:t>
            </w:r>
          </w:p>
          <w:p>
            <w:pPr>
              <w:rPr>
                <w:color w:val="auto"/>
                <w:highlight w:val="none"/>
                <w:lang w:eastAsia="zh-CN"/>
              </w:rPr>
            </w:pPr>
            <w:r>
              <w:rPr>
                <w:rFonts w:hint="eastAsia"/>
                <w:color w:val="auto"/>
                <w:highlight w:val="none"/>
                <w:lang w:eastAsia="zh-CN"/>
              </w:rPr>
              <w:t>3）区域内消防工程施工须得到业主、监理许可施工的指令后方可进行。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48" w:hRule="atLeast"/>
        </w:trPr>
        <w:tc>
          <w:tcPr>
            <w:tcW w:w="708" w:type="dxa"/>
            <w:vMerge w:val="restart"/>
            <w:shd w:val="clear" w:color="auto" w:fill="auto"/>
            <w:vAlign w:val="center"/>
          </w:tcPr>
          <w:p>
            <w:pPr>
              <w:rPr>
                <w:color w:val="auto"/>
                <w:highlight w:val="none"/>
              </w:rPr>
            </w:pPr>
            <w:r>
              <w:rPr>
                <w:rFonts w:hint="eastAsia"/>
                <w:color w:val="auto"/>
                <w:highlight w:val="none"/>
              </w:rPr>
              <w:t>4</w:t>
            </w:r>
          </w:p>
        </w:tc>
        <w:tc>
          <w:tcPr>
            <w:tcW w:w="1276" w:type="dxa"/>
            <w:vMerge w:val="restart"/>
            <w:shd w:val="clear" w:color="auto" w:fill="auto"/>
            <w:vAlign w:val="center"/>
          </w:tcPr>
          <w:p>
            <w:pPr>
              <w:rPr>
                <w:color w:val="auto"/>
                <w:highlight w:val="none"/>
                <w:lang w:eastAsia="zh-CN"/>
              </w:rPr>
            </w:pPr>
            <w:r>
              <w:rPr>
                <w:rFonts w:hint="eastAsia"/>
                <w:color w:val="auto"/>
                <w:highlight w:val="none"/>
                <w:lang w:eastAsia="zh-CN"/>
              </w:rPr>
              <w:t>综合支吊架、普通支吊架</w:t>
            </w:r>
          </w:p>
        </w:tc>
        <w:tc>
          <w:tcPr>
            <w:tcW w:w="1559" w:type="dxa"/>
            <w:gridSpan w:val="3"/>
            <w:shd w:val="clear" w:color="auto" w:fill="auto"/>
            <w:vAlign w:val="center"/>
          </w:tcPr>
          <w:p>
            <w:pPr>
              <w:rPr>
                <w:color w:val="auto"/>
                <w:highlight w:val="none"/>
                <w:lang w:eastAsia="zh-CN"/>
              </w:rPr>
            </w:pPr>
            <w:r>
              <w:rPr>
                <w:rFonts w:hint="eastAsia"/>
                <w:color w:val="auto"/>
                <w:highlight w:val="none"/>
                <w:lang w:eastAsia="zh-CN" w:bidi="ar"/>
              </w:rPr>
              <w:t>医疗工艺及净化工程采购及安装承包商</w:t>
            </w:r>
          </w:p>
        </w:tc>
        <w:tc>
          <w:tcPr>
            <w:tcW w:w="5954" w:type="dxa"/>
            <w:shd w:val="clear" w:color="auto" w:fill="auto"/>
            <w:vAlign w:val="center"/>
          </w:tcPr>
          <w:p>
            <w:pPr>
              <w:rPr>
                <w:color w:val="auto"/>
                <w:highlight w:val="none"/>
                <w:lang w:eastAsia="zh-CN"/>
              </w:rPr>
            </w:pPr>
            <w:r>
              <w:rPr>
                <w:rFonts w:hint="eastAsia"/>
                <w:color w:val="auto"/>
                <w:highlight w:val="none"/>
                <w:lang w:eastAsia="zh-CN"/>
              </w:rPr>
              <w:t>1）牵头、统筹安排深化医疗工艺及净化区域的管线综合布置及综合支吊架，其他机电相关承包商配合及复核，相关方需签字确认。负责医疗工艺及净化区域综合支吊架的采购、安装及调试。</w:t>
            </w:r>
          </w:p>
          <w:p>
            <w:pPr>
              <w:rPr>
                <w:color w:val="auto"/>
                <w:highlight w:val="none"/>
                <w:lang w:eastAsia="zh-CN"/>
              </w:rPr>
            </w:pPr>
            <w:r>
              <w:rPr>
                <w:color w:val="auto"/>
                <w:highlight w:val="none"/>
                <w:lang w:eastAsia="zh-CN"/>
              </w:rPr>
              <w:t>2</w:t>
            </w:r>
            <w:r>
              <w:rPr>
                <w:rFonts w:hint="eastAsia"/>
                <w:color w:val="auto"/>
                <w:highlight w:val="none"/>
                <w:lang w:eastAsia="zh-CN"/>
              </w:rPr>
              <w:t>）牵头组织各专业施工单位对安装图纸进行管线排布优化、受力情况分析、支架形式确定等，制定综合支吊架施工方案，绘制深化设计图纸，经业主、监理、设计审批同意后方可实施。</w:t>
            </w:r>
          </w:p>
          <w:p>
            <w:pPr>
              <w:rPr>
                <w:color w:val="auto"/>
                <w:highlight w:val="none"/>
                <w:lang w:eastAsia="zh-CN"/>
              </w:rPr>
            </w:pPr>
            <w:r>
              <w:rPr>
                <w:color w:val="auto"/>
                <w:highlight w:val="none"/>
                <w:lang w:eastAsia="zh-CN"/>
              </w:rPr>
              <w:t>3</w:t>
            </w:r>
            <w:r>
              <w:rPr>
                <w:rFonts w:hint="eastAsia"/>
                <w:color w:val="auto"/>
                <w:highlight w:val="none"/>
                <w:lang w:eastAsia="zh-CN"/>
              </w:rPr>
              <w:t>）综合分析确定需要使用成品综合支吊架的部位，并经业主、监理、设计同意。</w:t>
            </w:r>
          </w:p>
          <w:p>
            <w:pPr>
              <w:rPr>
                <w:color w:val="auto"/>
                <w:highlight w:val="none"/>
                <w:lang w:eastAsia="zh-CN"/>
              </w:rPr>
            </w:pPr>
            <w:r>
              <w:rPr>
                <w:color w:val="auto"/>
                <w:highlight w:val="none"/>
                <w:lang w:eastAsia="zh-CN"/>
              </w:rPr>
              <w:t>4</w:t>
            </w:r>
            <w:r>
              <w:rPr>
                <w:rFonts w:hint="eastAsia"/>
                <w:color w:val="auto"/>
                <w:highlight w:val="none"/>
                <w:lang w:eastAsia="zh-CN"/>
              </w:rPr>
              <w:t>）对综合支吊架范围以外的支吊架的采购、安装及调试，并对其进行受力分析、合理排布、优化设计、制定方案，经业主、监理确认以后方可施工。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38" w:hRule="atLeast"/>
        </w:trPr>
        <w:tc>
          <w:tcPr>
            <w:tcW w:w="708" w:type="dxa"/>
            <w:vMerge w:val="continue"/>
            <w:shd w:val="clear" w:color="auto" w:fill="auto"/>
            <w:vAlign w:val="center"/>
          </w:tcPr>
          <w:p>
            <w:pPr>
              <w:rPr>
                <w:color w:val="auto"/>
                <w:highlight w:val="none"/>
                <w:lang w:eastAsia="zh-CN"/>
              </w:rPr>
            </w:pPr>
          </w:p>
        </w:tc>
        <w:tc>
          <w:tcPr>
            <w:tcW w:w="1276" w:type="dxa"/>
            <w:vMerge w:val="continue"/>
            <w:shd w:val="clear" w:color="auto" w:fill="auto"/>
            <w:vAlign w:val="center"/>
          </w:tcPr>
          <w:p>
            <w:pPr>
              <w:rPr>
                <w:color w:val="auto"/>
                <w:highlight w:val="none"/>
                <w:lang w:eastAsia="zh-CN"/>
              </w:rPr>
            </w:pPr>
          </w:p>
        </w:tc>
        <w:tc>
          <w:tcPr>
            <w:tcW w:w="1559" w:type="dxa"/>
            <w:gridSpan w:val="3"/>
            <w:shd w:val="clear" w:color="auto" w:fill="auto"/>
            <w:vAlign w:val="center"/>
          </w:tcPr>
          <w:p>
            <w:pPr>
              <w:rPr>
                <w:color w:val="auto"/>
                <w:highlight w:val="none"/>
              </w:rPr>
            </w:pPr>
            <w:r>
              <w:rPr>
                <w:rFonts w:hint="eastAsia"/>
                <w:color w:val="auto"/>
                <w:highlight w:val="none"/>
              </w:rPr>
              <w:t>土建工程总承包商</w:t>
            </w:r>
          </w:p>
        </w:tc>
        <w:tc>
          <w:tcPr>
            <w:tcW w:w="5954" w:type="dxa"/>
            <w:shd w:val="clear" w:color="auto" w:fill="auto"/>
            <w:vAlign w:val="center"/>
          </w:tcPr>
          <w:p>
            <w:pPr>
              <w:rPr>
                <w:color w:val="auto"/>
                <w:highlight w:val="none"/>
                <w:lang w:eastAsia="zh-CN"/>
              </w:rPr>
            </w:pPr>
            <w:r>
              <w:rPr>
                <w:rFonts w:hint="eastAsia"/>
                <w:color w:val="auto"/>
                <w:highlight w:val="none"/>
                <w:lang w:eastAsia="zh-CN"/>
              </w:rPr>
              <w:t>1）负责深化自身承包范围内的管线布置，并与“医疗</w:t>
            </w:r>
            <w:r>
              <w:rPr>
                <w:color w:val="auto"/>
                <w:highlight w:val="none"/>
                <w:lang w:eastAsia="zh-CN"/>
              </w:rPr>
              <w:t>工艺及</w:t>
            </w:r>
            <w:r>
              <w:rPr>
                <w:rFonts w:hint="eastAsia"/>
                <w:color w:val="auto"/>
                <w:highlight w:val="none"/>
                <w:lang w:eastAsia="zh-CN"/>
              </w:rPr>
              <w:t>净化”承包商一起对综合支吊架设计进行复核，双方需签字确认。</w:t>
            </w:r>
          </w:p>
          <w:p>
            <w:pPr>
              <w:rPr>
                <w:color w:val="auto"/>
                <w:highlight w:val="none"/>
                <w:lang w:eastAsia="zh-CN"/>
              </w:rPr>
            </w:pPr>
            <w:r>
              <w:rPr>
                <w:rFonts w:hint="eastAsia"/>
                <w:color w:val="auto"/>
                <w:highlight w:val="none"/>
                <w:lang w:eastAsia="zh-CN"/>
              </w:rPr>
              <w:t>2）配合医疗</w:t>
            </w:r>
            <w:r>
              <w:rPr>
                <w:color w:val="auto"/>
                <w:highlight w:val="none"/>
                <w:lang w:eastAsia="zh-CN"/>
              </w:rPr>
              <w:t>工艺及净化承包商完成</w:t>
            </w:r>
            <w:r>
              <w:rPr>
                <w:rFonts w:hint="eastAsia"/>
                <w:color w:val="auto"/>
                <w:highlight w:val="none"/>
                <w:lang w:eastAsia="zh-CN"/>
              </w:rPr>
              <w:t>管线</w:t>
            </w:r>
            <w:r>
              <w:rPr>
                <w:color w:val="auto"/>
                <w:highlight w:val="none"/>
                <w:lang w:eastAsia="zh-CN"/>
              </w:rPr>
              <w:t>布置、综合支吊架的深化设计</w:t>
            </w:r>
            <w:r>
              <w:rPr>
                <w:rFonts w:hint="eastAsia"/>
                <w:color w:val="auto"/>
                <w:highlight w:val="none"/>
                <w:lang w:eastAsia="zh-CN"/>
              </w:rPr>
              <w:t>并</w:t>
            </w:r>
            <w:r>
              <w:rPr>
                <w:color w:val="auto"/>
                <w:highlight w:val="none"/>
                <w:lang w:eastAsia="zh-CN"/>
              </w:rPr>
              <w:t>复核</w:t>
            </w:r>
            <w:r>
              <w:rPr>
                <w:rFonts w:hint="eastAsia"/>
                <w:color w:val="auto"/>
                <w:highlight w:val="none"/>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0" w:hRule="atLeast"/>
        </w:trPr>
        <w:tc>
          <w:tcPr>
            <w:tcW w:w="708" w:type="dxa"/>
            <w:shd w:val="clear" w:color="auto" w:fill="auto"/>
            <w:vAlign w:val="center"/>
          </w:tcPr>
          <w:p>
            <w:pPr>
              <w:rPr>
                <w:color w:val="auto"/>
                <w:highlight w:val="none"/>
              </w:rPr>
            </w:pPr>
            <w:r>
              <w:rPr>
                <w:rFonts w:hint="eastAsia"/>
                <w:color w:val="auto"/>
                <w:highlight w:val="none"/>
              </w:rPr>
              <w:t>二</w:t>
            </w:r>
          </w:p>
        </w:tc>
        <w:tc>
          <w:tcPr>
            <w:tcW w:w="8789" w:type="dxa"/>
            <w:gridSpan w:val="5"/>
            <w:shd w:val="clear" w:color="auto" w:fill="auto"/>
            <w:vAlign w:val="center"/>
          </w:tcPr>
          <w:p>
            <w:pPr>
              <w:rPr>
                <w:color w:val="auto"/>
                <w:highlight w:val="none"/>
                <w:lang w:eastAsia="zh-CN"/>
              </w:rPr>
            </w:pPr>
            <w:r>
              <w:rPr>
                <w:rFonts w:hint="eastAsia"/>
                <w:color w:val="auto"/>
                <w:highlight w:val="none"/>
                <w:lang w:eastAsia="zh-CN" w:bidi="ar"/>
              </w:rPr>
              <w:t>医疗工艺及净化工程采购及安装承包商</w:t>
            </w:r>
            <w:r>
              <w:rPr>
                <w:rFonts w:hint="eastAsia"/>
                <w:color w:val="auto"/>
                <w:highlight w:val="none"/>
                <w:lang w:eastAsia="zh-CN"/>
              </w:rPr>
              <w:t>与机电承包商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0" w:hRule="atLeast"/>
        </w:trPr>
        <w:tc>
          <w:tcPr>
            <w:tcW w:w="708" w:type="dxa"/>
            <w:vMerge w:val="restart"/>
            <w:shd w:val="clear" w:color="auto" w:fill="auto"/>
            <w:vAlign w:val="center"/>
          </w:tcPr>
          <w:p>
            <w:pPr>
              <w:rPr>
                <w:color w:val="auto"/>
                <w:highlight w:val="none"/>
              </w:rPr>
            </w:pPr>
            <w:r>
              <w:rPr>
                <w:rFonts w:hint="eastAsia"/>
                <w:color w:val="auto"/>
                <w:highlight w:val="none"/>
              </w:rPr>
              <w:t>1</w:t>
            </w:r>
          </w:p>
        </w:tc>
        <w:tc>
          <w:tcPr>
            <w:tcW w:w="1276" w:type="dxa"/>
            <w:vMerge w:val="restart"/>
            <w:shd w:val="clear" w:color="auto" w:fill="auto"/>
            <w:vAlign w:val="center"/>
          </w:tcPr>
          <w:p>
            <w:pPr>
              <w:rPr>
                <w:color w:val="auto"/>
                <w:highlight w:val="none"/>
              </w:rPr>
            </w:pPr>
            <w:r>
              <w:rPr>
                <w:rFonts w:hint="eastAsia"/>
                <w:color w:val="auto"/>
                <w:highlight w:val="none"/>
              </w:rPr>
              <w:t>电气专业</w:t>
            </w:r>
          </w:p>
        </w:tc>
        <w:tc>
          <w:tcPr>
            <w:tcW w:w="1559" w:type="dxa"/>
            <w:gridSpan w:val="3"/>
            <w:shd w:val="clear" w:color="auto" w:fill="auto"/>
            <w:vAlign w:val="center"/>
          </w:tcPr>
          <w:p>
            <w:pPr>
              <w:rPr>
                <w:color w:val="auto"/>
                <w:highlight w:val="none"/>
                <w:lang w:eastAsia="zh-CN"/>
              </w:rPr>
            </w:pPr>
            <w:r>
              <w:rPr>
                <w:rFonts w:hint="eastAsia"/>
                <w:color w:val="auto"/>
                <w:highlight w:val="none"/>
                <w:lang w:eastAsia="zh-CN" w:bidi="ar"/>
              </w:rPr>
              <w:t>医疗工艺及净化工程采购及安装承包商</w:t>
            </w:r>
          </w:p>
        </w:tc>
        <w:tc>
          <w:tcPr>
            <w:tcW w:w="5954" w:type="dxa"/>
            <w:shd w:val="clear" w:color="auto" w:fill="auto"/>
            <w:vAlign w:val="center"/>
          </w:tcPr>
          <w:p>
            <w:pPr>
              <w:rPr>
                <w:color w:val="auto"/>
                <w:highlight w:val="none"/>
                <w:lang w:eastAsia="zh-CN"/>
              </w:rPr>
            </w:pPr>
            <w:r>
              <w:rPr>
                <w:rFonts w:hint="eastAsia"/>
                <w:color w:val="auto"/>
                <w:highlight w:val="none"/>
                <w:lang w:eastAsia="zh-CN"/>
              </w:rPr>
              <w:t>1）区域内的配电箱、隔离电源、UPS电源、六联控制器、线槽敷设、支吊架、线管敷设及开槽、线盒预留预埋、孔洞封堵、电线电缆敷设、观片灯、照明灯具、开关插座、插座箱、接地等材料设备的采购、安装及调试。</w:t>
            </w:r>
          </w:p>
          <w:p>
            <w:pPr>
              <w:rPr>
                <w:color w:val="auto"/>
                <w:highlight w:val="none"/>
                <w:lang w:eastAsia="zh-CN"/>
              </w:rPr>
            </w:pPr>
            <w:r>
              <w:rPr>
                <w:rFonts w:hint="eastAsia"/>
                <w:color w:val="auto"/>
                <w:highlight w:val="none"/>
                <w:lang w:eastAsia="zh-CN"/>
              </w:rPr>
              <w:t>2）需要从机电承包范围内引入动力电源的电线电缆、线管、线槽等材料设备的采购、安装及调试。</w:t>
            </w:r>
          </w:p>
          <w:p>
            <w:pPr>
              <w:rPr>
                <w:color w:val="auto"/>
                <w:highlight w:val="none"/>
                <w:lang w:eastAsia="zh-CN"/>
              </w:rPr>
            </w:pPr>
            <w:r>
              <w:rPr>
                <w:rFonts w:hint="eastAsia"/>
                <w:color w:val="auto"/>
                <w:highlight w:val="none"/>
                <w:lang w:eastAsia="zh-CN"/>
              </w:rPr>
              <w:t>3）需要从机电承包范围内引入照明电源的，就近引入相关电源系统。</w:t>
            </w:r>
          </w:p>
          <w:p>
            <w:pPr>
              <w:rPr>
                <w:color w:val="auto"/>
                <w:highlight w:val="none"/>
                <w:lang w:eastAsia="zh-CN"/>
              </w:rPr>
            </w:pPr>
            <w:r>
              <w:rPr>
                <w:color w:val="auto"/>
                <w:highlight w:val="none"/>
                <w:lang w:eastAsia="zh-CN"/>
              </w:rPr>
              <w:t>4）</w:t>
            </w:r>
            <w:r>
              <w:rPr>
                <w:rFonts w:hint="eastAsia"/>
                <w:color w:val="auto"/>
                <w:highlight w:val="none"/>
                <w:lang w:eastAsia="zh-CN"/>
              </w:rPr>
              <w:t>在机电总承包商配合下，在装饰面上为强弱电末端定位、开孔及收边收口等工作。</w:t>
            </w:r>
          </w:p>
          <w:p>
            <w:pPr>
              <w:rPr>
                <w:color w:val="auto"/>
                <w:highlight w:val="none"/>
                <w:lang w:eastAsia="zh-CN"/>
              </w:rPr>
            </w:pPr>
            <w:r>
              <w:rPr>
                <w:rFonts w:hint="eastAsia"/>
                <w:color w:val="auto"/>
                <w:highlight w:val="none"/>
                <w:lang w:eastAsia="zh-CN"/>
              </w:rPr>
              <w:t>6）为洁具感应器预埋线管、线盒、线路敷设等采购、安装及调试。</w:t>
            </w:r>
          </w:p>
          <w:p>
            <w:pPr>
              <w:rPr>
                <w:color w:val="auto"/>
                <w:highlight w:val="none"/>
                <w:lang w:eastAsia="zh-CN"/>
              </w:rPr>
            </w:pPr>
            <w:r>
              <w:rPr>
                <w:rFonts w:hint="eastAsia"/>
                <w:color w:val="auto"/>
                <w:highlight w:val="none"/>
                <w:lang w:eastAsia="zh-CN"/>
              </w:rPr>
              <w:t>7）屋面风机电源从机电总包安装的配电箱出线端端接连通；与土建总包预留的接地点连接。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8" w:hRule="atLeast"/>
        </w:trPr>
        <w:tc>
          <w:tcPr>
            <w:tcW w:w="708" w:type="dxa"/>
            <w:vMerge w:val="continue"/>
            <w:shd w:val="clear" w:color="auto" w:fill="auto"/>
            <w:vAlign w:val="center"/>
          </w:tcPr>
          <w:p>
            <w:pPr>
              <w:rPr>
                <w:color w:val="auto"/>
                <w:highlight w:val="none"/>
                <w:lang w:eastAsia="zh-CN"/>
              </w:rPr>
            </w:pPr>
          </w:p>
        </w:tc>
        <w:tc>
          <w:tcPr>
            <w:tcW w:w="1276" w:type="dxa"/>
            <w:vMerge w:val="continue"/>
            <w:shd w:val="clear" w:color="auto" w:fill="auto"/>
            <w:vAlign w:val="center"/>
          </w:tcPr>
          <w:p>
            <w:pPr>
              <w:rPr>
                <w:color w:val="auto"/>
                <w:highlight w:val="none"/>
                <w:lang w:eastAsia="zh-CN"/>
              </w:rPr>
            </w:pPr>
          </w:p>
        </w:tc>
        <w:tc>
          <w:tcPr>
            <w:tcW w:w="1559" w:type="dxa"/>
            <w:gridSpan w:val="3"/>
            <w:shd w:val="clear" w:color="auto" w:fill="auto"/>
            <w:vAlign w:val="center"/>
          </w:tcPr>
          <w:p>
            <w:pPr>
              <w:rPr>
                <w:color w:val="auto"/>
                <w:highlight w:val="none"/>
              </w:rPr>
            </w:pPr>
            <w:r>
              <w:rPr>
                <w:rFonts w:hint="eastAsia"/>
                <w:color w:val="auto"/>
                <w:highlight w:val="none"/>
              </w:rPr>
              <w:t>机电承包商</w:t>
            </w:r>
          </w:p>
        </w:tc>
        <w:tc>
          <w:tcPr>
            <w:tcW w:w="5954" w:type="dxa"/>
            <w:shd w:val="clear" w:color="auto" w:fill="auto"/>
            <w:vAlign w:val="center"/>
          </w:tcPr>
          <w:p>
            <w:pPr>
              <w:rPr>
                <w:color w:val="auto"/>
                <w:highlight w:val="none"/>
                <w:lang w:eastAsia="zh-CN"/>
              </w:rPr>
            </w:pPr>
            <w:r>
              <w:rPr>
                <w:rFonts w:hint="eastAsia"/>
                <w:color w:val="auto"/>
                <w:highlight w:val="none"/>
                <w:lang w:eastAsia="zh-CN"/>
              </w:rPr>
              <w:t>1）“路过”本区域内（但不属于）的电线电缆、线管、线槽及接地母线（含跨接）、开槽及修复、孔洞预留等材料的采购、安装及调试。</w:t>
            </w:r>
          </w:p>
          <w:p>
            <w:pPr>
              <w:rPr>
                <w:color w:val="auto"/>
                <w:highlight w:val="none"/>
                <w:lang w:eastAsia="zh-CN"/>
              </w:rPr>
            </w:pPr>
            <w:r>
              <w:rPr>
                <w:rFonts w:hint="eastAsia"/>
                <w:color w:val="auto"/>
                <w:highlight w:val="none"/>
                <w:lang w:eastAsia="zh-CN"/>
              </w:rPr>
              <w:t>2）从高低压配电室到本区域内的电缆敷设至该区域配电（柜）箱进线端并端接。</w:t>
            </w:r>
          </w:p>
          <w:p>
            <w:pPr>
              <w:rPr>
                <w:color w:val="auto"/>
                <w:highlight w:val="none"/>
                <w:lang w:eastAsia="zh-CN"/>
              </w:rPr>
            </w:pPr>
            <w:r>
              <w:rPr>
                <w:rFonts w:hint="eastAsia"/>
                <w:color w:val="auto"/>
                <w:highlight w:val="none"/>
                <w:lang w:eastAsia="zh-CN"/>
              </w:rPr>
              <w:t>3）到本区域内桥架、线槽接入区域内配电（柜）箱。</w:t>
            </w:r>
          </w:p>
          <w:p>
            <w:pPr>
              <w:rPr>
                <w:color w:val="auto"/>
                <w:highlight w:val="none"/>
                <w:lang w:eastAsia="zh-CN"/>
              </w:rPr>
            </w:pPr>
            <w:r>
              <w:rPr>
                <w:rFonts w:hint="eastAsia"/>
                <w:color w:val="auto"/>
                <w:highlight w:val="none"/>
                <w:lang w:eastAsia="zh-CN"/>
              </w:rPr>
              <w:t>4）配合“净化”承包商绘制强弱电末端排版定位图。</w:t>
            </w:r>
          </w:p>
          <w:p>
            <w:pPr>
              <w:rPr>
                <w:color w:val="auto"/>
                <w:highlight w:val="none"/>
                <w:lang w:eastAsia="zh-CN"/>
              </w:rPr>
            </w:pPr>
            <w:r>
              <w:rPr>
                <w:rFonts w:hint="eastAsia"/>
                <w:color w:val="auto"/>
                <w:highlight w:val="none"/>
                <w:lang w:eastAsia="zh-CN"/>
              </w:rPr>
              <w:t>5）配合“净化”承包商在装饰面上为强弱电末端定位、开孔及收边收口等工作。</w:t>
            </w:r>
          </w:p>
          <w:p>
            <w:pPr>
              <w:rPr>
                <w:color w:val="auto"/>
                <w:highlight w:val="none"/>
                <w:lang w:eastAsia="zh-CN"/>
              </w:rPr>
            </w:pPr>
          </w:p>
          <w:p>
            <w:pPr>
              <w:rPr>
                <w:color w:val="auto"/>
                <w:highlight w:val="none"/>
                <w:lang w:eastAsia="zh-CN"/>
              </w:rPr>
            </w:pPr>
            <w:r>
              <w:rPr>
                <w:color w:val="auto"/>
                <w:highlight w:val="none"/>
                <w:lang w:eastAsia="zh-CN"/>
              </w:rPr>
              <w:t>6</w:t>
            </w:r>
            <w:r>
              <w:rPr>
                <w:rFonts w:hint="eastAsia"/>
                <w:color w:val="auto"/>
                <w:highlight w:val="none"/>
                <w:lang w:eastAsia="zh-CN"/>
              </w:rPr>
              <w:t>）为“净化”承包商提供屋面风机电源接线端子。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7" w:hRule="atLeast"/>
        </w:trPr>
        <w:tc>
          <w:tcPr>
            <w:tcW w:w="708" w:type="dxa"/>
            <w:vMerge w:val="restart"/>
            <w:shd w:val="clear" w:color="auto" w:fill="auto"/>
            <w:vAlign w:val="center"/>
          </w:tcPr>
          <w:p>
            <w:pPr>
              <w:rPr>
                <w:color w:val="auto"/>
                <w:highlight w:val="none"/>
              </w:rPr>
            </w:pPr>
            <w:r>
              <w:rPr>
                <w:rFonts w:hint="eastAsia"/>
                <w:color w:val="auto"/>
                <w:highlight w:val="none"/>
              </w:rPr>
              <w:t>2</w:t>
            </w:r>
          </w:p>
        </w:tc>
        <w:tc>
          <w:tcPr>
            <w:tcW w:w="1276" w:type="dxa"/>
            <w:vMerge w:val="restart"/>
            <w:shd w:val="clear" w:color="auto" w:fill="auto"/>
            <w:vAlign w:val="center"/>
          </w:tcPr>
          <w:p>
            <w:pPr>
              <w:rPr>
                <w:color w:val="auto"/>
                <w:highlight w:val="none"/>
              </w:rPr>
            </w:pPr>
            <w:r>
              <w:rPr>
                <w:rFonts w:hint="eastAsia"/>
                <w:color w:val="auto"/>
                <w:highlight w:val="none"/>
              </w:rPr>
              <w:t>通风空调专业</w:t>
            </w:r>
          </w:p>
        </w:tc>
        <w:tc>
          <w:tcPr>
            <w:tcW w:w="1559" w:type="dxa"/>
            <w:gridSpan w:val="3"/>
            <w:shd w:val="clear" w:color="auto" w:fill="auto"/>
            <w:vAlign w:val="center"/>
          </w:tcPr>
          <w:p>
            <w:pPr>
              <w:rPr>
                <w:color w:val="auto"/>
                <w:highlight w:val="none"/>
                <w:lang w:eastAsia="zh-CN"/>
              </w:rPr>
            </w:pPr>
            <w:r>
              <w:rPr>
                <w:rFonts w:hint="eastAsia"/>
                <w:color w:val="auto"/>
                <w:highlight w:val="none"/>
                <w:lang w:eastAsia="zh-CN" w:bidi="ar"/>
              </w:rPr>
              <w:t>医疗工艺及净化工程采购及安装承包商</w:t>
            </w:r>
          </w:p>
        </w:tc>
        <w:tc>
          <w:tcPr>
            <w:tcW w:w="5954" w:type="dxa"/>
            <w:shd w:val="clear" w:color="auto" w:fill="auto"/>
            <w:vAlign w:val="center"/>
          </w:tcPr>
          <w:p>
            <w:pPr>
              <w:rPr>
                <w:color w:val="auto"/>
                <w:highlight w:val="none"/>
                <w:lang w:eastAsia="zh-CN"/>
              </w:rPr>
            </w:pPr>
            <w:r>
              <w:rPr>
                <w:color w:val="auto"/>
                <w:highlight w:val="none"/>
                <w:lang w:eastAsia="zh-CN"/>
              </w:rPr>
              <w:t>1</w:t>
            </w:r>
            <w:r>
              <w:rPr>
                <w:rFonts w:hint="eastAsia"/>
                <w:color w:val="auto"/>
                <w:highlight w:val="none"/>
                <w:lang w:eastAsia="zh-CN"/>
              </w:rPr>
              <w:t>）医疗</w:t>
            </w:r>
            <w:r>
              <w:rPr>
                <w:color w:val="auto"/>
                <w:highlight w:val="none"/>
                <w:lang w:eastAsia="zh-CN"/>
              </w:rPr>
              <w:t>工艺及净化</w:t>
            </w:r>
            <w:r>
              <w:rPr>
                <w:rFonts w:hint="eastAsia"/>
                <w:color w:val="auto"/>
                <w:highlight w:val="none"/>
                <w:lang w:eastAsia="zh-CN"/>
              </w:rPr>
              <w:t>区域</w:t>
            </w:r>
            <w:r>
              <w:rPr>
                <w:color w:val="auto"/>
                <w:highlight w:val="none"/>
                <w:lang w:eastAsia="zh-CN"/>
              </w:rPr>
              <w:t>的</w:t>
            </w:r>
            <w:r>
              <w:rPr>
                <w:rFonts w:hint="eastAsia"/>
                <w:color w:val="auto"/>
                <w:highlight w:val="none"/>
                <w:lang w:eastAsia="zh-CN"/>
              </w:rPr>
              <w:t>专用</w:t>
            </w:r>
            <w:r>
              <w:rPr>
                <w:color w:val="auto"/>
                <w:highlight w:val="none"/>
                <w:lang w:eastAsia="zh-CN"/>
              </w:rPr>
              <w:t>空调、</w:t>
            </w:r>
            <w:r>
              <w:rPr>
                <w:rFonts w:hint="eastAsia"/>
                <w:color w:val="auto"/>
                <w:highlight w:val="none"/>
                <w:lang w:eastAsia="zh-CN"/>
              </w:rPr>
              <w:t>空调水、风系统</w:t>
            </w:r>
            <w:r>
              <w:rPr>
                <w:color w:val="auto"/>
                <w:highlight w:val="none"/>
                <w:lang w:eastAsia="zh-CN"/>
              </w:rPr>
              <w:t>等</w:t>
            </w:r>
            <w:r>
              <w:rPr>
                <w:rFonts w:hint="eastAsia"/>
                <w:color w:val="auto"/>
                <w:highlight w:val="none"/>
                <w:lang w:eastAsia="zh-CN"/>
              </w:rPr>
              <w:t>采购、安装及调试。</w:t>
            </w:r>
          </w:p>
          <w:p>
            <w:pPr>
              <w:rPr>
                <w:color w:val="auto"/>
                <w:highlight w:val="none"/>
                <w:lang w:eastAsia="zh-CN"/>
              </w:rPr>
            </w:pPr>
            <w:r>
              <w:rPr>
                <w:color w:val="auto"/>
                <w:highlight w:val="none"/>
                <w:lang w:eastAsia="zh-CN"/>
              </w:rPr>
              <w:t>2</w:t>
            </w:r>
            <w:r>
              <w:rPr>
                <w:rFonts w:hint="eastAsia"/>
                <w:color w:val="auto"/>
                <w:highlight w:val="none"/>
                <w:lang w:eastAsia="zh-CN"/>
              </w:rPr>
              <w:t>）完成由机电承包商按图示位置提供的空调水系统管道的接驳安装。</w:t>
            </w:r>
          </w:p>
          <w:p>
            <w:pPr>
              <w:rPr>
                <w:color w:val="auto"/>
                <w:highlight w:val="none"/>
                <w:lang w:eastAsia="zh-CN"/>
              </w:rPr>
            </w:pPr>
            <w:r>
              <w:rPr>
                <w:color w:val="auto"/>
                <w:highlight w:val="none"/>
                <w:lang w:eastAsia="zh-CN"/>
              </w:rPr>
              <w:t>3</w:t>
            </w:r>
            <w:r>
              <w:rPr>
                <w:rFonts w:hint="eastAsia"/>
                <w:color w:val="auto"/>
                <w:highlight w:val="none"/>
                <w:lang w:eastAsia="zh-CN"/>
              </w:rPr>
              <w:t>）区域</w:t>
            </w:r>
            <w:r>
              <w:rPr>
                <w:color w:val="auto"/>
                <w:highlight w:val="none"/>
                <w:lang w:eastAsia="zh-CN"/>
              </w:rPr>
              <w:t>内</w:t>
            </w:r>
            <w:r>
              <w:rPr>
                <w:rFonts w:hint="eastAsia"/>
                <w:color w:val="auto"/>
                <w:highlight w:val="none"/>
                <w:lang w:eastAsia="zh-CN"/>
              </w:rPr>
              <w:t>空调系统设备机房的设备基础（屋面设备基础除外）采购和施工。</w:t>
            </w:r>
          </w:p>
          <w:p>
            <w:pPr>
              <w:rPr>
                <w:color w:val="auto"/>
                <w:highlight w:val="none"/>
                <w:lang w:eastAsia="zh-CN"/>
              </w:rPr>
            </w:pPr>
            <w:r>
              <w:rPr>
                <w:color w:val="auto"/>
                <w:highlight w:val="none"/>
                <w:lang w:eastAsia="zh-CN"/>
              </w:rPr>
              <w:t>4</w:t>
            </w:r>
            <w:r>
              <w:rPr>
                <w:rFonts w:hint="eastAsia"/>
                <w:color w:val="auto"/>
                <w:highlight w:val="none"/>
                <w:lang w:eastAsia="zh-CN"/>
              </w:rPr>
              <w:t>）“净化”空调控制系统及其设备、缆线、线管的采购、运输、安装、调试与验收。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7" w:hRule="atLeast"/>
        </w:trPr>
        <w:tc>
          <w:tcPr>
            <w:tcW w:w="708" w:type="dxa"/>
            <w:vMerge w:val="continue"/>
            <w:shd w:val="clear" w:color="auto" w:fill="auto"/>
            <w:vAlign w:val="center"/>
          </w:tcPr>
          <w:p>
            <w:pPr>
              <w:rPr>
                <w:color w:val="auto"/>
                <w:highlight w:val="none"/>
                <w:lang w:eastAsia="zh-CN"/>
              </w:rPr>
            </w:pPr>
          </w:p>
        </w:tc>
        <w:tc>
          <w:tcPr>
            <w:tcW w:w="1276" w:type="dxa"/>
            <w:vMerge w:val="continue"/>
            <w:shd w:val="clear" w:color="auto" w:fill="auto"/>
            <w:vAlign w:val="center"/>
          </w:tcPr>
          <w:p>
            <w:pPr>
              <w:rPr>
                <w:color w:val="auto"/>
                <w:highlight w:val="none"/>
                <w:lang w:eastAsia="zh-CN"/>
              </w:rPr>
            </w:pPr>
          </w:p>
        </w:tc>
        <w:tc>
          <w:tcPr>
            <w:tcW w:w="1559" w:type="dxa"/>
            <w:gridSpan w:val="3"/>
            <w:shd w:val="clear" w:color="auto" w:fill="auto"/>
            <w:vAlign w:val="center"/>
          </w:tcPr>
          <w:p>
            <w:pPr>
              <w:rPr>
                <w:color w:val="auto"/>
                <w:highlight w:val="none"/>
              </w:rPr>
            </w:pPr>
            <w:r>
              <w:rPr>
                <w:rFonts w:hint="eastAsia"/>
                <w:color w:val="auto"/>
                <w:highlight w:val="none"/>
              </w:rPr>
              <w:t>机电承包商</w:t>
            </w:r>
          </w:p>
        </w:tc>
        <w:tc>
          <w:tcPr>
            <w:tcW w:w="5954" w:type="dxa"/>
            <w:shd w:val="clear" w:color="auto" w:fill="auto"/>
            <w:vAlign w:val="center"/>
          </w:tcPr>
          <w:p>
            <w:pPr>
              <w:rPr>
                <w:color w:val="auto"/>
                <w:highlight w:val="none"/>
                <w:lang w:eastAsia="zh-CN"/>
              </w:rPr>
            </w:pPr>
            <w:r>
              <w:rPr>
                <w:rFonts w:hint="eastAsia"/>
                <w:color w:val="auto"/>
                <w:highlight w:val="none"/>
                <w:lang w:eastAsia="zh-CN"/>
              </w:rPr>
              <w:t>1）供给“净化”区域的冷热源空调水系统管道施工至图纸指定位置并安装阀门。</w:t>
            </w:r>
          </w:p>
          <w:p>
            <w:pPr>
              <w:rPr>
                <w:color w:val="auto"/>
                <w:highlight w:val="none"/>
                <w:lang w:eastAsia="zh-CN"/>
              </w:rPr>
            </w:pPr>
            <w:r>
              <w:rPr>
                <w:color w:val="auto"/>
                <w:highlight w:val="none"/>
                <w:lang w:eastAsia="zh-CN"/>
              </w:rPr>
              <w:t>2</w:t>
            </w:r>
            <w:r>
              <w:rPr>
                <w:rFonts w:hint="eastAsia"/>
                <w:color w:val="auto"/>
                <w:highlight w:val="none"/>
                <w:lang w:eastAsia="zh-CN"/>
              </w:rPr>
              <w:t>）从“净化”区域“路过”的空调水管、蒸汽管、热水管等机电管线按图纸施工完成。</w:t>
            </w:r>
          </w:p>
          <w:p>
            <w:pPr>
              <w:rPr>
                <w:color w:val="auto"/>
                <w:highlight w:val="none"/>
                <w:lang w:eastAsia="zh-CN"/>
              </w:rPr>
            </w:pPr>
            <w:r>
              <w:rPr>
                <w:color w:val="auto"/>
                <w:highlight w:val="none"/>
                <w:lang w:eastAsia="zh-CN"/>
              </w:rPr>
              <w:t>3</w:t>
            </w:r>
            <w:r>
              <w:rPr>
                <w:rFonts w:hint="eastAsia"/>
                <w:color w:val="auto"/>
                <w:highlight w:val="none"/>
                <w:lang w:eastAsia="zh-CN"/>
              </w:rPr>
              <w:t>）防排烟系统的风机、风管、防火阀、保温等材料的采购、安装及调试。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5" w:hRule="atLeast"/>
        </w:trPr>
        <w:tc>
          <w:tcPr>
            <w:tcW w:w="708" w:type="dxa"/>
            <w:shd w:val="clear" w:color="auto" w:fill="auto"/>
            <w:vAlign w:val="center"/>
          </w:tcPr>
          <w:p>
            <w:pPr>
              <w:rPr>
                <w:color w:val="auto"/>
                <w:highlight w:val="none"/>
              </w:rPr>
            </w:pPr>
            <w:r>
              <w:rPr>
                <w:rFonts w:hint="eastAsia"/>
                <w:color w:val="auto"/>
                <w:highlight w:val="none"/>
              </w:rPr>
              <w:t>三</w:t>
            </w:r>
          </w:p>
        </w:tc>
        <w:tc>
          <w:tcPr>
            <w:tcW w:w="8789" w:type="dxa"/>
            <w:gridSpan w:val="5"/>
            <w:shd w:val="clear" w:color="auto" w:fill="auto"/>
            <w:vAlign w:val="center"/>
          </w:tcPr>
          <w:p>
            <w:pPr>
              <w:rPr>
                <w:color w:val="auto"/>
                <w:highlight w:val="none"/>
                <w:lang w:eastAsia="zh-CN"/>
              </w:rPr>
            </w:pPr>
            <w:r>
              <w:rPr>
                <w:rFonts w:hint="eastAsia"/>
                <w:color w:val="auto"/>
                <w:highlight w:val="none"/>
                <w:lang w:eastAsia="zh-CN" w:bidi="ar"/>
              </w:rPr>
              <w:t>医疗工艺及净化工程采购及安装承包商</w:t>
            </w:r>
            <w:r>
              <w:rPr>
                <w:rFonts w:hint="eastAsia"/>
                <w:color w:val="auto"/>
                <w:highlight w:val="none"/>
                <w:lang w:eastAsia="zh-CN"/>
              </w:rPr>
              <w:t>与精装修承包商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56" w:hRule="atLeast"/>
        </w:trPr>
        <w:tc>
          <w:tcPr>
            <w:tcW w:w="708" w:type="dxa"/>
            <w:vMerge w:val="restart"/>
            <w:shd w:val="clear" w:color="auto" w:fill="auto"/>
            <w:vAlign w:val="center"/>
          </w:tcPr>
          <w:p>
            <w:pPr>
              <w:rPr>
                <w:color w:val="auto"/>
                <w:highlight w:val="none"/>
              </w:rPr>
            </w:pPr>
            <w:r>
              <w:rPr>
                <w:rFonts w:hint="eastAsia"/>
                <w:color w:val="auto"/>
                <w:highlight w:val="none"/>
              </w:rPr>
              <w:t>1</w:t>
            </w:r>
          </w:p>
        </w:tc>
        <w:tc>
          <w:tcPr>
            <w:tcW w:w="2098" w:type="dxa"/>
            <w:gridSpan w:val="2"/>
            <w:shd w:val="clear" w:color="auto" w:fill="auto"/>
            <w:vAlign w:val="center"/>
          </w:tcPr>
          <w:p>
            <w:pPr>
              <w:rPr>
                <w:color w:val="auto"/>
                <w:highlight w:val="none"/>
                <w:lang w:eastAsia="zh-CN"/>
              </w:rPr>
            </w:pPr>
            <w:r>
              <w:rPr>
                <w:rFonts w:hint="eastAsia"/>
                <w:color w:val="auto"/>
                <w:highlight w:val="none"/>
                <w:lang w:eastAsia="zh-CN" w:bidi="ar"/>
              </w:rPr>
              <w:t>广东医科大学附属医院海东院区（一期）医疗工艺及净化工程采购及安装承包商</w:t>
            </w:r>
          </w:p>
        </w:tc>
        <w:tc>
          <w:tcPr>
            <w:tcW w:w="6691" w:type="dxa"/>
            <w:gridSpan w:val="3"/>
            <w:shd w:val="clear" w:color="auto" w:fill="auto"/>
            <w:vAlign w:val="center"/>
          </w:tcPr>
          <w:p>
            <w:pPr>
              <w:rPr>
                <w:color w:val="auto"/>
                <w:highlight w:val="none"/>
                <w:lang w:eastAsia="zh-CN"/>
              </w:rPr>
            </w:pPr>
            <w:r>
              <w:rPr>
                <w:rFonts w:hint="eastAsia"/>
                <w:color w:val="auto"/>
                <w:highlight w:val="none"/>
                <w:lang w:eastAsia="zh-CN"/>
              </w:rPr>
              <w:t>1）区域内装修及分界墙内侧的装饰施工，分界墙（仅轻质隔墙）的施工。</w:t>
            </w:r>
          </w:p>
          <w:p>
            <w:pPr>
              <w:rPr>
                <w:color w:val="auto"/>
                <w:highlight w:val="none"/>
                <w:lang w:eastAsia="zh-CN"/>
              </w:rPr>
            </w:pPr>
            <w:r>
              <w:rPr>
                <w:color w:val="auto"/>
                <w:highlight w:val="none"/>
                <w:lang w:eastAsia="zh-CN"/>
              </w:rPr>
              <w:t>2</w:t>
            </w:r>
            <w:r>
              <w:rPr>
                <w:rFonts w:hint="eastAsia"/>
                <w:color w:val="auto"/>
                <w:highlight w:val="none"/>
                <w:lang w:eastAsia="zh-CN"/>
              </w:rPr>
              <w:t>)负责“净化”区域内防火门的收边收口工作。</w:t>
            </w:r>
          </w:p>
          <w:p>
            <w:pPr>
              <w:pStyle w:val="2"/>
              <w:rPr>
                <w:color w:val="auto"/>
                <w:highlight w:val="none"/>
                <w:lang w:eastAsia="zh-CN"/>
              </w:rPr>
            </w:pPr>
            <w:r>
              <w:rPr>
                <w:color w:val="auto"/>
                <w:highlight w:val="none"/>
                <w:lang w:eastAsia="zh-CN"/>
              </w:rPr>
              <w:t>3</w:t>
            </w:r>
            <w:r>
              <w:rPr>
                <w:rFonts w:hint="eastAsia"/>
                <w:color w:val="auto"/>
                <w:highlight w:val="none"/>
                <w:lang w:eastAsia="zh-CN"/>
              </w:rPr>
              <w:t>）分界墙上窗（除防火窗和外立面窗外）的采购和安装、塞缝和收边收口</w:t>
            </w:r>
          </w:p>
          <w:p>
            <w:pPr>
              <w:pStyle w:val="2"/>
              <w:rPr>
                <w:color w:val="auto"/>
                <w:highlight w:val="none"/>
                <w:lang w:eastAsia="zh-CN"/>
              </w:rPr>
            </w:pPr>
            <w:r>
              <w:rPr>
                <w:color w:val="auto"/>
                <w:highlight w:val="none"/>
                <w:lang w:eastAsia="zh-CN"/>
              </w:rPr>
              <w:t>4</w:t>
            </w:r>
            <w:r>
              <w:rPr>
                <w:rFonts w:hint="eastAsia"/>
                <w:color w:val="auto"/>
                <w:highlight w:val="none"/>
                <w:lang w:eastAsia="zh-CN"/>
              </w:rPr>
              <w:t>）分界墙上门（除防火门和外立面门外）的采购和安装、塞缝和内侧的收边收口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45" w:hRule="atLeast"/>
        </w:trPr>
        <w:tc>
          <w:tcPr>
            <w:tcW w:w="708" w:type="dxa"/>
            <w:vMerge w:val="continue"/>
            <w:shd w:val="clear" w:color="auto" w:fill="auto"/>
            <w:vAlign w:val="center"/>
          </w:tcPr>
          <w:p>
            <w:pPr>
              <w:rPr>
                <w:color w:val="auto"/>
                <w:highlight w:val="none"/>
                <w:lang w:eastAsia="zh-CN"/>
              </w:rPr>
            </w:pPr>
          </w:p>
        </w:tc>
        <w:tc>
          <w:tcPr>
            <w:tcW w:w="2098" w:type="dxa"/>
            <w:gridSpan w:val="2"/>
            <w:shd w:val="clear" w:color="auto" w:fill="auto"/>
            <w:vAlign w:val="center"/>
          </w:tcPr>
          <w:p>
            <w:pPr>
              <w:rPr>
                <w:color w:val="auto"/>
                <w:highlight w:val="none"/>
              </w:rPr>
            </w:pPr>
            <w:r>
              <w:rPr>
                <w:rFonts w:hint="eastAsia"/>
                <w:color w:val="auto"/>
                <w:highlight w:val="none"/>
              </w:rPr>
              <w:t>精装修承包商</w:t>
            </w:r>
          </w:p>
        </w:tc>
        <w:tc>
          <w:tcPr>
            <w:tcW w:w="6691" w:type="dxa"/>
            <w:gridSpan w:val="3"/>
            <w:shd w:val="clear" w:color="auto" w:fill="auto"/>
            <w:vAlign w:val="center"/>
          </w:tcPr>
          <w:p>
            <w:pPr>
              <w:rPr>
                <w:color w:val="auto"/>
                <w:highlight w:val="none"/>
                <w:lang w:eastAsia="zh-CN"/>
              </w:rPr>
            </w:pPr>
            <w:r>
              <w:rPr>
                <w:rFonts w:hint="eastAsia"/>
                <w:color w:val="auto"/>
                <w:highlight w:val="none"/>
                <w:lang w:eastAsia="zh-CN"/>
              </w:rPr>
              <w:t>1) 精装与净化区域分界墙精装侧的装修施工、收边收口。</w:t>
            </w:r>
          </w:p>
          <w:p>
            <w:pPr>
              <w:rPr>
                <w:color w:val="auto"/>
                <w:highlight w:val="none"/>
                <w:lang w:eastAsia="zh-CN"/>
              </w:rPr>
            </w:pPr>
            <w:r>
              <w:rPr>
                <w:rFonts w:hint="eastAsia"/>
                <w:color w:val="auto"/>
                <w:highlight w:val="none"/>
                <w:lang w:eastAsia="zh-CN"/>
              </w:rPr>
              <w:t>2）分界墙上的门槛石安装和收边收口。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2" w:hRule="atLeast"/>
        </w:trPr>
        <w:tc>
          <w:tcPr>
            <w:tcW w:w="708" w:type="dxa"/>
            <w:shd w:val="clear" w:color="auto" w:fill="auto"/>
            <w:vAlign w:val="center"/>
          </w:tcPr>
          <w:p>
            <w:pPr>
              <w:rPr>
                <w:color w:val="auto"/>
                <w:highlight w:val="none"/>
              </w:rPr>
            </w:pPr>
            <w:r>
              <w:rPr>
                <w:rFonts w:hint="eastAsia"/>
                <w:color w:val="auto"/>
                <w:highlight w:val="none"/>
              </w:rPr>
              <w:t>四</w:t>
            </w:r>
          </w:p>
        </w:tc>
        <w:tc>
          <w:tcPr>
            <w:tcW w:w="8789" w:type="dxa"/>
            <w:gridSpan w:val="5"/>
            <w:shd w:val="clear" w:color="auto" w:fill="auto"/>
            <w:vAlign w:val="center"/>
          </w:tcPr>
          <w:p>
            <w:pPr>
              <w:rPr>
                <w:color w:val="auto"/>
                <w:highlight w:val="none"/>
                <w:lang w:eastAsia="zh-CN"/>
              </w:rPr>
            </w:pPr>
            <w:r>
              <w:rPr>
                <w:rFonts w:hint="eastAsia"/>
                <w:color w:val="auto"/>
                <w:highlight w:val="none"/>
                <w:lang w:eastAsia="zh-CN" w:bidi="ar"/>
              </w:rPr>
              <w:t>医疗工艺及净化工程采购及安装承包商</w:t>
            </w:r>
            <w:r>
              <w:rPr>
                <w:rFonts w:hint="eastAsia"/>
                <w:color w:val="auto"/>
                <w:highlight w:val="none"/>
                <w:lang w:eastAsia="zh-CN"/>
              </w:rPr>
              <w:t>与智能化专业承包商界面划分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trPr>
        <w:tc>
          <w:tcPr>
            <w:tcW w:w="708" w:type="dxa"/>
            <w:vMerge w:val="restart"/>
            <w:shd w:val="clear" w:color="auto" w:fill="auto"/>
            <w:vAlign w:val="center"/>
          </w:tcPr>
          <w:p>
            <w:pPr>
              <w:rPr>
                <w:color w:val="auto"/>
                <w:highlight w:val="none"/>
              </w:rPr>
            </w:pPr>
            <w:r>
              <w:rPr>
                <w:rFonts w:hint="eastAsia"/>
                <w:color w:val="auto"/>
                <w:highlight w:val="none"/>
              </w:rPr>
              <w:t>1</w:t>
            </w:r>
          </w:p>
        </w:tc>
        <w:tc>
          <w:tcPr>
            <w:tcW w:w="2098" w:type="dxa"/>
            <w:gridSpan w:val="2"/>
            <w:shd w:val="clear" w:color="auto" w:fill="auto"/>
            <w:vAlign w:val="center"/>
          </w:tcPr>
          <w:p>
            <w:pPr>
              <w:rPr>
                <w:color w:val="auto"/>
                <w:highlight w:val="none"/>
                <w:lang w:eastAsia="zh-CN"/>
              </w:rPr>
            </w:pPr>
            <w:r>
              <w:rPr>
                <w:rFonts w:hint="eastAsia"/>
                <w:color w:val="auto"/>
                <w:highlight w:val="none"/>
                <w:lang w:eastAsia="zh-CN" w:bidi="ar"/>
              </w:rPr>
              <w:t>医疗工艺及净化工程采购及安装承包商</w:t>
            </w:r>
          </w:p>
        </w:tc>
        <w:tc>
          <w:tcPr>
            <w:tcW w:w="6691" w:type="dxa"/>
            <w:gridSpan w:val="3"/>
            <w:shd w:val="clear" w:color="auto" w:fill="auto"/>
            <w:vAlign w:val="center"/>
          </w:tcPr>
          <w:p>
            <w:pPr>
              <w:rPr>
                <w:color w:val="auto"/>
                <w:highlight w:val="none"/>
                <w:lang w:eastAsia="zh-CN"/>
              </w:rPr>
            </w:pPr>
            <w:r>
              <w:rPr>
                <w:color w:val="auto"/>
                <w:highlight w:val="none"/>
                <w:lang w:eastAsia="zh-CN"/>
              </w:rPr>
              <w:t>1）负责区域内各弱电系统（包括但不限于综合布线系统、医用对讲系统、CU病房探视、数字化手术室、医用监控系统、广播系统、门禁系统，详设计图纸）的设备采购、安装及调试，含配线配管、桥架采购、开槽修复、封堵及收边收口等。</w:t>
            </w:r>
          </w:p>
          <w:p>
            <w:pPr>
              <w:rPr>
                <w:color w:val="auto"/>
                <w:highlight w:val="none"/>
                <w:lang w:eastAsia="zh-CN"/>
              </w:rPr>
            </w:pPr>
            <w:r>
              <w:rPr>
                <w:color w:val="auto"/>
                <w:highlight w:val="none"/>
                <w:lang w:eastAsia="zh-CN"/>
              </w:rPr>
              <w:t>2）手术区内专有（不与大楼共用主机）的智能化系统、净化空调自控、手术室/icu中央控制面板 、温控器设备的采购、安装及调试 。</w:t>
            </w:r>
          </w:p>
          <w:p>
            <w:pPr>
              <w:rPr>
                <w:color w:val="auto"/>
                <w:highlight w:val="none"/>
                <w:lang w:eastAsia="zh-CN"/>
              </w:rPr>
            </w:pPr>
            <w:r>
              <w:rPr>
                <w:color w:val="auto"/>
                <w:highlight w:val="none"/>
                <w:lang w:eastAsia="zh-CN"/>
              </w:rPr>
              <w:t>3）负责实现手术室/icu中央控制面板功能所需要的组织协调工作。</w:t>
            </w:r>
          </w:p>
          <w:p>
            <w:pPr>
              <w:rPr>
                <w:color w:val="auto"/>
                <w:highlight w:val="none"/>
                <w:lang w:eastAsia="zh-CN"/>
              </w:rPr>
            </w:pPr>
            <w:r>
              <w:rPr>
                <w:color w:val="auto"/>
                <w:highlight w:val="none"/>
                <w:lang w:eastAsia="zh-CN"/>
              </w:rPr>
              <w:t>5）绘制智能化末端排版定位图。</w:t>
            </w:r>
          </w:p>
          <w:p>
            <w:pPr>
              <w:rPr>
                <w:color w:val="auto"/>
                <w:highlight w:val="none"/>
                <w:lang w:eastAsia="zh-CN"/>
              </w:rPr>
            </w:pPr>
            <w:r>
              <w:rPr>
                <w:color w:val="auto"/>
                <w:highlight w:val="none"/>
                <w:lang w:eastAsia="zh-CN"/>
              </w:rPr>
              <w:t>6）负责承包范围内的综合管线 （桥架）的设计及施工。</w:t>
            </w:r>
          </w:p>
          <w:p>
            <w:pPr>
              <w:rPr>
                <w:color w:val="auto"/>
                <w:highlight w:val="none"/>
                <w:lang w:eastAsia="zh-CN"/>
              </w:rPr>
            </w:pPr>
            <w:r>
              <w:rPr>
                <w:color w:val="auto"/>
                <w:highlight w:val="none"/>
                <w:lang w:eastAsia="zh-CN"/>
              </w:rPr>
              <w:t>7）负责承包范围内智能化专业管线的预留预埋（含管线开槽、管线敷设、开槽敷管之后的补槽、挂网、抹灰及收边收口等所有工作），及管线穿墙或楼板套管内外封堵。</w:t>
            </w:r>
          </w:p>
          <w:p>
            <w:pPr>
              <w:rPr>
                <w:color w:val="auto"/>
                <w:highlight w:val="none"/>
                <w:lang w:eastAsia="zh-CN"/>
              </w:rPr>
            </w:pPr>
            <w:r>
              <w:rPr>
                <w:color w:val="auto"/>
                <w:highlight w:val="none"/>
                <w:lang w:eastAsia="zh-CN"/>
              </w:rPr>
              <w:t>8）区域内洁净空调、通风自控系统、控制面板、设备及电线电缆、线管的采购安装与调试。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trPr>
        <w:tc>
          <w:tcPr>
            <w:tcW w:w="708" w:type="dxa"/>
            <w:vMerge w:val="continue"/>
            <w:shd w:val="clear" w:color="auto" w:fill="auto"/>
            <w:vAlign w:val="center"/>
          </w:tcPr>
          <w:p>
            <w:pPr>
              <w:rPr>
                <w:color w:val="auto"/>
                <w:highlight w:val="none"/>
                <w:lang w:eastAsia="zh-CN"/>
              </w:rPr>
            </w:pPr>
          </w:p>
        </w:tc>
        <w:tc>
          <w:tcPr>
            <w:tcW w:w="2098" w:type="dxa"/>
            <w:gridSpan w:val="2"/>
            <w:shd w:val="clear" w:color="auto" w:fill="auto"/>
            <w:vAlign w:val="center"/>
          </w:tcPr>
          <w:p>
            <w:pPr>
              <w:rPr>
                <w:color w:val="auto"/>
                <w:highlight w:val="none"/>
              </w:rPr>
            </w:pPr>
            <w:r>
              <w:rPr>
                <w:rFonts w:hint="eastAsia"/>
                <w:color w:val="auto"/>
                <w:highlight w:val="none"/>
              </w:rPr>
              <w:t>智能化专业承包商</w:t>
            </w:r>
          </w:p>
        </w:tc>
        <w:tc>
          <w:tcPr>
            <w:tcW w:w="6691" w:type="dxa"/>
            <w:gridSpan w:val="3"/>
            <w:shd w:val="clear" w:color="auto" w:fill="auto"/>
            <w:vAlign w:val="center"/>
          </w:tcPr>
          <w:p>
            <w:pPr>
              <w:rPr>
                <w:color w:val="auto"/>
                <w:highlight w:val="none"/>
                <w:lang w:eastAsia="zh-CN"/>
              </w:rPr>
            </w:pPr>
            <w:r>
              <w:rPr>
                <w:color w:val="auto"/>
                <w:highlight w:val="none"/>
                <w:lang w:eastAsia="zh-CN"/>
              </w:rPr>
              <w:t>1）非净化区域的智能化系统均由智能化专业承包商负责采购、安装及调试。</w:t>
            </w:r>
          </w:p>
          <w:p>
            <w:pPr>
              <w:rPr>
                <w:color w:val="auto"/>
                <w:highlight w:val="none"/>
                <w:lang w:eastAsia="zh-CN"/>
              </w:rPr>
            </w:pPr>
            <w:r>
              <w:rPr>
                <w:color w:val="auto"/>
                <w:highlight w:val="none"/>
                <w:lang w:eastAsia="zh-CN"/>
              </w:rPr>
              <w:t>2）为净化区域内与大楼共用后端设备的智能化系统，如综合布线、无线覆盖、视频监控、入侵报警、门禁等系统提供 数据接入点，并负责整个系统的调试。</w:t>
            </w:r>
          </w:p>
          <w:p>
            <w:pPr>
              <w:rPr>
                <w:color w:val="auto"/>
                <w:highlight w:val="none"/>
                <w:lang w:eastAsia="zh-CN"/>
              </w:rPr>
            </w:pPr>
            <w:r>
              <w:rPr>
                <w:color w:val="auto"/>
                <w:highlight w:val="none"/>
                <w:lang w:eastAsia="zh-CN"/>
              </w:rPr>
              <w:t>3）按图纸为“医疗专项工程”区域控制面板相关系统提供数据接入点（数据通讯协议须能兼容），如时钟源、电话、对讲等。</w:t>
            </w:r>
          </w:p>
          <w:p>
            <w:pPr>
              <w:rPr>
                <w:color w:val="auto"/>
                <w:highlight w:val="none"/>
                <w:lang w:eastAsia="zh-CN"/>
              </w:rPr>
            </w:pPr>
            <w:r>
              <w:rPr>
                <w:color w:val="auto"/>
                <w:highlight w:val="none"/>
                <w:lang w:eastAsia="zh-CN"/>
              </w:rPr>
              <w:t>4）负责牵头承包范围内智能化系统的统一协调工作，为需要接入大楼智能化系统主机的DDC箱、手术区专用智能化系统等预留相关接口，并开放协议。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trPr>
        <w:tc>
          <w:tcPr>
            <w:tcW w:w="708" w:type="dxa"/>
            <w:shd w:val="clear" w:color="auto" w:fill="auto"/>
            <w:vAlign w:val="center"/>
          </w:tcPr>
          <w:p>
            <w:pPr>
              <w:rPr>
                <w:color w:val="auto"/>
                <w:highlight w:val="none"/>
              </w:rPr>
            </w:pPr>
            <w:r>
              <w:rPr>
                <w:rFonts w:hint="eastAsia"/>
                <w:color w:val="auto"/>
                <w:highlight w:val="none"/>
              </w:rPr>
              <w:t>五</w:t>
            </w:r>
          </w:p>
        </w:tc>
        <w:tc>
          <w:tcPr>
            <w:tcW w:w="8789" w:type="dxa"/>
            <w:gridSpan w:val="5"/>
            <w:shd w:val="clear" w:color="auto" w:fill="auto"/>
            <w:vAlign w:val="center"/>
          </w:tcPr>
          <w:p>
            <w:pPr>
              <w:rPr>
                <w:color w:val="auto"/>
                <w:highlight w:val="none"/>
                <w:lang w:eastAsia="zh-CN"/>
              </w:rPr>
            </w:pPr>
            <w:r>
              <w:rPr>
                <w:rFonts w:hint="eastAsia"/>
                <w:color w:val="auto"/>
                <w:highlight w:val="none"/>
                <w:lang w:eastAsia="zh-CN" w:bidi="ar"/>
              </w:rPr>
              <w:t>医疗工艺及净化工程采购及安装承包商</w:t>
            </w:r>
            <w:r>
              <w:rPr>
                <w:rFonts w:hint="eastAsia"/>
                <w:color w:val="auto"/>
                <w:highlight w:val="none"/>
                <w:lang w:eastAsia="zh-CN"/>
              </w:rPr>
              <w:t>与医疗设备提供商（院方提供）界面划分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trPr>
        <w:tc>
          <w:tcPr>
            <w:tcW w:w="708" w:type="dxa"/>
            <w:shd w:val="clear" w:color="auto" w:fill="auto"/>
            <w:vAlign w:val="center"/>
          </w:tcPr>
          <w:p>
            <w:pPr>
              <w:rPr>
                <w:color w:val="auto"/>
                <w:highlight w:val="none"/>
                <w:lang w:eastAsia="zh-CN"/>
              </w:rPr>
            </w:pPr>
          </w:p>
        </w:tc>
        <w:tc>
          <w:tcPr>
            <w:tcW w:w="2105" w:type="dxa"/>
            <w:gridSpan w:val="3"/>
            <w:shd w:val="clear" w:color="auto" w:fill="auto"/>
            <w:vAlign w:val="center"/>
          </w:tcPr>
          <w:p>
            <w:pPr>
              <w:rPr>
                <w:color w:val="auto"/>
                <w:highlight w:val="none"/>
                <w:lang w:eastAsia="zh-CN"/>
              </w:rPr>
            </w:pPr>
            <w:r>
              <w:rPr>
                <w:rFonts w:hint="eastAsia"/>
                <w:color w:val="auto"/>
                <w:highlight w:val="none"/>
                <w:lang w:eastAsia="zh-CN" w:bidi="ar"/>
              </w:rPr>
              <w:t>医疗工艺及净化工程采购及安装承包商</w:t>
            </w:r>
          </w:p>
        </w:tc>
        <w:tc>
          <w:tcPr>
            <w:tcW w:w="6684" w:type="dxa"/>
            <w:gridSpan w:val="2"/>
            <w:shd w:val="clear" w:color="auto" w:fill="auto"/>
            <w:vAlign w:val="center"/>
          </w:tcPr>
          <w:p>
            <w:pPr>
              <w:pStyle w:val="175"/>
              <w:keepLines w:val="0"/>
              <w:widowControl/>
              <w:numPr>
                <w:ilvl w:val="0"/>
                <w:numId w:val="15"/>
              </w:numPr>
              <w:autoSpaceDE/>
              <w:autoSpaceDN/>
              <w:adjustRightInd w:val="0"/>
              <w:snapToGrid w:val="0"/>
              <w:spacing w:after="200" w:line="360" w:lineRule="auto"/>
              <w:ind w:left="357" w:hanging="357" w:firstLineChars="0"/>
              <w:rPr>
                <w:rFonts w:asciiTheme="minorEastAsia" w:hAnsiTheme="minorEastAsia" w:eastAsiaTheme="minorEastAsia"/>
                <w:color w:val="auto"/>
                <w:sz w:val="24"/>
                <w:szCs w:val="24"/>
                <w:highlight w:val="none"/>
                <w:lang w:eastAsia="zh-CN"/>
              </w:rPr>
            </w:pPr>
            <w:r>
              <w:rPr>
                <w:rFonts w:hint="eastAsia" w:asciiTheme="minorEastAsia" w:hAnsiTheme="minorEastAsia" w:eastAsiaTheme="minorEastAsia"/>
                <w:color w:val="auto"/>
                <w:sz w:val="24"/>
                <w:szCs w:val="24"/>
                <w:highlight w:val="none"/>
                <w:lang w:eastAsia="zh-CN"/>
              </w:rPr>
              <w:t>按发包人明确医疗设备厂家的设备要求，配合医疗设备</w:t>
            </w:r>
            <w:r>
              <w:rPr>
                <w:rFonts w:asciiTheme="minorEastAsia" w:hAnsiTheme="minorEastAsia" w:eastAsiaTheme="minorEastAsia"/>
                <w:color w:val="auto"/>
                <w:sz w:val="24"/>
                <w:szCs w:val="24"/>
                <w:highlight w:val="none"/>
                <w:lang w:eastAsia="zh-CN"/>
              </w:rPr>
              <w:t>专业</w:t>
            </w:r>
            <w:r>
              <w:rPr>
                <w:rFonts w:hint="eastAsia" w:asciiTheme="minorEastAsia" w:hAnsiTheme="minorEastAsia" w:eastAsiaTheme="minorEastAsia"/>
                <w:color w:val="auto"/>
                <w:sz w:val="24"/>
                <w:szCs w:val="24"/>
                <w:highlight w:val="none"/>
                <w:lang w:eastAsia="zh-CN"/>
              </w:rPr>
              <w:t>厂家</w:t>
            </w:r>
            <w:r>
              <w:rPr>
                <w:rFonts w:asciiTheme="minorEastAsia" w:hAnsiTheme="minorEastAsia" w:eastAsiaTheme="minorEastAsia"/>
                <w:color w:val="auto"/>
                <w:sz w:val="24"/>
                <w:szCs w:val="24"/>
                <w:highlight w:val="none"/>
                <w:lang w:eastAsia="zh-CN"/>
              </w:rPr>
              <w:t>在</w:t>
            </w:r>
            <w:r>
              <w:rPr>
                <w:rFonts w:hint="eastAsia" w:asciiTheme="minorEastAsia" w:hAnsiTheme="minorEastAsia" w:eastAsiaTheme="minorEastAsia"/>
                <w:color w:val="auto"/>
                <w:sz w:val="24"/>
                <w:szCs w:val="24"/>
                <w:highlight w:val="none"/>
                <w:lang w:eastAsia="zh-CN"/>
              </w:rPr>
              <w:t>本</w:t>
            </w:r>
            <w:r>
              <w:rPr>
                <w:rFonts w:asciiTheme="minorEastAsia" w:hAnsiTheme="minorEastAsia" w:eastAsiaTheme="minorEastAsia"/>
                <w:color w:val="auto"/>
                <w:sz w:val="24"/>
                <w:szCs w:val="24"/>
                <w:highlight w:val="none"/>
                <w:lang w:eastAsia="zh-CN"/>
              </w:rPr>
              <w:t>区域内</w:t>
            </w:r>
            <w:r>
              <w:rPr>
                <w:rFonts w:hint="eastAsia" w:asciiTheme="minorEastAsia" w:hAnsiTheme="minorEastAsia" w:eastAsiaTheme="minorEastAsia"/>
                <w:color w:val="auto"/>
                <w:sz w:val="24"/>
                <w:szCs w:val="24"/>
                <w:highlight w:val="none"/>
                <w:lang w:eastAsia="zh-CN"/>
              </w:rPr>
              <w:t>按施工图完成医疗设备安装所需条件，如通风及关联自控、电源及关联沟槽、信息点、给排水点、</w:t>
            </w:r>
            <w:r>
              <w:rPr>
                <w:rFonts w:asciiTheme="minorEastAsia" w:hAnsiTheme="minorEastAsia" w:eastAsiaTheme="minorEastAsia"/>
                <w:color w:val="auto"/>
                <w:sz w:val="24"/>
                <w:szCs w:val="24"/>
                <w:highlight w:val="none"/>
                <w:lang w:eastAsia="zh-CN"/>
              </w:rPr>
              <w:t>墙面、地面、天花开</w:t>
            </w:r>
            <w:r>
              <w:rPr>
                <w:rFonts w:hint="eastAsia" w:asciiTheme="minorEastAsia" w:hAnsiTheme="minorEastAsia" w:eastAsiaTheme="minorEastAsia"/>
                <w:color w:val="auto"/>
                <w:sz w:val="24"/>
                <w:szCs w:val="24"/>
                <w:highlight w:val="none"/>
                <w:lang w:eastAsia="zh-CN"/>
              </w:rPr>
              <w:t>孔及修补，医疗设备安装完成之后的装饰收口等。</w:t>
            </w:r>
          </w:p>
          <w:p>
            <w:pPr>
              <w:pStyle w:val="175"/>
              <w:keepLines w:val="0"/>
              <w:widowControl/>
              <w:numPr>
                <w:ilvl w:val="0"/>
                <w:numId w:val="15"/>
              </w:numPr>
              <w:autoSpaceDE/>
              <w:autoSpaceDN/>
              <w:adjustRightInd w:val="0"/>
              <w:snapToGrid w:val="0"/>
              <w:spacing w:after="200" w:line="360" w:lineRule="auto"/>
              <w:ind w:left="357" w:hanging="357" w:firstLineChars="0"/>
              <w:rPr>
                <w:color w:val="auto"/>
                <w:highlight w:val="none"/>
                <w:lang w:eastAsia="zh-CN"/>
              </w:rPr>
            </w:pPr>
            <w:r>
              <w:rPr>
                <w:rFonts w:hint="eastAsia" w:asciiTheme="minorEastAsia" w:hAnsiTheme="minorEastAsia" w:eastAsiaTheme="minorEastAsia"/>
                <w:color w:val="auto"/>
                <w:sz w:val="24"/>
                <w:szCs w:val="24"/>
                <w:highlight w:val="none"/>
                <w:lang w:eastAsia="zh-CN"/>
              </w:rPr>
              <w:t>配合</w:t>
            </w:r>
            <w:r>
              <w:rPr>
                <w:rFonts w:asciiTheme="minorEastAsia" w:hAnsiTheme="minorEastAsia" w:eastAsiaTheme="minorEastAsia"/>
                <w:color w:val="auto"/>
                <w:sz w:val="24"/>
                <w:szCs w:val="24"/>
                <w:highlight w:val="none"/>
                <w:lang w:eastAsia="zh-CN"/>
              </w:rPr>
              <w:t>中</w:t>
            </w:r>
            <w:r>
              <w:rPr>
                <w:rFonts w:hint="eastAsia" w:asciiTheme="minorEastAsia" w:hAnsiTheme="minorEastAsia" w:eastAsiaTheme="minorEastAsia"/>
                <w:color w:val="auto"/>
                <w:sz w:val="24"/>
                <w:szCs w:val="24"/>
                <w:highlight w:val="none"/>
                <w:lang w:eastAsia="zh-CN"/>
              </w:rPr>
              <w:t>应积极</w:t>
            </w:r>
            <w:r>
              <w:rPr>
                <w:rFonts w:asciiTheme="minorEastAsia" w:hAnsiTheme="minorEastAsia" w:eastAsiaTheme="minorEastAsia"/>
                <w:color w:val="auto"/>
                <w:sz w:val="24"/>
                <w:szCs w:val="24"/>
                <w:highlight w:val="none"/>
                <w:lang w:eastAsia="zh-CN"/>
              </w:rPr>
              <w:t>与</w:t>
            </w:r>
            <w:r>
              <w:rPr>
                <w:rFonts w:hint="eastAsia" w:asciiTheme="minorEastAsia" w:hAnsiTheme="minorEastAsia" w:eastAsiaTheme="minorEastAsia"/>
                <w:color w:val="auto"/>
                <w:sz w:val="24"/>
                <w:szCs w:val="24"/>
                <w:highlight w:val="none"/>
                <w:lang w:eastAsia="zh-CN"/>
              </w:rPr>
              <w:t>医疗</w:t>
            </w:r>
            <w:r>
              <w:rPr>
                <w:rFonts w:asciiTheme="minorEastAsia" w:hAnsiTheme="minorEastAsia" w:eastAsiaTheme="minorEastAsia"/>
                <w:color w:val="auto"/>
                <w:sz w:val="24"/>
                <w:szCs w:val="24"/>
                <w:highlight w:val="none"/>
                <w:lang w:eastAsia="zh-CN"/>
              </w:rPr>
              <w:t>设备厂家充分沟通，考虑</w:t>
            </w:r>
            <w:r>
              <w:rPr>
                <w:rFonts w:hint="eastAsia" w:asciiTheme="minorEastAsia" w:hAnsiTheme="minorEastAsia" w:eastAsiaTheme="minorEastAsia"/>
                <w:color w:val="auto"/>
                <w:sz w:val="24"/>
                <w:szCs w:val="24"/>
                <w:highlight w:val="none"/>
                <w:lang w:eastAsia="zh-CN"/>
              </w:rPr>
              <w:t>院方</w:t>
            </w:r>
            <w:r>
              <w:rPr>
                <w:rFonts w:asciiTheme="minorEastAsia" w:hAnsiTheme="minorEastAsia" w:eastAsiaTheme="minorEastAsia"/>
                <w:color w:val="auto"/>
                <w:sz w:val="24"/>
                <w:szCs w:val="24"/>
                <w:highlight w:val="none"/>
                <w:lang w:eastAsia="zh-CN"/>
              </w:rPr>
              <w:t>医疗设备安装所需空间（</w:t>
            </w:r>
            <w:r>
              <w:rPr>
                <w:rFonts w:hint="eastAsia" w:asciiTheme="minorEastAsia" w:hAnsiTheme="minorEastAsia" w:eastAsiaTheme="minorEastAsia"/>
                <w:color w:val="auto"/>
                <w:sz w:val="24"/>
                <w:szCs w:val="24"/>
                <w:highlight w:val="none"/>
                <w:lang w:eastAsia="zh-CN"/>
              </w:rPr>
              <w:t>如</w:t>
            </w:r>
            <w:r>
              <w:rPr>
                <w:rFonts w:asciiTheme="minorEastAsia" w:hAnsiTheme="minorEastAsia" w:eastAsiaTheme="minorEastAsia"/>
                <w:color w:val="auto"/>
                <w:sz w:val="24"/>
                <w:szCs w:val="24"/>
                <w:highlight w:val="none"/>
                <w:lang w:eastAsia="zh-CN"/>
              </w:rPr>
              <w:t>吊塔底座、</w:t>
            </w:r>
            <w:r>
              <w:rPr>
                <w:rFonts w:hint="eastAsia" w:asciiTheme="minorEastAsia" w:hAnsiTheme="minorEastAsia" w:eastAsiaTheme="minorEastAsia"/>
                <w:color w:val="auto"/>
                <w:sz w:val="24"/>
                <w:szCs w:val="24"/>
                <w:highlight w:val="none"/>
                <w:lang w:eastAsia="zh-CN"/>
              </w:rPr>
              <w:t>DSA轨道</w:t>
            </w:r>
            <w:r>
              <w:rPr>
                <w:rFonts w:asciiTheme="minorEastAsia" w:hAnsiTheme="minorEastAsia" w:eastAsiaTheme="minorEastAsia"/>
                <w:color w:val="auto"/>
                <w:sz w:val="24"/>
                <w:szCs w:val="24"/>
                <w:highlight w:val="none"/>
                <w:lang w:eastAsia="zh-CN"/>
              </w:rPr>
              <w:t>、一体化手术室显示屏</w:t>
            </w:r>
            <w:r>
              <w:rPr>
                <w:rFonts w:hint="eastAsia" w:asciiTheme="minorEastAsia" w:hAnsiTheme="minorEastAsia" w:eastAsiaTheme="minorEastAsia"/>
                <w:color w:val="auto"/>
                <w:sz w:val="24"/>
                <w:szCs w:val="24"/>
                <w:highlight w:val="none"/>
                <w:lang w:eastAsia="zh-CN"/>
              </w:rPr>
              <w:t>等</w:t>
            </w:r>
            <w:r>
              <w:rPr>
                <w:rFonts w:asciiTheme="minorEastAsia" w:hAnsiTheme="minorEastAsia" w:eastAsiaTheme="minorEastAsia"/>
                <w:color w:val="auto"/>
                <w:sz w:val="24"/>
                <w:szCs w:val="24"/>
                <w:highlight w:val="none"/>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trPr>
        <w:tc>
          <w:tcPr>
            <w:tcW w:w="708" w:type="dxa"/>
            <w:shd w:val="clear" w:color="auto" w:fill="auto"/>
            <w:vAlign w:val="center"/>
          </w:tcPr>
          <w:p>
            <w:pPr>
              <w:rPr>
                <w:color w:val="auto"/>
                <w:highlight w:val="none"/>
                <w:lang w:eastAsia="zh-CN"/>
              </w:rPr>
            </w:pPr>
          </w:p>
        </w:tc>
        <w:tc>
          <w:tcPr>
            <w:tcW w:w="2105" w:type="dxa"/>
            <w:gridSpan w:val="3"/>
            <w:shd w:val="clear" w:color="auto" w:fill="auto"/>
            <w:vAlign w:val="center"/>
          </w:tcPr>
          <w:p>
            <w:pPr>
              <w:rPr>
                <w:color w:val="auto"/>
                <w:highlight w:val="none"/>
              </w:rPr>
            </w:pPr>
            <w:r>
              <w:rPr>
                <w:rFonts w:hint="eastAsia"/>
                <w:color w:val="auto"/>
                <w:highlight w:val="none"/>
              </w:rPr>
              <w:t>院方</w:t>
            </w:r>
          </w:p>
        </w:tc>
        <w:tc>
          <w:tcPr>
            <w:tcW w:w="6684" w:type="dxa"/>
            <w:gridSpan w:val="2"/>
            <w:shd w:val="clear" w:color="auto" w:fill="auto"/>
            <w:vAlign w:val="center"/>
          </w:tcPr>
          <w:p>
            <w:pPr>
              <w:spacing w:line="360" w:lineRule="auto"/>
              <w:rPr>
                <w:color w:val="auto"/>
                <w:highlight w:val="none"/>
                <w:lang w:eastAsia="zh-CN"/>
              </w:rPr>
            </w:pPr>
            <w:r>
              <w:rPr>
                <w:rFonts w:hint="eastAsia"/>
                <w:color w:val="auto"/>
                <w:highlight w:val="none"/>
                <w:lang w:eastAsia="zh-CN"/>
              </w:rPr>
              <w:t>1）根据项目进度及时提供确定的医疗设备安装需求及设备进场安装计划。</w:t>
            </w:r>
          </w:p>
          <w:p>
            <w:pPr>
              <w:spacing w:line="360" w:lineRule="auto"/>
              <w:rPr>
                <w:color w:val="auto"/>
                <w:highlight w:val="none"/>
                <w:lang w:eastAsia="zh-CN"/>
              </w:rPr>
            </w:pPr>
            <w:r>
              <w:rPr>
                <w:rFonts w:hint="eastAsia"/>
                <w:color w:val="auto"/>
                <w:highlight w:val="none"/>
                <w:lang w:eastAsia="zh-CN"/>
              </w:rPr>
              <w:t>2）医疗设备根据计划及时进场，以免影响项目装饰的收边收口及安装的调试验收；</w:t>
            </w:r>
          </w:p>
          <w:p>
            <w:pPr>
              <w:spacing w:line="360" w:lineRule="auto"/>
              <w:rPr>
                <w:color w:val="auto"/>
                <w:highlight w:val="none"/>
                <w:lang w:eastAsia="zh-CN"/>
              </w:rPr>
            </w:pPr>
            <w:r>
              <w:rPr>
                <w:rFonts w:hint="eastAsia"/>
                <w:color w:val="auto"/>
                <w:highlight w:val="none"/>
                <w:lang w:eastAsia="zh-CN"/>
              </w:rPr>
              <w:t>3）院方及时提供的护理呼叫、手术示教、信息发布、排队叫号、吊塔底座等末端设备；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trPr>
        <w:tc>
          <w:tcPr>
            <w:tcW w:w="708" w:type="dxa"/>
            <w:shd w:val="clear" w:color="auto" w:fill="auto"/>
            <w:vAlign w:val="center"/>
          </w:tcPr>
          <w:p>
            <w:pPr>
              <w:rPr>
                <w:color w:val="auto"/>
                <w:highlight w:val="none"/>
              </w:rPr>
            </w:pPr>
            <w:r>
              <w:rPr>
                <w:rFonts w:hint="eastAsia"/>
                <w:color w:val="auto"/>
                <w:highlight w:val="none"/>
                <w:lang w:eastAsia="zh-CN"/>
              </w:rPr>
              <w:t>六</w:t>
            </w:r>
          </w:p>
        </w:tc>
        <w:tc>
          <w:tcPr>
            <w:tcW w:w="8789" w:type="dxa"/>
            <w:gridSpan w:val="5"/>
            <w:shd w:val="clear" w:color="auto" w:fill="auto"/>
            <w:vAlign w:val="center"/>
          </w:tcPr>
          <w:p>
            <w:pPr>
              <w:rPr>
                <w:color w:val="auto"/>
                <w:highlight w:val="none"/>
                <w:lang w:eastAsia="zh-CN"/>
              </w:rPr>
            </w:pPr>
            <w:r>
              <w:rPr>
                <w:rFonts w:hint="eastAsia"/>
                <w:color w:val="auto"/>
                <w:highlight w:val="none"/>
                <w:lang w:eastAsia="zh-CN" w:bidi="ar"/>
              </w:rPr>
              <w:t>医疗工艺及净化工程采购及安装承包商</w:t>
            </w:r>
            <w:r>
              <w:rPr>
                <w:rFonts w:hint="eastAsia"/>
                <w:color w:val="auto"/>
                <w:highlight w:val="none"/>
                <w:lang w:eastAsia="zh-CN"/>
              </w:rPr>
              <w:t>与消防工程</w:t>
            </w:r>
            <w:r>
              <w:rPr>
                <w:color w:val="auto"/>
                <w:highlight w:val="none"/>
                <w:lang w:eastAsia="zh-CN"/>
              </w:rPr>
              <w:t>承包商</w:t>
            </w:r>
            <w:r>
              <w:rPr>
                <w:rFonts w:hint="eastAsia"/>
                <w:color w:val="auto"/>
                <w:highlight w:val="none"/>
                <w:lang w:eastAsia="zh-CN"/>
              </w:rPr>
              <w:t>界面划分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trPr>
        <w:tc>
          <w:tcPr>
            <w:tcW w:w="708" w:type="dxa"/>
            <w:shd w:val="clear" w:color="auto" w:fill="auto"/>
            <w:vAlign w:val="center"/>
          </w:tcPr>
          <w:p>
            <w:pPr>
              <w:rPr>
                <w:color w:val="auto"/>
                <w:highlight w:val="none"/>
                <w:lang w:eastAsia="zh-CN"/>
              </w:rPr>
            </w:pPr>
          </w:p>
        </w:tc>
        <w:tc>
          <w:tcPr>
            <w:tcW w:w="2105" w:type="dxa"/>
            <w:gridSpan w:val="3"/>
            <w:shd w:val="clear" w:color="auto" w:fill="auto"/>
            <w:vAlign w:val="center"/>
          </w:tcPr>
          <w:p>
            <w:pPr>
              <w:rPr>
                <w:color w:val="auto"/>
                <w:highlight w:val="none"/>
                <w:lang w:eastAsia="zh-CN"/>
              </w:rPr>
            </w:pPr>
            <w:r>
              <w:rPr>
                <w:rFonts w:hint="eastAsia"/>
                <w:color w:val="auto"/>
                <w:highlight w:val="none"/>
                <w:lang w:eastAsia="zh-CN" w:bidi="ar"/>
              </w:rPr>
              <w:t>医疗工艺及净化工程采购及安装承包商</w:t>
            </w:r>
          </w:p>
        </w:tc>
        <w:tc>
          <w:tcPr>
            <w:tcW w:w="6684" w:type="dxa"/>
            <w:gridSpan w:val="2"/>
            <w:shd w:val="clear" w:color="auto" w:fill="auto"/>
            <w:vAlign w:val="center"/>
          </w:tcPr>
          <w:p>
            <w:pPr>
              <w:rPr>
                <w:color w:val="auto"/>
                <w:highlight w:val="none"/>
                <w:lang w:eastAsia="zh-CN"/>
              </w:rPr>
            </w:pPr>
            <w:r>
              <w:rPr>
                <w:rFonts w:hint="eastAsia"/>
                <w:color w:val="auto"/>
                <w:highlight w:val="none"/>
                <w:lang w:eastAsia="zh-CN"/>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49" w:hRule="atLeast"/>
        </w:trPr>
        <w:tc>
          <w:tcPr>
            <w:tcW w:w="708" w:type="dxa"/>
            <w:shd w:val="clear" w:color="auto" w:fill="auto"/>
            <w:vAlign w:val="center"/>
          </w:tcPr>
          <w:p>
            <w:pPr>
              <w:rPr>
                <w:color w:val="auto"/>
                <w:highlight w:val="none"/>
                <w:lang w:eastAsia="zh-CN"/>
              </w:rPr>
            </w:pPr>
          </w:p>
        </w:tc>
        <w:tc>
          <w:tcPr>
            <w:tcW w:w="2105" w:type="dxa"/>
            <w:gridSpan w:val="3"/>
            <w:shd w:val="clear" w:color="auto" w:fill="auto"/>
            <w:vAlign w:val="center"/>
          </w:tcPr>
          <w:p>
            <w:pPr>
              <w:rPr>
                <w:color w:val="auto"/>
                <w:highlight w:val="none"/>
              </w:rPr>
            </w:pPr>
            <w:r>
              <w:rPr>
                <w:rFonts w:hint="eastAsia"/>
                <w:color w:val="auto"/>
                <w:highlight w:val="none"/>
              </w:rPr>
              <w:t>消防工程</w:t>
            </w:r>
            <w:r>
              <w:rPr>
                <w:color w:val="auto"/>
                <w:highlight w:val="none"/>
              </w:rPr>
              <w:t>承包商</w:t>
            </w:r>
          </w:p>
        </w:tc>
        <w:tc>
          <w:tcPr>
            <w:tcW w:w="6684" w:type="dxa"/>
            <w:gridSpan w:val="2"/>
            <w:shd w:val="clear" w:color="auto" w:fill="auto"/>
            <w:vAlign w:val="center"/>
          </w:tcPr>
          <w:p>
            <w:pPr>
              <w:rPr>
                <w:color w:val="auto"/>
                <w:highlight w:val="none"/>
                <w:lang w:eastAsia="zh-CN"/>
              </w:rPr>
            </w:pPr>
            <w:r>
              <w:rPr>
                <w:rFonts w:hint="eastAsia"/>
                <w:color w:val="auto"/>
                <w:highlight w:val="none"/>
                <w:lang w:eastAsia="zh-CN"/>
              </w:rPr>
              <w:t>1）</w:t>
            </w:r>
            <w:r>
              <w:rPr>
                <w:color w:val="auto"/>
                <w:highlight w:val="none"/>
                <w:lang w:eastAsia="zh-CN"/>
              </w:rPr>
              <w:t>负责</w:t>
            </w:r>
            <w:r>
              <w:rPr>
                <w:rFonts w:hint="eastAsia"/>
                <w:color w:val="auto"/>
                <w:highlight w:val="none"/>
                <w:lang w:eastAsia="zh-CN"/>
              </w:rPr>
              <w:t>机电</w:t>
            </w:r>
            <w:r>
              <w:rPr>
                <w:color w:val="auto"/>
                <w:highlight w:val="none"/>
                <w:lang w:eastAsia="zh-CN"/>
              </w:rPr>
              <w:t>末端点位。</w:t>
            </w:r>
          </w:p>
          <w:p>
            <w:pPr>
              <w:rPr>
                <w:color w:val="auto"/>
                <w:highlight w:val="none"/>
                <w:lang w:eastAsia="zh-CN"/>
              </w:rPr>
            </w:pPr>
            <w:r>
              <w:rPr>
                <w:color w:val="auto"/>
                <w:highlight w:val="none"/>
                <w:lang w:eastAsia="zh-CN"/>
              </w:rPr>
              <w:t>2</w:t>
            </w:r>
            <w:r>
              <w:rPr>
                <w:rFonts w:hint="eastAsia"/>
                <w:color w:val="auto"/>
                <w:highlight w:val="none"/>
                <w:lang w:eastAsia="zh-CN"/>
              </w:rPr>
              <w:t>）消防工程承包商负责供应及安装其联动控制线路。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trPr>
        <w:tc>
          <w:tcPr>
            <w:tcW w:w="708" w:type="dxa"/>
            <w:shd w:val="clear" w:color="auto" w:fill="auto"/>
            <w:vAlign w:val="center"/>
          </w:tcPr>
          <w:p>
            <w:pPr>
              <w:rPr>
                <w:color w:val="auto"/>
                <w:highlight w:val="none"/>
              </w:rPr>
            </w:pPr>
            <w:r>
              <w:rPr>
                <w:rFonts w:hint="eastAsia"/>
                <w:color w:val="auto"/>
                <w:highlight w:val="none"/>
                <w:lang w:eastAsia="zh-CN"/>
              </w:rPr>
              <w:t>七</w:t>
            </w:r>
          </w:p>
        </w:tc>
        <w:tc>
          <w:tcPr>
            <w:tcW w:w="8789" w:type="dxa"/>
            <w:gridSpan w:val="5"/>
            <w:shd w:val="clear" w:color="auto" w:fill="auto"/>
            <w:vAlign w:val="center"/>
          </w:tcPr>
          <w:p>
            <w:pPr>
              <w:rPr>
                <w:color w:val="auto"/>
                <w:highlight w:val="none"/>
                <w:lang w:eastAsia="zh-CN"/>
              </w:rPr>
            </w:pPr>
            <w:r>
              <w:rPr>
                <w:rFonts w:hint="eastAsia"/>
                <w:color w:val="auto"/>
                <w:highlight w:val="none"/>
                <w:lang w:eastAsia="zh-CN" w:bidi="ar"/>
              </w:rPr>
              <w:t>医疗工艺及净化工程采购及安装承包商</w:t>
            </w:r>
            <w:r>
              <w:rPr>
                <w:rFonts w:hint="eastAsia"/>
                <w:color w:val="auto"/>
                <w:highlight w:val="none"/>
                <w:lang w:eastAsia="zh-CN"/>
              </w:rPr>
              <w:t>与其他含机电</w:t>
            </w:r>
            <w:r>
              <w:rPr>
                <w:color w:val="auto"/>
                <w:highlight w:val="none"/>
                <w:lang w:eastAsia="zh-CN"/>
              </w:rPr>
              <w:t>管线承包商</w:t>
            </w:r>
            <w:r>
              <w:rPr>
                <w:rFonts w:hint="eastAsia"/>
                <w:color w:val="auto"/>
                <w:highlight w:val="none"/>
                <w:lang w:eastAsia="zh-CN"/>
              </w:rPr>
              <w:t>关于</w:t>
            </w:r>
            <w:r>
              <w:rPr>
                <w:color w:val="auto"/>
                <w:highlight w:val="none"/>
                <w:lang w:eastAsia="zh-CN"/>
              </w:rPr>
              <w:t>预留预埋及</w:t>
            </w:r>
            <w:r>
              <w:rPr>
                <w:rFonts w:hint="eastAsia"/>
                <w:color w:val="auto"/>
                <w:highlight w:val="none"/>
                <w:lang w:eastAsia="zh-CN"/>
              </w:rPr>
              <w:t>孔洞</w:t>
            </w:r>
            <w:r>
              <w:rPr>
                <w:color w:val="auto"/>
                <w:highlight w:val="none"/>
                <w:lang w:eastAsia="zh-CN"/>
              </w:rPr>
              <w:t>封堵的</w:t>
            </w:r>
            <w:r>
              <w:rPr>
                <w:rFonts w:hint="eastAsia"/>
                <w:color w:val="auto"/>
                <w:highlight w:val="none"/>
                <w:lang w:eastAsia="zh-CN"/>
              </w:rPr>
              <w:t>界面划分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5" w:hRule="atLeast"/>
        </w:trPr>
        <w:tc>
          <w:tcPr>
            <w:tcW w:w="708" w:type="dxa"/>
            <w:shd w:val="clear" w:color="auto" w:fill="auto"/>
            <w:vAlign w:val="center"/>
          </w:tcPr>
          <w:p>
            <w:pPr>
              <w:rPr>
                <w:color w:val="auto"/>
                <w:highlight w:val="none"/>
                <w:lang w:eastAsia="zh-CN"/>
              </w:rPr>
            </w:pPr>
          </w:p>
        </w:tc>
        <w:tc>
          <w:tcPr>
            <w:tcW w:w="2105" w:type="dxa"/>
            <w:gridSpan w:val="3"/>
            <w:shd w:val="clear" w:color="auto" w:fill="auto"/>
            <w:vAlign w:val="center"/>
          </w:tcPr>
          <w:p>
            <w:pPr>
              <w:rPr>
                <w:color w:val="auto"/>
                <w:highlight w:val="none"/>
                <w:lang w:eastAsia="zh-CN"/>
              </w:rPr>
            </w:pPr>
            <w:r>
              <w:rPr>
                <w:rFonts w:hint="eastAsia"/>
                <w:color w:val="auto"/>
                <w:highlight w:val="none"/>
                <w:lang w:eastAsia="zh-CN" w:bidi="ar"/>
              </w:rPr>
              <w:t>医疗工艺及净化工程采购及安装承包商</w:t>
            </w:r>
          </w:p>
        </w:tc>
        <w:tc>
          <w:tcPr>
            <w:tcW w:w="6684" w:type="dxa"/>
            <w:gridSpan w:val="2"/>
            <w:shd w:val="clear" w:color="auto" w:fill="auto"/>
            <w:vAlign w:val="center"/>
          </w:tcPr>
          <w:p>
            <w:pPr>
              <w:rPr>
                <w:color w:val="auto"/>
                <w:highlight w:val="none"/>
                <w:lang w:eastAsia="zh-CN"/>
              </w:rPr>
            </w:pPr>
            <w:r>
              <w:rPr>
                <w:rFonts w:hint="eastAsia"/>
                <w:color w:val="auto"/>
                <w:highlight w:val="none"/>
                <w:lang w:eastAsia="zh-CN"/>
              </w:rPr>
              <w:t>1）总承包工程、机电安装工程、消防工程、智能化工程等承包商负责承包范围内机电管线穿墙或楼板套管内封堵，套管外的孔洞封堵由医疗工艺</w:t>
            </w:r>
            <w:r>
              <w:rPr>
                <w:color w:val="auto"/>
                <w:highlight w:val="none"/>
                <w:lang w:eastAsia="zh-CN"/>
              </w:rPr>
              <w:t>及净化</w:t>
            </w:r>
            <w:r>
              <w:rPr>
                <w:rFonts w:hint="eastAsia"/>
                <w:color w:val="auto"/>
                <w:highlight w:val="none"/>
                <w:lang w:eastAsia="zh-CN"/>
              </w:rPr>
              <w:t>承包商负责；如机电管线无套管，则管线与土建孔洞之间的封堵由医疗工艺</w:t>
            </w:r>
            <w:r>
              <w:rPr>
                <w:color w:val="auto"/>
                <w:highlight w:val="none"/>
                <w:lang w:eastAsia="zh-CN"/>
              </w:rPr>
              <w:t>及净化</w:t>
            </w:r>
            <w:r>
              <w:rPr>
                <w:rFonts w:hint="eastAsia"/>
                <w:color w:val="auto"/>
                <w:highlight w:val="none"/>
                <w:lang w:eastAsia="zh-CN"/>
              </w:rPr>
              <w:t>承包商负责。</w:t>
            </w:r>
          </w:p>
          <w:p>
            <w:pPr>
              <w:rPr>
                <w:color w:val="auto"/>
                <w:highlight w:val="none"/>
                <w:lang w:eastAsia="zh-CN"/>
              </w:rPr>
            </w:pPr>
            <w:r>
              <w:rPr>
                <w:color w:val="auto"/>
                <w:highlight w:val="none"/>
                <w:lang w:eastAsia="zh-CN"/>
              </w:rPr>
              <w:t>2</w:t>
            </w:r>
            <w:r>
              <w:rPr>
                <w:rFonts w:hint="eastAsia"/>
                <w:color w:val="auto"/>
                <w:highlight w:val="none"/>
                <w:lang w:eastAsia="zh-CN"/>
              </w:rPr>
              <w:t>）各</w:t>
            </w:r>
            <w:r>
              <w:rPr>
                <w:color w:val="auto"/>
                <w:highlight w:val="none"/>
                <w:lang w:eastAsia="zh-CN"/>
              </w:rPr>
              <w:t>承包商负责其承包范围内</w:t>
            </w:r>
            <w:r>
              <w:rPr>
                <w:rFonts w:hint="eastAsia"/>
                <w:color w:val="auto"/>
                <w:highlight w:val="none"/>
                <w:lang w:eastAsia="zh-CN"/>
              </w:rPr>
              <w:t>在</w:t>
            </w:r>
            <w:r>
              <w:rPr>
                <w:color w:val="auto"/>
                <w:highlight w:val="none"/>
                <w:lang w:eastAsia="zh-CN"/>
              </w:rPr>
              <w:t>进场后</w:t>
            </w:r>
            <w:r>
              <w:rPr>
                <w:rFonts w:hint="eastAsia"/>
                <w:color w:val="auto"/>
                <w:highlight w:val="none"/>
                <w:lang w:eastAsia="zh-CN"/>
              </w:rPr>
              <w:t>设计</w:t>
            </w:r>
            <w:r>
              <w:rPr>
                <w:color w:val="auto"/>
                <w:highlight w:val="none"/>
                <w:lang w:eastAsia="zh-CN"/>
              </w:rPr>
              <w:t>变更</w:t>
            </w:r>
            <w:r>
              <w:rPr>
                <w:rFonts w:hint="eastAsia"/>
                <w:color w:val="auto"/>
                <w:highlight w:val="none"/>
                <w:lang w:eastAsia="zh-CN"/>
              </w:rPr>
              <w:t>引起</w:t>
            </w:r>
            <w:r>
              <w:rPr>
                <w:color w:val="auto"/>
                <w:highlight w:val="none"/>
                <w:lang w:eastAsia="zh-CN"/>
              </w:rPr>
              <w:t>的</w:t>
            </w:r>
            <w:r>
              <w:rPr>
                <w:rFonts w:hint="eastAsia"/>
                <w:color w:val="auto"/>
                <w:highlight w:val="none"/>
                <w:lang w:eastAsia="zh-CN"/>
              </w:rPr>
              <w:t>洞口</w:t>
            </w:r>
            <w:r>
              <w:rPr>
                <w:color w:val="auto"/>
                <w:highlight w:val="none"/>
                <w:lang w:eastAsia="zh-CN"/>
              </w:rPr>
              <w:t>封堵。</w:t>
            </w:r>
          </w:p>
          <w:p>
            <w:pPr>
              <w:rPr>
                <w:color w:val="auto"/>
                <w:highlight w:val="none"/>
                <w:lang w:eastAsia="zh-CN"/>
              </w:rPr>
            </w:pPr>
            <w:r>
              <w:rPr>
                <w:rFonts w:hint="eastAsia"/>
                <w:color w:val="auto"/>
                <w:highlight w:val="none"/>
                <w:lang w:eastAsia="zh-CN"/>
              </w:rPr>
              <w:t>3）负责承包范围含有机电管线的承包商开槽敷管之后的补槽、挂网、抹灰及收边收口等所有工作。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03" w:hRule="atLeast"/>
        </w:trPr>
        <w:tc>
          <w:tcPr>
            <w:tcW w:w="708" w:type="dxa"/>
            <w:shd w:val="clear" w:color="auto" w:fill="auto"/>
            <w:vAlign w:val="center"/>
          </w:tcPr>
          <w:p>
            <w:pPr>
              <w:rPr>
                <w:color w:val="auto"/>
                <w:highlight w:val="none"/>
                <w:lang w:eastAsia="zh-CN"/>
              </w:rPr>
            </w:pPr>
          </w:p>
        </w:tc>
        <w:tc>
          <w:tcPr>
            <w:tcW w:w="2105" w:type="dxa"/>
            <w:gridSpan w:val="3"/>
            <w:shd w:val="clear" w:color="auto" w:fill="auto"/>
            <w:vAlign w:val="center"/>
          </w:tcPr>
          <w:p>
            <w:pPr>
              <w:rPr>
                <w:color w:val="auto"/>
                <w:highlight w:val="none"/>
                <w:lang w:eastAsia="zh-CN"/>
              </w:rPr>
            </w:pPr>
            <w:r>
              <w:rPr>
                <w:rFonts w:hint="eastAsia"/>
                <w:color w:val="auto"/>
                <w:highlight w:val="none"/>
                <w:lang w:eastAsia="zh-CN"/>
              </w:rPr>
              <w:t>其他含机电</w:t>
            </w:r>
            <w:r>
              <w:rPr>
                <w:color w:val="auto"/>
                <w:highlight w:val="none"/>
                <w:lang w:eastAsia="zh-CN"/>
              </w:rPr>
              <w:t>管线承包商</w:t>
            </w:r>
          </w:p>
        </w:tc>
        <w:tc>
          <w:tcPr>
            <w:tcW w:w="6684" w:type="dxa"/>
            <w:gridSpan w:val="2"/>
            <w:shd w:val="clear" w:color="auto" w:fill="auto"/>
            <w:vAlign w:val="center"/>
          </w:tcPr>
          <w:p>
            <w:pPr>
              <w:rPr>
                <w:color w:val="auto"/>
                <w:highlight w:val="none"/>
                <w:lang w:eastAsia="zh-CN"/>
              </w:rPr>
            </w:pPr>
            <w:r>
              <w:rPr>
                <w:rFonts w:hint="eastAsia"/>
                <w:color w:val="auto"/>
                <w:highlight w:val="none"/>
                <w:lang w:eastAsia="zh-CN"/>
              </w:rPr>
              <w:t>1）负责机电</w:t>
            </w:r>
            <w:r>
              <w:rPr>
                <w:color w:val="auto"/>
                <w:highlight w:val="none"/>
                <w:lang w:eastAsia="zh-CN"/>
              </w:rPr>
              <w:t>管线套管内的封堵。</w:t>
            </w:r>
          </w:p>
          <w:p>
            <w:pPr>
              <w:rPr>
                <w:color w:val="auto"/>
                <w:highlight w:val="none"/>
                <w:lang w:eastAsia="zh-CN"/>
              </w:rPr>
            </w:pPr>
            <w:r>
              <w:rPr>
                <w:color w:val="auto"/>
                <w:highlight w:val="none"/>
                <w:lang w:eastAsia="zh-CN"/>
              </w:rPr>
              <w:t>2</w:t>
            </w:r>
            <w:r>
              <w:rPr>
                <w:rFonts w:hint="eastAsia"/>
                <w:color w:val="auto"/>
                <w:highlight w:val="none"/>
                <w:lang w:eastAsia="zh-CN"/>
              </w:rPr>
              <w:t>）承包范围含有机电管线的承包商负责其承包范围内按施工图及设计变更施工的机电管线的开槽及敷管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65" w:hRule="atLeast"/>
        </w:trPr>
        <w:tc>
          <w:tcPr>
            <w:tcW w:w="708" w:type="dxa"/>
            <w:shd w:val="clear" w:color="auto" w:fill="auto"/>
            <w:vAlign w:val="center"/>
          </w:tcPr>
          <w:p>
            <w:pPr>
              <w:rPr>
                <w:color w:val="auto"/>
                <w:highlight w:val="none"/>
              </w:rPr>
            </w:pPr>
            <w:r>
              <w:rPr>
                <w:rFonts w:hint="eastAsia"/>
                <w:color w:val="auto"/>
                <w:highlight w:val="none"/>
              </w:rPr>
              <w:t>注：</w:t>
            </w:r>
          </w:p>
        </w:tc>
        <w:tc>
          <w:tcPr>
            <w:tcW w:w="8789" w:type="dxa"/>
            <w:gridSpan w:val="5"/>
            <w:shd w:val="clear" w:color="auto" w:fill="auto"/>
            <w:vAlign w:val="center"/>
          </w:tcPr>
          <w:p>
            <w:pPr>
              <w:rPr>
                <w:color w:val="auto"/>
                <w:highlight w:val="none"/>
                <w:lang w:eastAsia="zh-CN"/>
              </w:rPr>
            </w:pPr>
            <w:r>
              <w:rPr>
                <w:rFonts w:hint="eastAsia"/>
                <w:color w:val="auto"/>
                <w:highlight w:val="none"/>
                <w:lang w:eastAsia="zh-CN"/>
              </w:rPr>
              <w:t>1）发包人在实施过程中根据本工程实际情况有权增减工程量清单中的部分内容。</w:t>
            </w:r>
          </w:p>
          <w:p>
            <w:pPr>
              <w:rPr>
                <w:color w:val="auto"/>
                <w:highlight w:val="none"/>
                <w:lang w:eastAsia="zh-CN"/>
              </w:rPr>
            </w:pPr>
            <w:r>
              <w:rPr>
                <w:rFonts w:hint="eastAsia"/>
                <w:color w:val="auto"/>
                <w:highlight w:val="none"/>
                <w:lang w:eastAsia="zh-CN"/>
              </w:rPr>
              <w:t>2）所有的细目详见工程施工图纸、工程量清单及合同条款，承包人不能拒绝执行为完成全部工程而需执行的可能遗漏的工作。</w:t>
            </w:r>
          </w:p>
        </w:tc>
      </w:tr>
    </w:tbl>
    <w:p>
      <w:pPr>
        <w:pStyle w:val="4"/>
        <w:spacing w:before="120" w:beforeLines="50"/>
        <w:ind w:left="426" w:hanging="567"/>
        <w:rPr>
          <w:color w:val="auto"/>
          <w:highlight w:val="none"/>
        </w:rPr>
      </w:pPr>
      <w:r>
        <w:rPr>
          <w:rFonts w:hint="eastAsia"/>
          <w:color w:val="auto"/>
          <w:highlight w:val="none"/>
        </w:rPr>
        <w:t>医疗气体界面划分</w:t>
      </w:r>
    </w:p>
    <w:p>
      <w:pPr>
        <w:spacing w:before="240" w:after="240"/>
        <w:outlineLvl w:val="2"/>
        <w:rPr>
          <w:b/>
          <w:color w:val="auto"/>
          <w:szCs w:val="24"/>
          <w:highlight w:val="none"/>
          <w:lang w:eastAsia="zh-CN"/>
        </w:rPr>
      </w:pPr>
      <w:r>
        <w:rPr>
          <w:b/>
          <w:color w:val="auto"/>
          <w:szCs w:val="24"/>
          <w:highlight w:val="none"/>
          <w:lang w:eastAsia="zh-CN"/>
        </w:rPr>
        <w:t>3.8.</w:t>
      </w:r>
      <w:r>
        <w:rPr>
          <w:rFonts w:hint="eastAsia"/>
          <w:b/>
          <w:color w:val="auto"/>
          <w:szCs w:val="24"/>
          <w:highlight w:val="none"/>
          <w:lang w:eastAsia="zh-CN"/>
        </w:rPr>
        <w:t>1</w:t>
      </w:r>
      <w:r>
        <w:rPr>
          <w:b/>
          <w:color w:val="auto"/>
          <w:szCs w:val="24"/>
          <w:highlight w:val="none"/>
          <w:lang w:eastAsia="zh-CN"/>
        </w:rPr>
        <w:t xml:space="preserve"> </w:t>
      </w:r>
      <w:r>
        <w:rPr>
          <w:rFonts w:hint="eastAsia"/>
          <w:b/>
          <w:color w:val="auto"/>
          <w:szCs w:val="24"/>
          <w:highlight w:val="none"/>
          <w:lang w:eastAsia="zh-CN"/>
        </w:rPr>
        <w:t>与总承包人的界面划分</w:t>
      </w:r>
    </w:p>
    <w:p>
      <w:pPr>
        <w:pStyle w:val="241"/>
        <w:widowControl/>
        <w:snapToGrid w:val="0"/>
        <w:spacing w:line="360" w:lineRule="auto"/>
        <w:ind w:firstLine="0" w:firstLineChars="0"/>
        <w:jc w:val="left"/>
        <w:outlineLvl w:val="3"/>
        <w:rPr>
          <w:rFonts w:ascii="宋体" w:hAnsi="宋体" w:cs="宋体"/>
          <w:b/>
          <w:color w:val="auto"/>
          <w:kern w:val="0"/>
          <w:sz w:val="24"/>
          <w:highlight w:val="none"/>
        </w:rPr>
      </w:pPr>
      <w:r>
        <w:rPr>
          <w:rFonts w:ascii="宋体" w:hAnsi="宋体" w:cs="宋体"/>
          <w:b/>
          <w:color w:val="auto"/>
          <w:kern w:val="0"/>
          <w:sz w:val="24"/>
          <w:highlight w:val="none"/>
        </w:rPr>
        <w:t>1 .预留预埋</w:t>
      </w:r>
      <w:r>
        <w:rPr>
          <w:rFonts w:hint="eastAsia" w:ascii="宋体" w:hAnsi="宋体" w:cs="宋体"/>
          <w:b/>
          <w:color w:val="auto"/>
          <w:kern w:val="0"/>
          <w:sz w:val="24"/>
          <w:highlight w:val="none"/>
        </w:rPr>
        <w:t>及</w:t>
      </w:r>
      <w:r>
        <w:rPr>
          <w:rFonts w:ascii="宋体" w:hAnsi="宋体" w:cs="宋体"/>
          <w:b/>
          <w:color w:val="auto"/>
          <w:kern w:val="0"/>
          <w:sz w:val="24"/>
          <w:highlight w:val="none"/>
        </w:rPr>
        <w:t>封堵</w:t>
      </w:r>
    </w:p>
    <w:p>
      <w:pPr>
        <w:pStyle w:val="241"/>
        <w:widowControl/>
        <w:numPr>
          <w:ilvl w:val="0"/>
          <w:numId w:val="16"/>
        </w:numPr>
        <w:snapToGrid w:val="0"/>
        <w:spacing w:line="360" w:lineRule="auto"/>
        <w:ind w:firstLineChars="0"/>
        <w:rPr>
          <w:rFonts w:ascii="宋体" w:hAnsi="宋体" w:cs="宋体"/>
          <w:color w:val="auto"/>
          <w:kern w:val="0"/>
          <w:sz w:val="24"/>
          <w:highlight w:val="none"/>
        </w:rPr>
      </w:pPr>
      <w:r>
        <w:rPr>
          <w:rFonts w:hint="eastAsia" w:ascii="宋体" w:hAnsi="宋体" w:cs="宋体"/>
          <w:color w:val="auto"/>
          <w:kern w:val="0"/>
          <w:sz w:val="24"/>
          <w:highlight w:val="none"/>
        </w:rPr>
        <w:t>总</w:t>
      </w:r>
      <w:r>
        <w:rPr>
          <w:rFonts w:ascii="宋体" w:hAnsi="宋体" w:cs="宋体"/>
          <w:color w:val="auto"/>
          <w:kern w:val="0"/>
          <w:sz w:val="24"/>
          <w:highlight w:val="none"/>
        </w:rPr>
        <w:t>承包商负责给排水、动力（燃气、蒸汽）等承包</w:t>
      </w:r>
      <w:r>
        <w:rPr>
          <w:rFonts w:hint="eastAsia" w:ascii="宋体" w:hAnsi="宋体" w:cs="宋体"/>
          <w:color w:val="auto"/>
          <w:kern w:val="0"/>
          <w:sz w:val="24"/>
          <w:highlight w:val="none"/>
        </w:rPr>
        <w:t xml:space="preserve"> </w:t>
      </w:r>
      <w:r>
        <w:rPr>
          <w:rFonts w:ascii="宋体" w:hAnsi="宋体" w:cs="宋体"/>
          <w:color w:val="auto"/>
          <w:kern w:val="0"/>
          <w:sz w:val="24"/>
          <w:highlight w:val="none"/>
        </w:rPr>
        <w:t>范围机电专业的所有预留预埋、开槽及修复、套管预埋及封堵、孔洞封堵</w:t>
      </w:r>
      <w:r>
        <w:rPr>
          <w:rFonts w:hint="eastAsia" w:ascii="宋体" w:hAnsi="宋体" w:cs="宋体"/>
          <w:color w:val="auto"/>
          <w:kern w:val="0"/>
          <w:sz w:val="24"/>
          <w:highlight w:val="none"/>
        </w:rPr>
        <w:t>。</w:t>
      </w:r>
    </w:p>
    <w:p>
      <w:pPr>
        <w:pStyle w:val="241"/>
        <w:widowControl/>
        <w:numPr>
          <w:ilvl w:val="0"/>
          <w:numId w:val="16"/>
        </w:numPr>
        <w:snapToGrid w:val="0"/>
        <w:spacing w:line="360" w:lineRule="auto"/>
        <w:ind w:firstLineChars="0"/>
        <w:rPr>
          <w:rFonts w:ascii="宋体" w:hAnsi="宋体" w:cs="宋体"/>
          <w:color w:val="auto"/>
          <w:kern w:val="0"/>
          <w:sz w:val="24"/>
          <w:highlight w:val="none"/>
        </w:rPr>
      </w:pPr>
      <w:r>
        <w:rPr>
          <w:rFonts w:hint="eastAsia" w:ascii="宋体" w:hAnsi="宋体" w:cs="宋体"/>
          <w:color w:val="auto"/>
          <w:kern w:val="0"/>
          <w:sz w:val="24"/>
          <w:highlight w:val="none"/>
        </w:rPr>
        <w:t>孔洞</w:t>
      </w:r>
      <w:r>
        <w:rPr>
          <w:rFonts w:ascii="宋体" w:hAnsi="宋体" w:cs="宋体"/>
          <w:color w:val="auto"/>
          <w:kern w:val="0"/>
          <w:sz w:val="24"/>
          <w:highlight w:val="none"/>
        </w:rPr>
        <w:t>封堵</w:t>
      </w:r>
      <w:r>
        <w:rPr>
          <w:rFonts w:hint="eastAsia" w:ascii="宋体" w:hAnsi="宋体" w:cs="宋体"/>
          <w:color w:val="auto"/>
          <w:kern w:val="0"/>
          <w:sz w:val="24"/>
          <w:highlight w:val="none"/>
        </w:rPr>
        <w:t>：</w:t>
      </w:r>
    </w:p>
    <w:p>
      <w:pPr>
        <w:pStyle w:val="241"/>
        <w:widowControl/>
        <w:numPr>
          <w:ilvl w:val="0"/>
          <w:numId w:val="17"/>
        </w:numPr>
        <w:snapToGrid w:val="0"/>
        <w:spacing w:line="360" w:lineRule="auto"/>
        <w:ind w:firstLineChars="0"/>
        <w:rPr>
          <w:rFonts w:ascii="宋体" w:hAnsi="宋体" w:cs="宋体"/>
          <w:color w:val="auto"/>
          <w:kern w:val="0"/>
          <w:sz w:val="24"/>
          <w:highlight w:val="none"/>
        </w:rPr>
      </w:pPr>
      <w:r>
        <w:rPr>
          <w:rFonts w:hint="eastAsia" w:ascii="宋体" w:hAnsi="宋体" w:cs="宋体"/>
          <w:color w:val="auto"/>
          <w:kern w:val="0"/>
          <w:sz w:val="24"/>
          <w:highlight w:val="none"/>
        </w:rPr>
        <w:t>总</w:t>
      </w:r>
      <w:r>
        <w:rPr>
          <w:rFonts w:ascii="宋体" w:hAnsi="宋体" w:cs="宋体"/>
          <w:color w:val="auto"/>
          <w:kern w:val="0"/>
          <w:sz w:val="24"/>
          <w:highlight w:val="none"/>
        </w:rPr>
        <w:t>承包商负责装修的区域：</w:t>
      </w:r>
      <w:r>
        <w:rPr>
          <w:rFonts w:hint="eastAsia" w:ascii="宋体" w:hAnsi="宋体" w:cs="宋体"/>
          <w:color w:val="auto"/>
          <w:kern w:val="0"/>
          <w:sz w:val="24"/>
          <w:highlight w:val="none"/>
        </w:rPr>
        <w:t>医气</w:t>
      </w:r>
      <w:r>
        <w:rPr>
          <w:rFonts w:ascii="宋体" w:hAnsi="宋体" w:cs="宋体"/>
          <w:color w:val="auto"/>
          <w:kern w:val="0"/>
          <w:sz w:val="24"/>
          <w:highlight w:val="none"/>
        </w:rPr>
        <w:t>承包商负责</w:t>
      </w:r>
      <w:r>
        <w:rPr>
          <w:rFonts w:hint="eastAsia" w:ascii="宋体" w:hAnsi="宋体" w:cs="宋体"/>
          <w:color w:val="auto"/>
          <w:kern w:val="0"/>
          <w:sz w:val="24"/>
          <w:highlight w:val="none"/>
        </w:rPr>
        <w:t>承</w:t>
      </w:r>
      <w:r>
        <w:rPr>
          <w:rFonts w:ascii="宋体" w:hAnsi="宋体" w:cs="宋体"/>
          <w:color w:val="auto"/>
          <w:kern w:val="0"/>
          <w:sz w:val="24"/>
          <w:highlight w:val="none"/>
        </w:rPr>
        <w:t>包范围内管线</w:t>
      </w:r>
      <w:r>
        <w:rPr>
          <w:rFonts w:hint="eastAsia" w:ascii="宋体" w:hAnsi="宋体" w:cs="宋体"/>
          <w:color w:val="auto"/>
          <w:kern w:val="0"/>
          <w:sz w:val="24"/>
          <w:highlight w:val="none"/>
        </w:rPr>
        <w:t>穿墙</w:t>
      </w:r>
      <w:r>
        <w:rPr>
          <w:rFonts w:ascii="宋体" w:hAnsi="宋体" w:cs="宋体"/>
          <w:color w:val="auto"/>
          <w:kern w:val="0"/>
          <w:sz w:val="24"/>
          <w:highlight w:val="none"/>
        </w:rPr>
        <w:t>或楼板</w:t>
      </w:r>
      <w:r>
        <w:rPr>
          <w:rFonts w:hint="eastAsia" w:ascii="宋体" w:hAnsi="宋体" w:cs="宋体"/>
          <w:color w:val="auto"/>
          <w:kern w:val="0"/>
          <w:sz w:val="24"/>
          <w:highlight w:val="none"/>
        </w:rPr>
        <w:t>套管</w:t>
      </w:r>
      <w:r>
        <w:rPr>
          <w:rFonts w:ascii="宋体" w:hAnsi="宋体" w:cs="宋体"/>
          <w:color w:val="auto"/>
          <w:kern w:val="0"/>
          <w:sz w:val="24"/>
          <w:highlight w:val="none"/>
        </w:rPr>
        <w:t>内封堵</w:t>
      </w:r>
      <w:r>
        <w:rPr>
          <w:rFonts w:hint="eastAsia" w:ascii="宋体" w:hAnsi="宋体" w:cs="宋体"/>
          <w:color w:val="auto"/>
          <w:kern w:val="0"/>
          <w:sz w:val="24"/>
          <w:highlight w:val="none"/>
        </w:rPr>
        <w:t>，套</w:t>
      </w:r>
      <w:r>
        <w:rPr>
          <w:rFonts w:ascii="宋体" w:hAnsi="宋体" w:cs="宋体"/>
          <w:color w:val="auto"/>
          <w:kern w:val="0"/>
          <w:sz w:val="24"/>
          <w:highlight w:val="none"/>
        </w:rPr>
        <w:t>管</w:t>
      </w:r>
      <w:r>
        <w:rPr>
          <w:rFonts w:hint="eastAsia" w:ascii="宋体" w:hAnsi="宋体" w:cs="宋体"/>
          <w:color w:val="auto"/>
          <w:kern w:val="0"/>
          <w:sz w:val="24"/>
          <w:highlight w:val="none"/>
        </w:rPr>
        <w:t>外</w:t>
      </w:r>
      <w:r>
        <w:rPr>
          <w:rFonts w:ascii="宋体" w:hAnsi="宋体" w:cs="宋体"/>
          <w:color w:val="auto"/>
          <w:kern w:val="0"/>
          <w:sz w:val="24"/>
          <w:highlight w:val="none"/>
        </w:rPr>
        <w:t>的</w:t>
      </w:r>
      <w:r>
        <w:rPr>
          <w:rFonts w:hint="eastAsia" w:ascii="宋体" w:hAnsi="宋体" w:cs="宋体"/>
          <w:color w:val="auto"/>
          <w:kern w:val="0"/>
          <w:sz w:val="24"/>
          <w:highlight w:val="none"/>
        </w:rPr>
        <w:t>孔洞</w:t>
      </w:r>
      <w:r>
        <w:rPr>
          <w:rFonts w:ascii="宋体" w:hAnsi="宋体" w:cs="宋体"/>
          <w:color w:val="auto"/>
          <w:kern w:val="0"/>
          <w:sz w:val="24"/>
          <w:highlight w:val="none"/>
        </w:rPr>
        <w:t>封堵由</w:t>
      </w:r>
      <w:r>
        <w:rPr>
          <w:rFonts w:hint="eastAsia" w:ascii="宋体" w:hAnsi="宋体" w:cs="宋体"/>
          <w:color w:val="auto"/>
          <w:kern w:val="0"/>
          <w:sz w:val="24"/>
          <w:highlight w:val="none"/>
        </w:rPr>
        <w:t>总</w:t>
      </w:r>
      <w:r>
        <w:rPr>
          <w:rFonts w:ascii="宋体" w:hAnsi="宋体" w:cs="宋体"/>
          <w:color w:val="auto"/>
          <w:kern w:val="0"/>
          <w:sz w:val="24"/>
          <w:highlight w:val="none"/>
        </w:rPr>
        <w:t>承包商负责</w:t>
      </w:r>
      <w:r>
        <w:rPr>
          <w:rFonts w:hint="eastAsia" w:ascii="宋体" w:hAnsi="宋体" w:cs="宋体"/>
          <w:color w:val="auto"/>
          <w:kern w:val="0"/>
          <w:sz w:val="24"/>
          <w:highlight w:val="none"/>
        </w:rPr>
        <w:t>；</w:t>
      </w:r>
      <w:r>
        <w:rPr>
          <w:rFonts w:ascii="宋体" w:hAnsi="宋体" w:cs="宋体"/>
          <w:color w:val="auto"/>
          <w:kern w:val="0"/>
          <w:sz w:val="24"/>
          <w:highlight w:val="none"/>
        </w:rPr>
        <w:t>如管</w:t>
      </w:r>
      <w:r>
        <w:rPr>
          <w:rFonts w:hint="eastAsia" w:ascii="宋体" w:hAnsi="宋体" w:cs="宋体"/>
          <w:color w:val="auto"/>
          <w:kern w:val="0"/>
          <w:sz w:val="24"/>
          <w:highlight w:val="none"/>
        </w:rPr>
        <w:t>线</w:t>
      </w:r>
      <w:r>
        <w:rPr>
          <w:rFonts w:ascii="宋体" w:hAnsi="宋体" w:cs="宋体"/>
          <w:color w:val="auto"/>
          <w:kern w:val="0"/>
          <w:sz w:val="24"/>
          <w:highlight w:val="none"/>
        </w:rPr>
        <w:t>无套管，则管线</w:t>
      </w:r>
      <w:r>
        <w:rPr>
          <w:rFonts w:hint="eastAsia" w:ascii="宋体" w:hAnsi="宋体" w:cs="宋体"/>
          <w:color w:val="auto"/>
          <w:kern w:val="0"/>
          <w:sz w:val="24"/>
          <w:highlight w:val="none"/>
        </w:rPr>
        <w:t>与</w:t>
      </w:r>
      <w:r>
        <w:rPr>
          <w:rFonts w:ascii="宋体" w:hAnsi="宋体" w:cs="宋体"/>
          <w:color w:val="auto"/>
          <w:kern w:val="0"/>
          <w:sz w:val="24"/>
          <w:highlight w:val="none"/>
        </w:rPr>
        <w:t>土建孔洞之间的封堵由</w:t>
      </w:r>
      <w:r>
        <w:rPr>
          <w:rFonts w:hint="eastAsia" w:ascii="宋体" w:hAnsi="宋体" w:cs="宋体"/>
          <w:color w:val="auto"/>
          <w:kern w:val="0"/>
          <w:sz w:val="24"/>
          <w:highlight w:val="none"/>
        </w:rPr>
        <w:t>医疗气体承</w:t>
      </w:r>
      <w:r>
        <w:rPr>
          <w:rFonts w:ascii="宋体" w:hAnsi="宋体" w:cs="宋体"/>
          <w:color w:val="auto"/>
          <w:kern w:val="0"/>
          <w:sz w:val="24"/>
          <w:highlight w:val="none"/>
        </w:rPr>
        <w:t>包商负责。</w:t>
      </w:r>
    </w:p>
    <w:p>
      <w:pPr>
        <w:pStyle w:val="241"/>
        <w:widowControl/>
        <w:numPr>
          <w:ilvl w:val="0"/>
          <w:numId w:val="17"/>
        </w:numPr>
        <w:snapToGrid w:val="0"/>
        <w:spacing w:line="360" w:lineRule="auto"/>
        <w:ind w:firstLineChars="0"/>
        <w:rPr>
          <w:rFonts w:ascii="宋体" w:hAnsi="宋体" w:cs="宋体"/>
          <w:color w:val="auto"/>
          <w:kern w:val="0"/>
          <w:sz w:val="24"/>
          <w:highlight w:val="none"/>
        </w:rPr>
      </w:pPr>
      <w:r>
        <w:rPr>
          <w:rFonts w:hint="eastAsia" w:ascii="宋体" w:hAnsi="宋体" w:cs="宋体"/>
          <w:color w:val="auto"/>
          <w:kern w:val="0"/>
          <w:sz w:val="24"/>
          <w:highlight w:val="none"/>
        </w:rPr>
        <w:t>其</w:t>
      </w:r>
      <w:r>
        <w:rPr>
          <w:rFonts w:ascii="宋体" w:hAnsi="宋体" w:cs="宋体"/>
          <w:color w:val="auto"/>
          <w:kern w:val="0"/>
          <w:sz w:val="24"/>
          <w:highlight w:val="none"/>
        </w:rPr>
        <w:t>它承包商</w:t>
      </w:r>
      <w:r>
        <w:rPr>
          <w:rFonts w:hint="eastAsia" w:ascii="宋体" w:hAnsi="宋体" w:cs="宋体"/>
          <w:color w:val="auto"/>
          <w:kern w:val="0"/>
          <w:sz w:val="24"/>
          <w:highlight w:val="none"/>
        </w:rPr>
        <w:t>负责装</w:t>
      </w:r>
      <w:r>
        <w:rPr>
          <w:rFonts w:ascii="宋体" w:hAnsi="宋体" w:cs="宋体"/>
          <w:color w:val="auto"/>
          <w:kern w:val="0"/>
          <w:sz w:val="24"/>
          <w:highlight w:val="none"/>
        </w:rPr>
        <w:t>修</w:t>
      </w:r>
      <w:r>
        <w:rPr>
          <w:rFonts w:hint="eastAsia" w:ascii="宋体" w:hAnsi="宋体" w:cs="宋体"/>
          <w:color w:val="auto"/>
          <w:kern w:val="0"/>
          <w:sz w:val="24"/>
          <w:highlight w:val="none"/>
        </w:rPr>
        <w:t>的</w:t>
      </w:r>
      <w:r>
        <w:rPr>
          <w:rFonts w:ascii="宋体" w:hAnsi="宋体" w:cs="宋体"/>
          <w:color w:val="auto"/>
          <w:kern w:val="0"/>
          <w:sz w:val="24"/>
          <w:highlight w:val="none"/>
        </w:rPr>
        <w:t>区域：承包商负责</w:t>
      </w:r>
      <w:r>
        <w:rPr>
          <w:rFonts w:hint="eastAsia" w:ascii="宋体" w:hAnsi="宋体" w:cs="宋体"/>
          <w:color w:val="auto"/>
          <w:kern w:val="0"/>
          <w:sz w:val="24"/>
          <w:highlight w:val="none"/>
        </w:rPr>
        <w:t>承</w:t>
      </w:r>
      <w:r>
        <w:rPr>
          <w:rFonts w:ascii="宋体" w:hAnsi="宋体" w:cs="宋体"/>
          <w:color w:val="auto"/>
          <w:kern w:val="0"/>
          <w:sz w:val="24"/>
          <w:highlight w:val="none"/>
        </w:rPr>
        <w:t>包范围内</w:t>
      </w:r>
      <w:r>
        <w:rPr>
          <w:rFonts w:hint="eastAsia" w:ascii="宋体" w:hAnsi="宋体" w:cs="宋体"/>
          <w:color w:val="auto"/>
          <w:kern w:val="0"/>
          <w:sz w:val="24"/>
          <w:highlight w:val="none"/>
        </w:rPr>
        <w:t>机</w:t>
      </w:r>
      <w:r>
        <w:rPr>
          <w:rFonts w:ascii="宋体" w:hAnsi="宋体" w:cs="宋体"/>
          <w:color w:val="auto"/>
          <w:kern w:val="0"/>
          <w:sz w:val="24"/>
          <w:highlight w:val="none"/>
        </w:rPr>
        <w:t>电管线</w:t>
      </w:r>
      <w:r>
        <w:rPr>
          <w:rFonts w:hint="eastAsia" w:ascii="宋体" w:hAnsi="宋体" w:cs="宋体"/>
          <w:color w:val="auto"/>
          <w:kern w:val="0"/>
          <w:sz w:val="24"/>
          <w:highlight w:val="none"/>
        </w:rPr>
        <w:t>穿墙</w:t>
      </w:r>
      <w:r>
        <w:rPr>
          <w:rFonts w:ascii="宋体" w:hAnsi="宋体" w:cs="宋体"/>
          <w:color w:val="auto"/>
          <w:kern w:val="0"/>
          <w:sz w:val="24"/>
          <w:highlight w:val="none"/>
        </w:rPr>
        <w:t>或楼板</w:t>
      </w:r>
      <w:r>
        <w:rPr>
          <w:rFonts w:hint="eastAsia" w:ascii="宋体" w:hAnsi="宋体" w:cs="宋体"/>
          <w:color w:val="auto"/>
          <w:kern w:val="0"/>
          <w:sz w:val="24"/>
          <w:highlight w:val="none"/>
        </w:rPr>
        <w:t>套管</w:t>
      </w:r>
      <w:r>
        <w:rPr>
          <w:rFonts w:ascii="宋体" w:hAnsi="宋体" w:cs="宋体"/>
          <w:color w:val="auto"/>
          <w:kern w:val="0"/>
          <w:sz w:val="24"/>
          <w:highlight w:val="none"/>
        </w:rPr>
        <w:t>内封堵</w:t>
      </w:r>
      <w:r>
        <w:rPr>
          <w:rFonts w:hint="eastAsia" w:ascii="宋体" w:hAnsi="宋体" w:cs="宋体"/>
          <w:color w:val="auto"/>
          <w:kern w:val="0"/>
          <w:sz w:val="24"/>
          <w:highlight w:val="none"/>
        </w:rPr>
        <w:t>，套</w:t>
      </w:r>
      <w:r>
        <w:rPr>
          <w:rFonts w:ascii="宋体" w:hAnsi="宋体" w:cs="宋体"/>
          <w:color w:val="auto"/>
          <w:kern w:val="0"/>
          <w:sz w:val="24"/>
          <w:highlight w:val="none"/>
        </w:rPr>
        <w:t>管</w:t>
      </w:r>
      <w:r>
        <w:rPr>
          <w:rFonts w:hint="eastAsia" w:ascii="宋体" w:hAnsi="宋体" w:cs="宋体"/>
          <w:color w:val="auto"/>
          <w:kern w:val="0"/>
          <w:sz w:val="24"/>
          <w:highlight w:val="none"/>
        </w:rPr>
        <w:t>外</w:t>
      </w:r>
      <w:r>
        <w:rPr>
          <w:rFonts w:ascii="宋体" w:hAnsi="宋体" w:cs="宋体"/>
          <w:color w:val="auto"/>
          <w:kern w:val="0"/>
          <w:sz w:val="24"/>
          <w:highlight w:val="none"/>
        </w:rPr>
        <w:t>的</w:t>
      </w:r>
      <w:r>
        <w:rPr>
          <w:rFonts w:hint="eastAsia" w:ascii="宋体" w:hAnsi="宋体" w:cs="宋体"/>
          <w:color w:val="auto"/>
          <w:kern w:val="0"/>
          <w:sz w:val="24"/>
          <w:highlight w:val="none"/>
        </w:rPr>
        <w:t>孔</w:t>
      </w:r>
      <w:r>
        <w:rPr>
          <w:rFonts w:ascii="宋体" w:hAnsi="宋体" w:cs="宋体"/>
          <w:color w:val="auto"/>
          <w:kern w:val="0"/>
          <w:sz w:val="24"/>
          <w:highlight w:val="none"/>
        </w:rPr>
        <w:t>洞封堵由</w:t>
      </w:r>
      <w:r>
        <w:rPr>
          <w:rFonts w:hint="eastAsia" w:ascii="宋体" w:hAnsi="宋体" w:cs="宋体"/>
          <w:color w:val="auto"/>
          <w:kern w:val="0"/>
          <w:sz w:val="24"/>
          <w:highlight w:val="none"/>
        </w:rPr>
        <w:t>装修承</w:t>
      </w:r>
      <w:r>
        <w:rPr>
          <w:rFonts w:ascii="宋体" w:hAnsi="宋体" w:cs="宋体"/>
          <w:color w:val="auto"/>
          <w:kern w:val="0"/>
          <w:sz w:val="24"/>
          <w:highlight w:val="none"/>
        </w:rPr>
        <w:t>包商负责</w:t>
      </w:r>
      <w:r>
        <w:rPr>
          <w:rFonts w:hint="eastAsia" w:ascii="宋体" w:hAnsi="宋体" w:cs="宋体"/>
          <w:color w:val="auto"/>
          <w:kern w:val="0"/>
          <w:sz w:val="24"/>
          <w:highlight w:val="none"/>
        </w:rPr>
        <w:t>；</w:t>
      </w:r>
      <w:r>
        <w:rPr>
          <w:rFonts w:ascii="宋体" w:hAnsi="宋体" w:cs="宋体"/>
          <w:color w:val="auto"/>
          <w:kern w:val="0"/>
          <w:sz w:val="24"/>
          <w:highlight w:val="none"/>
        </w:rPr>
        <w:t>如管</w:t>
      </w:r>
      <w:r>
        <w:rPr>
          <w:rFonts w:hint="eastAsia" w:ascii="宋体" w:hAnsi="宋体" w:cs="宋体"/>
          <w:color w:val="auto"/>
          <w:kern w:val="0"/>
          <w:sz w:val="24"/>
          <w:highlight w:val="none"/>
        </w:rPr>
        <w:t>线</w:t>
      </w:r>
      <w:r>
        <w:rPr>
          <w:rFonts w:ascii="宋体" w:hAnsi="宋体" w:cs="宋体"/>
          <w:color w:val="auto"/>
          <w:kern w:val="0"/>
          <w:sz w:val="24"/>
          <w:highlight w:val="none"/>
        </w:rPr>
        <w:t>无套管，则管线</w:t>
      </w:r>
      <w:r>
        <w:rPr>
          <w:rFonts w:hint="eastAsia" w:ascii="宋体" w:hAnsi="宋体" w:cs="宋体"/>
          <w:color w:val="auto"/>
          <w:kern w:val="0"/>
          <w:sz w:val="24"/>
          <w:highlight w:val="none"/>
        </w:rPr>
        <w:t>与</w:t>
      </w:r>
      <w:r>
        <w:rPr>
          <w:rFonts w:ascii="宋体" w:hAnsi="宋体" w:cs="宋体"/>
          <w:color w:val="auto"/>
          <w:kern w:val="0"/>
          <w:sz w:val="24"/>
          <w:highlight w:val="none"/>
        </w:rPr>
        <w:t>土建孔洞之间的封堵由</w:t>
      </w:r>
      <w:r>
        <w:rPr>
          <w:rFonts w:hint="eastAsia" w:ascii="宋体" w:hAnsi="宋体" w:cs="宋体"/>
          <w:color w:val="auto"/>
          <w:kern w:val="0"/>
          <w:sz w:val="24"/>
          <w:highlight w:val="none"/>
        </w:rPr>
        <w:t>医疗气体</w:t>
      </w:r>
      <w:r>
        <w:rPr>
          <w:rFonts w:ascii="宋体" w:hAnsi="宋体" w:cs="宋体"/>
          <w:color w:val="auto"/>
          <w:kern w:val="0"/>
          <w:sz w:val="24"/>
          <w:highlight w:val="none"/>
        </w:rPr>
        <w:t>承包商负责。</w:t>
      </w:r>
    </w:p>
    <w:p>
      <w:pPr>
        <w:pStyle w:val="241"/>
        <w:widowControl/>
        <w:numPr>
          <w:ilvl w:val="0"/>
          <w:numId w:val="16"/>
        </w:numPr>
        <w:snapToGrid w:val="0"/>
        <w:spacing w:line="360" w:lineRule="auto"/>
        <w:ind w:firstLineChars="0"/>
        <w:rPr>
          <w:rFonts w:ascii="宋体" w:hAnsi="宋体" w:cs="宋体"/>
          <w:color w:val="auto"/>
          <w:kern w:val="0"/>
          <w:sz w:val="24"/>
          <w:highlight w:val="none"/>
        </w:rPr>
      </w:pPr>
      <w:r>
        <w:rPr>
          <w:rFonts w:hint="eastAsia" w:ascii="宋体" w:hAnsi="宋体" w:cs="宋体"/>
          <w:color w:val="auto"/>
          <w:kern w:val="0"/>
          <w:sz w:val="24"/>
          <w:highlight w:val="none"/>
        </w:rPr>
        <w:t>医疗气体</w:t>
      </w:r>
      <w:r>
        <w:rPr>
          <w:rFonts w:ascii="宋体" w:hAnsi="宋体" w:cs="宋体"/>
          <w:color w:val="auto"/>
          <w:kern w:val="0"/>
          <w:sz w:val="24"/>
          <w:highlight w:val="none"/>
        </w:rPr>
        <w:t>承包</w:t>
      </w:r>
      <w:r>
        <w:rPr>
          <w:rFonts w:hint="eastAsia" w:ascii="宋体" w:hAnsi="宋体" w:cs="宋体"/>
          <w:color w:val="auto"/>
          <w:kern w:val="0"/>
          <w:sz w:val="24"/>
          <w:highlight w:val="none"/>
        </w:rPr>
        <w:t>商负责</w:t>
      </w:r>
      <w:r>
        <w:rPr>
          <w:rFonts w:ascii="宋体" w:hAnsi="宋体" w:cs="宋体"/>
          <w:color w:val="auto"/>
          <w:kern w:val="0"/>
          <w:sz w:val="24"/>
          <w:highlight w:val="none"/>
        </w:rPr>
        <w:t>其承包</w:t>
      </w:r>
      <w:r>
        <w:rPr>
          <w:rFonts w:hint="eastAsia" w:ascii="宋体" w:hAnsi="宋体" w:cs="宋体"/>
          <w:color w:val="auto"/>
          <w:kern w:val="0"/>
          <w:sz w:val="24"/>
          <w:highlight w:val="none"/>
        </w:rPr>
        <w:t>范围</w:t>
      </w:r>
      <w:r>
        <w:rPr>
          <w:rFonts w:ascii="宋体" w:hAnsi="宋体" w:cs="宋体"/>
          <w:color w:val="auto"/>
          <w:kern w:val="0"/>
          <w:sz w:val="24"/>
          <w:highlight w:val="none"/>
        </w:rPr>
        <w:t>内</w:t>
      </w:r>
      <w:r>
        <w:rPr>
          <w:rFonts w:hint="eastAsia" w:ascii="宋体" w:hAnsi="宋体" w:cs="宋体"/>
          <w:color w:val="auto"/>
          <w:kern w:val="0"/>
          <w:sz w:val="24"/>
          <w:highlight w:val="none"/>
        </w:rPr>
        <w:t>在</w:t>
      </w:r>
      <w:r>
        <w:rPr>
          <w:rFonts w:ascii="宋体" w:hAnsi="宋体" w:cs="宋体"/>
          <w:color w:val="auto"/>
          <w:kern w:val="0"/>
          <w:sz w:val="24"/>
          <w:highlight w:val="none"/>
        </w:rPr>
        <w:t>其进场后</w:t>
      </w:r>
      <w:r>
        <w:rPr>
          <w:rFonts w:hint="eastAsia" w:ascii="宋体" w:hAnsi="宋体" w:cs="宋体"/>
          <w:color w:val="auto"/>
          <w:kern w:val="0"/>
          <w:sz w:val="24"/>
          <w:highlight w:val="none"/>
        </w:rPr>
        <w:t>设计变更</w:t>
      </w:r>
      <w:r>
        <w:rPr>
          <w:rFonts w:ascii="宋体" w:hAnsi="宋体" w:cs="宋体"/>
          <w:color w:val="auto"/>
          <w:kern w:val="0"/>
          <w:sz w:val="24"/>
          <w:highlight w:val="none"/>
        </w:rPr>
        <w:t>引起的</w:t>
      </w:r>
      <w:r>
        <w:rPr>
          <w:rFonts w:hint="eastAsia" w:ascii="宋体" w:hAnsi="宋体" w:cs="宋体"/>
          <w:color w:val="auto"/>
          <w:kern w:val="0"/>
          <w:sz w:val="24"/>
          <w:highlight w:val="none"/>
        </w:rPr>
        <w:t>后</w:t>
      </w:r>
      <w:r>
        <w:rPr>
          <w:rFonts w:ascii="宋体" w:hAnsi="宋体" w:cs="宋体"/>
          <w:color w:val="auto"/>
          <w:kern w:val="0"/>
          <w:sz w:val="24"/>
          <w:highlight w:val="none"/>
        </w:rPr>
        <w:t>开洞及</w:t>
      </w:r>
      <w:r>
        <w:rPr>
          <w:rFonts w:hint="eastAsia" w:ascii="宋体" w:hAnsi="宋体" w:cs="宋体"/>
          <w:color w:val="auto"/>
          <w:kern w:val="0"/>
          <w:sz w:val="24"/>
          <w:highlight w:val="none"/>
        </w:rPr>
        <w:t>洞</w:t>
      </w:r>
      <w:r>
        <w:rPr>
          <w:rFonts w:ascii="宋体" w:hAnsi="宋体" w:cs="宋体"/>
          <w:color w:val="auto"/>
          <w:kern w:val="0"/>
          <w:sz w:val="24"/>
          <w:highlight w:val="none"/>
        </w:rPr>
        <w:t>口封</w:t>
      </w:r>
      <w:r>
        <w:rPr>
          <w:rFonts w:hint="eastAsia" w:ascii="宋体" w:hAnsi="宋体" w:cs="宋体"/>
          <w:color w:val="auto"/>
          <w:kern w:val="0"/>
          <w:sz w:val="24"/>
          <w:highlight w:val="none"/>
        </w:rPr>
        <w:t>堵。</w:t>
      </w:r>
    </w:p>
    <w:p>
      <w:pPr>
        <w:pStyle w:val="241"/>
        <w:widowControl/>
        <w:numPr>
          <w:ilvl w:val="0"/>
          <w:numId w:val="16"/>
        </w:numPr>
        <w:snapToGrid w:val="0"/>
        <w:spacing w:line="360" w:lineRule="auto"/>
        <w:ind w:firstLineChars="0"/>
        <w:rPr>
          <w:rFonts w:ascii="宋体" w:hAnsi="宋体" w:cs="宋体"/>
          <w:color w:val="auto"/>
          <w:kern w:val="0"/>
          <w:sz w:val="24"/>
          <w:highlight w:val="none"/>
        </w:rPr>
      </w:pPr>
      <w:r>
        <w:rPr>
          <w:rFonts w:hint="eastAsia" w:ascii="宋体" w:hAnsi="宋体" w:cs="宋体"/>
          <w:color w:val="auto"/>
          <w:kern w:val="0"/>
          <w:sz w:val="24"/>
          <w:highlight w:val="none"/>
        </w:rPr>
        <w:t>医疗气体</w:t>
      </w:r>
      <w:r>
        <w:rPr>
          <w:rFonts w:ascii="宋体" w:hAnsi="宋体" w:cs="宋体"/>
          <w:color w:val="auto"/>
          <w:kern w:val="0"/>
          <w:sz w:val="24"/>
          <w:highlight w:val="none"/>
        </w:rPr>
        <w:t>承包商负责</w:t>
      </w:r>
      <w:r>
        <w:rPr>
          <w:rFonts w:hint="eastAsia" w:ascii="宋体" w:hAnsi="宋体" w:cs="宋体"/>
          <w:color w:val="auto"/>
          <w:kern w:val="0"/>
          <w:sz w:val="24"/>
          <w:highlight w:val="none"/>
        </w:rPr>
        <w:t>其</w:t>
      </w:r>
      <w:r>
        <w:rPr>
          <w:rFonts w:ascii="宋体" w:hAnsi="宋体" w:cs="宋体"/>
          <w:color w:val="auto"/>
          <w:kern w:val="0"/>
          <w:sz w:val="24"/>
          <w:highlight w:val="none"/>
        </w:rPr>
        <w:t>承包范围内</w:t>
      </w:r>
      <w:r>
        <w:rPr>
          <w:rFonts w:hint="eastAsia" w:ascii="宋体" w:hAnsi="宋体" w:cs="宋体"/>
          <w:color w:val="auto"/>
          <w:kern w:val="0"/>
          <w:sz w:val="24"/>
          <w:highlight w:val="none"/>
        </w:rPr>
        <w:t>按</w:t>
      </w:r>
      <w:r>
        <w:rPr>
          <w:rFonts w:ascii="宋体" w:hAnsi="宋体" w:cs="宋体"/>
          <w:color w:val="auto"/>
          <w:kern w:val="0"/>
          <w:sz w:val="24"/>
          <w:highlight w:val="none"/>
        </w:rPr>
        <w:t>施工图</w:t>
      </w:r>
      <w:r>
        <w:rPr>
          <w:rFonts w:hint="eastAsia" w:ascii="宋体" w:hAnsi="宋体" w:cs="宋体"/>
          <w:color w:val="auto"/>
          <w:kern w:val="0"/>
          <w:sz w:val="24"/>
          <w:highlight w:val="none"/>
        </w:rPr>
        <w:t>及</w:t>
      </w:r>
      <w:r>
        <w:rPr>
          <w:rFonts w:ascii="宋体" w:hAnsi="宋体" w:cs="宋体"/>
          <w:color w:val="auto"/>
          <w:kern w:val="0"/>
          <w:sz w:val="24"/>
          <w:highlight w:val="none"/>
        </w:rPr>
        <w:t>设计变更施工的管线</w:t>
      </w:r>
      <w:r>
        <w:rPr>
          <w:rFonts w:hint="eastAsia" w:ascii="宋体" w:hAnsi="宋体" w:cs="宋体"/>
          <w:color w:val="auto"/>
          <w:kern w:val="0"/>
          <w:sz w:val="24"/>
          <w:highlight w:val="none"/>
        </w:rPr>
        <w:t>开槽</w:t>
      </w:r>
      <w:r>
        <w:rPr>
          <w:rFonts w:ascii="宋体" w:hAnsi="宋体" w:cs="宋体"/>
          <w:color w:val="auto"/>
          <w:kern w:val="0"/>
          <w:sz w:val="24"/>
          <w:highlight w:val="none"/>
        </w:rPr>
        <w:t>及敷</w:t>
      </w:r>
      <w:r>
        <w:rPr>
          <w:rFonts w:hint="eastAsia" w:ascii="宋体" w:hAnsi="宋体" w:cs="宋体"/>
          <w:color w:val="auto"/>
          <w:kern w:val="0"/>
          <w:sz w:val="24"/>
          <w:highlight w:val="none"/>
        </w:rPr>
        <w:t>管及</w:t>
      </w:r>
      <w:r>
        <w:rPr>
          <w:rFonts w:ascii="宋体" w:hAnsi="宋体" w:cs="宋体"/>
          <w:color w:val="auto"/>
          <w:kern w:val="0"/>
          <w:sz w:val="24"/>
          <w:highlight w:val="none"/>
        </w:rPr>
        <w:t>开槽</w:t>
      </w:r>
      <w:r>
        <w:rPr>
          <w:rFonts w:hint="eastAsia" w:ascii="宋体" w:hAnsi="宋体" w:cs="宋体"/>
          <w:color w:val="auto"/>
          <w:kern w:val="0"/>
          <w:sz w:val="24"/>
          <w:highlight w:val="none"/>
        </w:rPr>
        <w:t>敷管之后</w:t>
      </w:r>
      <w:r>
        <w:rPr>
          <w:rFonts w:ascii="宋体" w:hAnsi="宋体" w:cs="宋体"/>
          <w:color w:val="auto"/>
          <w:kern w:val="0"/>
          <w:sz w:val="24"/>
          <w:highlight w:val="none"/>
        </w:rPr>
        <w:t>的补槽</w:t>
      </w:r>
      <w:r>
        <w:rPr>
          <w:rFonts w:hint="eastAsia" w:ascii="宋体" w:hAnsi="宋体" w:cs="宋体"/>
          <w:color w:val="auto"/>
          <w:kern w:val="0"/>
          <w:sz w:val="24"/>
          <w:highlight w:val="none"/>
        </w:rPr>
        <w:t>、</w:t>
      </w:r>
      <w:r>
        <w:rPr>
          <w:rFonts w:ascii="宋体" w:hAnsi="宋体" w:cs="宋体"/>
          <w:color w:val="auto"/>
          <w:kern w:val="0"/>
          <w:sz w:val="24"/>
          <w:highlight w:val="none"/>
        </w:rPr>
        <w:t>挂网</w:t>
      </w:r>
      <w:r>
        <w:rPr>
          <w:rFonts w:hint="eastAsia" w:ascii="宋体" w:hAnsi="宋体" w:cs="宋体"/>
          <w:color w:val="auto"/>
          <w:kern w:val="0"/>
          <w:sz w:val="24"/>
          <w:highlight w:val="none"/>
        </w:rPr>
        <w:t>、抹</w:t>
      </w:r>
      <w:r>
        <w:rPr>
          <w:rFonts w:ascii="宋体" w:hAnsi="宋体" w:cs="宋体"/>
          <w:color w:val="auto"/>
          <w:kern w:val="0"/>
          <w:sz w:val="24"/>
          <w:highlight w:val="none"/>
        </w:rPr>
        <w:t>灰</w:t>
      </w:r>
      <w:r>
        <w:rPr>
          <w:rFonts w:hint="eastAsia" w:ascii="宋体" w:hAnsi="宋体" w:cs="宋体"/>
          <w:color w:val="auto"/>
          <w:kern w:val="0"/>
          <w:sz w:val="24"/>
          <w:highlight w:val="none"/>
        </w:rPr>
        <w:t>及</w:t>
      </w:r>
      <w:r>
        <w:rPr>
          <w:rFonts w:ascii="宋体" w:hAnsi="宋体" w:cs="宋体"/>
          <w:color w:val="auto"/>
          <w:kern w:val="0"/>
          <w:sz w:val="24"/>
          <w:highlight w:val="none"/>
        </w:rPr>
        <w:t>收边收口</w:t>
      </w:r>
      <w:r>
        <w:rPr>
          <w:rFonts w:hint="eastAsia" w:ascii="宋体" w:hAnsi="宋体" w:cs="宋体"/>
          <w:color w:val="auto"/>
          <w:kern w:val="0"/>
          <w:sz w:val="24"/>
          <w:highlight w:val="none"/>
        </w:rPr>
        <w:t>等</w:t>
      </w:r>
      <w:r>
        <w:rPr>
          <w:rFonts w:ascii="宋体" w:hAnsi="宋体" w:cs="宋体"/>
          <w:color w:val="auto"/>
          <w:kern w:val="0"/>
          <w:sz w:val="24"/>
          <w:highlight w:val="none"/>
        </w:rPr>
        <w:t>所有工作</w:t>
      </w:r>
      <w:r>
        <w:rPr>
          <w:rFonts w:hint="eastAsia" w:ascii="宋体" w:hAnsi="宋体" w:cs="宋体"/>
          <w:color w:val="auto"/>
          <w:kern w:val="0"/>
          <w:sz w:val="24"/>
          <w:highlight w:val="none"/>
        </w:rPr>
        <w:t>。</w:t>
      </w:r>
    </w:p>
    <w:p>
      <w:pPr>
        <w:pStyle w:val="241"/>
        <w:widowControl/>
        <w:snapToGrid w:val="0"/>
        <w:spacing w:line="360" w:lineRule="auto"/>
        <w:ind w:firstLine="0" w:firstLineChars="0"/>
        <w:jc w:val="left"/>
        <w:outlineLvl w:val="3"/>
        <w:rPr>
          <w:rFonts w:ascii="宋体" w:hAnsi="宋体" w:cs="宋体"/>
          <w:b/>
          <w:color w:val="auto"/>
          <w:kern w:val="0"/>
          <w:sz w:val="24"/>
          <w:highlight w:val="none"/>
        </w:rPr>
      </w:pPr>
      <w:r>
        <w:rPr>
          <w:rFonts w:ascii="宋体" w:hAnsi="宋体" w:cs="宋体"/>
          <w:b/>
          <w:color w:val="auto"/>
          <w:kern w:val="0"/>
          <w:sz w:val="24"/>
          <w:highlight w:val="none"/>
        </w:rPr>
        <w:t>2 .</w:t>
      </w:r>
      <w:r>
        <w:rPr>
          <w:rFonts w:hint="eastAsia" w:ascii="宋体" w:hAnsi="宋体" w:cs="宋体"/>
          <w:b/>
          <w:color w:val="auto"/>
          <w:kern w:val="0"/>
          <w:sz w:val="24"/>
          <w:highlight w:val="none"/>
        </w:rPr>
        <w:t>建筑及</w:t>
      </w:r>
      <w:r>
        <w:rPr>
          <w:rFonts w:ascii="宋体" w:hAnsi="宋体" w:cs="宋体"/>
          <w:b/>
          <w:color w:val="auto"/>
          <w:kern w:val="0"/>
          <w:sz w:val="24"/>
          <w:highlight w:val="none"/>
        </w:rPr>
        <w:t>装饰</w:t>
      </w:r>
    </w:p>
    <w:p>
      <w:pPr>
        <w:pStyle w:val="241"/>
        <w:widowControl/>
        <w:numPr>
          <w:ilvl w:val="0"/>
          <w:numId w:val="18"/>
        </w:numPr>
        <w:snapToGrid w:val="0"/>
        <w:spacing w:line="360" w:lineRule="auto"/>
        <w:ind w:firstLineChars="0"/>
        <w:rPr>
          <w:rFonts w:ascii="宋体" w:hAnsi="宋体" w:cs="宋体"/>
          <w:color w:val="auto"/>
          <w:kern w:val="0"/>
          <w:sz w:val="24"/>
          <w:highlight w:val="none"/>
        </w:rPr>
      </w:pPr>
      <w:r>
        <w:rPr>
          <w:rFonts w:hint="eastAsia" w:ascii="宋体" w:hAnsi="宋体" w:cs="宋体"/>
          <w:color w:val="auto"/>
          <w:kern w:val="0"/>
          <w:sz w:val="24"/>
          <w:highlight w:val="none"/>
        </w:rPr>
        <w:t>医用</w:t>
      </w:r>
      <w:r>
        <w:rPr>
          <w:rFonts w:ascii="宋体" w:hAnsi="宋体" w:cs="宋体"/>
          <w:color w:val="auto"/>
          <w:kern w:val="0"/>
          <w:sz w:val="24"/>
          <w:highlight w:val="none"/>
        </w:rPr>
        <w:t>气体承包商负责提供设备砼基础深化设计图纸供总承包商施工</w:t>
      </w:r>
      <w:r>
        <w:rPr>
          <w:rFonts w:hint="eastAsia" w:ascii="宋体" w:hAnsi="宋体" w:cs="宋体"/>
          <w:color w:val="auto"/>
          <w:kern w:val="0"/>
          <w:sz w:val="24"/>
          <w:highlight w:val="none"/>
        </w:rPr>
        <w:t>；总</w:t>
      </w:r>
      <w:r>
        <w:rPr>
          <w:rFonts w:ascii="宋体" w:hAnsi="宋体" w:cs="宋体"/>
          <w:color w:val="auto"/>
          <w:kern w:val="0"/>
          <w:sz w:val="24"/>
          <w:highlight w:val="none"/>
        </w:rPr>
        <w:t>承包商</w:t>
      </w:r>
      <w:r>
        <w:rPr>
          <w:rFonts w:hint="eastAsia" w:ascii="宋体" w:hAnsi="宋体" w:cs="宋体"/>
          <w:color w:val="auto"/>
          <w:kern w:val="0"/>
          <w:sz w:val="24"/>
          <w:highlight w:val="none"/>
        </w:rPr>
        <w:t>施工</w:t>
      </w:r>
      <w:r>
        <w:rPr>
          <w:rFonts w:ascii="宋体" w:hAnsi="宋体" w:cs="宋体"/>
          <w:color w:val="auto"/>
          <w:kern w:val="0"/>
          <w:sz w:val="24"/>
          <w:highlight w:val="none"/>
        </w:rPr>
        <w:t>机电设备的砼基础</w:t>
      </w:r>
      <w:r>
        <w:rPr>
          <w:rFonts w:hint="eastAsia" w:ascii="宋体" w:hAnsi="宋体" w:cs="宋体"/>
          <w:color w:val="auto"/>
          <w:kern w:val="0"/>
          <w:sz w:val="24"/>
          <w:highlight w:val="none"/>
        </w:rPr>
        <w:t>。</w:t>
      </w:r>
    </w:p>
    <w:p>
      <w:pPr>
        <w:pStyle w:val="241"/>
        <w:widowControl/>
        <w:numPr>
          <w:ilvl w:val="0"/>
          <w:numId w:val="18"/>
        </w:numPr>
        <w:snapToGrid w:val="0"/>
        <w:spacing w:line="360" w:lineRule="auto"/>
        <w:ind w:firstLineChars="0"/>
        <w:rPr>
          <w:rFonts w:ascii="宋体" w:hAnsi="宋体" w:cs="宋体"/>
          <w:color w:val="auto"/>
          <w:kern w:val="0"/>
          <w:sz w:val="24"/>
          <w:highlight w:val="none"/>
        </w:rPr>
      </w:pPr>
      <w:r>
        <w:rPr>
          <w:rFonts w:hint="eastAsia" w:ascii="宋体" w:hAnsi="宋体" w:cs="宋体"/>
          <w:color w:val="auto"/>
          <w:kern w:val="0"/>
          <w:sz w:val="24"/>
          <w:highlight w:val="none"/>
        </w:rPr>
        <w:t>医用</w:t>
      </w:r>
      <w:r>
        <w:rPr>
          <w:rFonts w:ascii="宋体" w:hAnsi="宋体" w:cs="宋体"/>
          <w:color w:val="auto"/>
          <w:kern w:val="0"/>
          <w:sz w:val="24"/>
          <w:highlight w:val="none"/>
        </w:rPr>
        <w:t>气体承包商负责配合总承包商完成制定运输通道及吊装孔洞方案；</w:t>
      </w:r>
      <w:r>
        <w:rPr>
          <w:rFonts w:hint="eastAsia" w:ascii="宋体" w:hAnsi="宋体" w:cs="宋体"/>
          <w:color w:val="auto"/>
          <w:kern w:val="0"/>
          <w:sz w:val="24"/>
          <w:highlight w:val="none"/>
        </w:rPr>
        <w:t>总</w:t>
      </w:r>
      <w:r>
        <w:rPr>
          <w:rFonts w:ascii="宋体" w:hAnsi="宋体" w:cs="宋体"/>
          <w:color w:val="auto"/>
          <w:kern w:val="0"/>
          <w:sz w:val="24"/>
          <w:highlight w:val="none"/>
        </w:rPr>
        <w:t>承包商负责</w:t>
      </w:r>
      <w:r>
        <w:rPr>
          <w:rFonts w:hint="eastAsia" w:ascii="宋体" w:hAnsi="宋体" w:cs="宋体"/>
          <w:color w:val="auto"/>
          <w:kern w:val="0"/>
          <w:sz w:val="24"/>
          <w:highlight w:val="none"/>
        </w:rPr>
        <w:t>为</w:t>
      </w:r>
      <w:r>
        <w:rPr>
          <w:rFonts w:ascii="宋体" w:hAnsi="宋体" w:cs="宋体"/>
          <w:color w:val="auto"/>
          <w:kern w:val="0"/>
          <w:sz w:val="24"/>
          <w:highlight w:val="none"/>
        </w:rPr>
        <w:t>大型机电设备预留运输通道及吊装孔洞，并负责</w:t>
      </w:r>
      <w:r>
        <w:rPr>
          <w:rFonts w:hint="eastAsia" w:ascii="宋体" w:hAnsi="宋体" w:cs="宋体"/>
          <w:color w:val="auto"/>
          <w:kern w:val="0"/>
          <w:sz w:val="24"/>
          <w:highlight w:val="none"/>
        </w:rPr>
        <w:t>土</w:t>
      </w:r>
      <w:r>
        <w:rPr>
          <w:rFonts w:ascii="宋体" w:hAnsi="宋体" w:cs="宋体"/>
          <w:color w:val="auto"/>
          <w:kern w:val="0"/>
          <w:sz w:val="24"/>
          <w:highlight w:val="none"/>
        </w:rPr>
        <w:t>建</w:t>
      </w:r>
      <w:r>
        <w:rPr>
          <w:rFonts w:hint="eastAsia" w:ascii="宋体" w:hAnsi="宋体" w:cs="宋体"/>
          <w:color w:val="auto"/>
          <w:kern w:val="0"/>
          <w:sz w:val="24"/>
          <w:highlight w:val="none"/>
        </w:rPr>
        <w:t>及</w:t>
      </w:r>
      <w:r>
        <w:rPr>
          <w:rFonts w:ascii="宋体" w:hAnsi="宋体" w:cs="宋体"/>
          <w:color w:val="auto"/>
          <w:kern w:val="0"/>
          <w:sz w:val="24"/>
          <w:highlight w:val="none"/>
        </w:rPr>
        <w:t>装</w:t>
      </w:r>
      <w:r>
        <w:rPr>
          <w:rFonts w:hint="eastAsia" w:ascii="宋体" w:hAnsi="宋体" w:cs="宋体"/>
          <w:color w:val="auto"/>
          <w:kern w:val="0"/>
          <w:sz w:val="24"/>
          <w:highlight w:val="none"/>
        </w:rPr>
        <w:t>饰</w:t>
      </w:r>
      <w:r>
        <w:rPr>
          <w:rFonts w:ascii="宋体" w:hAnsi="宋体" w:cs="宋体"/>
          <w:color w:val="auto"/>
          <w:kern w:val="0"/>
          <w:sz w:val="24"/>
          <w:highlight w:val="none"/>
        </w:rPr>
        <w:t>工程的恢复</w:t>
      </w:r>
      <w:r>
        <w:rPr>
          <w:rFonts w:hint="eastAsia" w:ascii="宋体" w:hAnsi="宋体" w:cs="宋体"/>
          <w:color w:val="auto"/>
          <w:kern w:val="0"/>
          <w:sz w:val="24"/>
          <w:highlight w:val="none"/>
        </w:rPr>
        <w:t>。</w:t>
      </w:r>
    </w:p>
    <w:p>
      <w:pPr>
        <w:pStyle w:val="241"/>
        <w:widowControl/>
        <w:snapToGrid w:val="0"/>
        <w:spacing w:line="360" w:lineRule="auto"/>
        <w:ind w:firstLine="0" w:firstLineChars="0"/>
        <w:jc w:val="left"/>
        <w:outlineLvl w:val="3"/>
        <w:rPr>
          <w:rFonts w:ascii="宋体" w:hAnsi="宋体" w:cs="宋体"/>
          <w:b/>
          <w:bCs/>
          <w:color w:val="auto"/>
          <w:kern w:val="0"/>
          <w:sz w:val="24"/>
          <w:highlight w:val="none"/>
        </w:rPr>
      </w:pPr>
      <w:r>
        <w:rPr>
          <w:rFonts w:ascii="宋体" w:hAnsi="宋体" w:cs="宋体"/>
          <w:b/>
          <w:bCs/>
          <w:color w:val="auto"/>
          <w:kern w:val="0"/>
          <w:sz w:val="24"/>
          <w:highlight w:val="none"/>
        </w:rPr>
        <w:t>3 .</w:t>
      </w:r>
      <w:r>
        <w:rPr>
          <w:rFonts w:hint="eastAsia" w:ascii="宋体" w:hAnsi="宋体" w:cs="宋体"/>
          <w:b/>
          <w:bCs/>
          <w:color w:val="auto"/>
          <w:kern w:val="0"/>
          <w:sz w:val="24"/>
          <w:highlight w:val="none"/>
        </w:rPr>
        <w:t>电气</w:t>
      </w:r>
      <w:r>
        <w:rPr>
          <w:rFonts w:ascii="宋体" w:hAnsi="宋体" w:cs="宋体"/>
          <w:b/>
          <w:bCs/>
          <w:color w:val="auto"/>
          <w:kern w:val="0"/>
          <w:sz w:val="24"/>
          <w:highlight w:val="none"/>
        </w:rPr>
        <w:t>系统</w:t>
      </w:r>
    </w:p>
    <w:p>
      <w:pPr>
        <w:pStyle w:val="241"/>
        <w:widowControl/>
        <w:numPr>
          <w:ilvl w:val="0"/>
          <w:numId w:val="19"/>
        </w:numPr>
        <w:snapToGrid w:val="0"/>
        <w:spacing w:line="360" w:lineRule="auto"/>
        <w:ind w:firstLineChars="0"/>
        <w:rPr>
          <w:rFonts w:ascii="宋体" w:hAnsi="宋体" w:cs="宋体"/>
          <w:color w:val="auto"/>
          <w:kern w:val="0"/>
          <w:sz w:val="24"/>
          <w:highlight w:val="none"/>
        </w:rPr>
      </w:pPr>
      <w:r>
        <w:rPr>
          <w:rFonts w:hint="eastAsia" w:ascii="宋体" w:hAnsi="宋体" w:cs="宋体"/>
          <w:color w:val="auto"/>
          <w:kern w:val="0"/>
          <w:sz w:val="24"/>
          <w:highlight w:val="none"/>
        </w:rPr>
        <w:t>医用气体</w:t>
      </w:r>
      <w:r>
        <w:rPr>
          <w:rFonts w:ascii="宋体" w:hAnsi="宋体" w:cs="宋体"/>
          <w:color w:val="auto"/>
          <w:kern w:val="0"/>
          <w:sz w:val="24"/>
          <w:highlight w:val="none"/>
        </w:rPr>
        <w:t>承包商供应及安装承包范围内机电系统、</w:t>
      </w:r>
      <w:r>
        <w:rPr>
          <w:rFonts w:hint="eastAsia" w:ascii="宋体" w:hAnsi="宋体" w:cs="宋体"/>
          <w:color w:val="auto"/>
          <w:kern w:val="0"/>
          <w:sz w:val="24"/>
          <w:highlight w:val="none"/>
        </w:rPr>
        <w:t>设备带</w:t>
      </w:r>
      <w:r>
        <w:rPr>
          <w:rFonts w:ascii="宋体" w:hAnsi="宋体" w:cs="宋体"/>
          <w:color w:val="auto"/>
          <w:kern w:val="0"/>
          <w:sz w:val="24"/>
          <w:highlight w:val="none"/>
        </w:rPr>
        <w:t>，并接驳至总承包商预留提供的等电位箱或接地点。</w:t>
      </w:r>
      <w:r>
        <w:rPr>
          <w:rFonts w:hint="eastAsia" w:ascii="宋体" w:hAnsi="宋体" w:cs="宋体"/>
          <w:color w:val="auto"/>
          <w:kern w:val="0"/>
          <w:sz w:val="24"/>
          <w:highlight w:val="none"/>
        </w:rPr>
        <w:t>总承包</w:t>
      </w:r>
      <w:r>
        <w:rPr>
          <w:rFonts w:ascii="宋体" w:hAnsi="宋体" w:cs="宋体"/>
          <w:color w:val="auto"/>
          <w:kern w:val="0"/>
          <w:sz w:val="24"/>
          <w:highlight w:val="none"/>
        </w:rPr>
        <w:t>商供应及安装主体防雷接地系统：按设计图纸要求，等电位盒（箱）、卫生间等电位钢筋网、防雷接地及为</w:t>
      </w:r>
      <w:r>
        <w:rPr>
          <w:rFonts w:hint="eastAsia" w:ascii="宋体" w:hAnsi="宋体" w:cs="宋体"/>
          <w:color w:val="auto"/>
          <w:kern w:val="0"/>
          <w:sz w:val="24"/>
          <w:highlight w:val="none"/>
        </w:rPr>
        <w:t>医疗气体</w:t>
      </w:r>
      <w:r>
        <w:rPr>
          <w:rFonts w:ascii="宋体" w:hAnsi="宋体" w:cs="宋体"/>
          <w:color w:val="auto"/>
          <w:kern w:val="0"/>
          <w:sz w:val="24"/>
          <w:highlight w:val="none"/>
        </w:rPr>
        <w:t>系统提供防雷接地接驳点等，并负责防雷设计审核、检测、验收。</w:t>
      </w:r>
    </w:p>
    <w:p>
      <w:pPr>
        <w:pStyle w:val="241"/>
        <w:widowControl/>
        <w:snapToGrid w:val="0"/>
        <w:spacing w:line="360" w:lineRule="auto"/>
        <w:ind w:firstLine="0" w:firstLineChars="0"/>
        <w:jc w:val="left"/>
        <w:outlineLvl w:val="3"/>
        <w:rPr>
          <w:rFonts w:ascii="宋体" w:hAnsi="宋体" w:cs="宋体"/>
          <w:b/>
          <w:bCs/>
          <w:color w:val="auto"/>
          <w:kern w:val="0"/>
          <w:sz w:val="24"/>
          <w:highlight w:val="none"/>
        </w:rPr>
      </w:pPr>
      <w:r>
        <w:rPr>
          <w:rFonts w:hint="eastAsia" w:ascii="宋体" w:hAnsi="宋体" w:cs="宋体"/>
          <w:b/>
          <w:bCs/>
          <w:color w:val="auto"/>
          <w:kern w:val="0"/>
          <w:sz w:val="24"/>
          <w:highlight w:val="none"/>
        </w:rPr>
        <w:t>4</w:t>
      </w:r>
      <w:r>
        <w:rPr>
          <w:rFonts w:ascii="宋体" w:hAnsi="宋体" w:cs="宋体"/>
          <w:b/>
          <w:bCs/>
          <w:color w:val="auto"/>
          <w:kern w:val="0"/>
          <w:sz w:val="24"/>
          <w:highlight w:val="none"/>
        </w:rPr>
        <w:t>. 综合支吊架、普通支吊架、抗震支吊架</w:t>
      </w:r>
    </w:p>
    <w:p>
      <w:pPr>
        <w:pStyle w:val="241"/>
        <w:widowControl/>
        <w:numPr>
          <w:ilvl w:val="0"/>
          <w:numId w:val="20"/>
        </w:numPr>
        <w:snapToGrid w:val="0"/>
        <w:spacing w:line="360" w:lineRule="auto"/>
        <w:ind w:firstLineChars="0"/>
        <w:rPr>
          <w:rFonts w:ascii="宋体" w:hAnsi="宋体" w:cs="宋体"/>
          <w:color w:val="auto"/>
          <w:kern w:val="0"/>
          <w:sz w:val="24"/>
          <w:highlight w:val="none"/>
        </w:rPr>
      </w:pPr>
      <w:r>
        <w:rPr>
          <w:rFonts w:hint="eastAsia" w:ascii="宋体" w:hAnsi="宋体" w:cs="宋体"/>
          <w:color w:val="auto"/>
          <w:kern w:val="0"/>
          <w:sz w:val="24"/>
          <w:highlight w:val="none"/>
        </w:rPr>
        <w:t>总承</w:t>
      </w:r>
      <w:r>
        <w:rPr>
          <w:rFonts w:ascii="宋体" w:hAnsi="宋体" w:cs="宋体"/>
          <w:color w:val="auto"/>
          <w:kern w:val="0"/>
          <w:sz w:val="24"/>
          <w:highlight w:val="none"/>
        </w:rPr>
        <w:t>包商负责</w:t>
      </w:r>
    </w:p>
    <w:p>
      <w:pPr>
        <w:pStyle w:val="241"/>
        <w:widowControl/>
        <w:numPr>
          <w:ilvl w:val="0"/>
          <w:numId w:val="21"/>
        </w:numPr>
        <w:snapToGrid w:val="0"/>
        <w:spacing w:line="360" w:lineRule="auto"/>
        <w:ind w:firstLineChars="0"/>
        <w:jc w:val="left"/>
        <w:rPr>
          <w:rFonts w:ascii="宋体" w:hAnsi="宋体" w:cs="宋体"/>
          <w:color w:val="auto"/>
          <w:kern w:val="0"/>
          <w:sz w:val="24"/>
          <w:highlight w:val="none"/>
        </w:rPr>
      </w:pPr>
      <w:r>
        <w:rPr>
          <w:rFonts w:ascii="宋体" w:hAnsi="宋体" w:cs="宋体"/>
          <w:color w:val="auto"/>
          <w:kern w:val="0"/>
          <w:sz w:val="24"/>
          <w:highlight w:val="none"/>
        </w:rPr>
        <w:t>负责深化自身承包范围内的管线布置，并与机电承包</w:t>
      </w:r>
      <w:r>
        <w:rPr>
          <w:rFonts w:hint="eastAsia" w:ascii="宋体" w:hAnsi="宋体" w:cs="宋体"/>
          <w:color w:val="auto"/>
          <w:kern w:val="0"/>
          <w:sz w:val="24"/>
          <w:highlight w:val="none"/>
        </w:rPr>
        <w:t>商</w:t>
      </w:r>
      <w:r>
        <w:rPr>
          <w:rFonts w:ascii="宋体" w:hAnsi="宋体" w:cs="宋体"/>
          <w:color w:val="auto"/>
          <w:kern w:val="0"/>
          <w:sz w:val="24"/>
          <w:highlight w:val="none"/>
        </w:rPr>
        <w:t>一起对综合支吊架设计进行复核，双方需签字确认；</w:t>
      </w:r>
    </w:p>
    <w:p>
      <w:pPr>
        <w:pStyle w:val="241"/>
        <w:widowControl/>
        <w:numPr>
          <w:ilvl w:val="0"/>
          <w:numId w:val="21"/>
        </w:numPr>
        <w:snapToGrid w:val="0"/>
        <w:spacing w:line="360" w:lineRule="auto"/>
        <w:ind w:firstLineChars="0"/>
        <w:jc w:val="left"/>
        <w:rPr>
          <w:rFonts w:ascii="宋体" w:hAnsi="宋体" w:cs="宋体"/>
          <w:color w:val="auto"/>
          <w:kern w:val="0"/>
          <w:sz w:val="24"/>
          <w:highlight w:val="none"/>
        </w:rPr>
      </w:pPr>
      <w:r>
        <w:rPr>
          <w:rFonts w:ascii="宋体" w:hAnsi="宋体" w:cs="宋体"/>
          <w:color w:val="auto"/>
          <w:kern w:val="0"/>
          <w:sz w:val="24"/>
          <w:highlight w:val="none"/>
        </w:rPr>
        <w:t>负责承包范围内的综合支吊架采购、安装及调试；</w:t>
      </w:r>
    </w:p>
    <w:p>
      <w:pPr>
        <w:pStyle w:val="241"/>
        <w:widowControl/>
        <w:numPr>
          <w:ilvl w:val="0"/>
          <w:numId w:val="21"/>
        </w:numPr>
        <w:snapToGrid w:val="0"/>
        <w:spacing w:line="360" w:lineRule="auto"/>
        <w:ind w:firstLineChars="0"/>
        <w:jc w:val="left"/>
        <w:rPr>
          <w:rFonts w:ascii="宋体" w:hAnsi="宋体" w:cs="宋体"/>
          <w:color w:val="auto"/>
          <w:kern w:val="0"/>
          <w:sz w:val="24"/>
          <w:highlight w:val="none"/>
        </w:rPr>
      </w:pPr>
      <w:r>
        <w:rPr>
          <w:rFonts w:ascii="宋体" w:hAnsi="宋体" w:cs="宋体"/>
          <w:color w:val="auto"/>
          <w:kern w:val="0"/>
          <w:sz w:val="24"/>
          <w:highlight w:val="none"/>
        </w:rPr>
        <w:t>牵头组织各专业施工单位（如机电承包商、洁净、防辐射、精装等单位）对安装图纸进行管线排布优化、受力情况分析、支架形式确定等，制定成品综合支吊架施工方案，绘制深化设计图纸，经业主、监理、设计审批同意后方可实施；</w:t>
      </w:r>
    </w:p>
    <w:p>
      <w:pPr>
        <w:pStyle w:val="241"/>
        <w:widowControl/>
        <w:numPr>
          <w:ilvl w:val="0"/>
          <w:numId w:val="21"/>
        </w:numPr>
        <w:snapToGrid w:val="0"/>
        <w:spacing w:line="360" w:lineRule="auto"/>
        <w:ind w:firstLineChars="0"/>
        <w:jc w:val="left"/>
        <w:rPr>
          <w:rFonts w:ascii="宋体" w:hAnsi="宋体" w:cs="宋体"/>
          <w:color w:val="auto"/>
          <w:kern w:val="0"/>
          <w:sz w:val="24"/>
          <w:highlight w:val="none"/>
        </w:rPr>
      </w:pPr>
      <w:r>
        <w:rPr>
          <w:rFonts w:ascii="宋体" w:hAnsi="宋体" w:cs="宋体"/>
          <w:color w:val="auto"/>
          <w:kern w:val="0"/>
          <w:sz w:val="24"/>
          <w:highlight w:val="none"/>
        </w:rPr>
        <w:t>综合分析确定需要使用成品综合支吊架的部位，并经业主、监理、设计同意。</w:t>
      </w:r>
    </w:p>
    <w:p>
      <w:pPr>
        <w:pStyle w:val="241"/>
        <w:widowControl/>
        <w:numPr>
          <w:ilvl w:val="0"/>
          <w:numId w:val="20"/>
        </w:numPr>
        <w:snapToGrid w:val="0"/>
        <w:spacing w:line="360" w:lineRule="auto"/>
        <w:ind w:firstLineChars="0"/>
        <w:rPr>
          <w:rFonts w:ascii="宋体" w:hAnsi="宋体" w:cs="宋体"/>
          <w:color w:val="auto"/>
          <w:kern w:val="0"/>
          <w:sz w:val="24"/>
          <w:highlight w:val="none"/>
        </w:rPr>
      </w:pPr>
      <w:r>
        <w:rPr>
          <w:rFonts w:hint="eastAsia" w:ascii="宋体" w:hAnsi="宋体" w:cs="宋体"/>
          <w:color w:val="auto"/>
          <w:kern w:val="0"/>
          <w:sz w:val="24"/>
          <w:highlight w:val="none"/>
        </w:rPr>
        <w:t>医用气体</w:t>
      </w:r>
      <w:r>
        <w:rPr>
          <w:rFonts w:ascii="宋体" w:hAnsi="宋体" w:cs="宋体"/>
          <w:color w:val="auto"/>
          <w:kern w:val="0"/>
          <w:sz w:val="24"/>
          <w:highlight w:val="none"/>
        </w:rPr>
        <w:t>承包商负责</w:t>
      </w:r>
    </w:p>
    <w:p>
      <w:pPr>
        <w:pStyle w:val="241"/>
        <w:widowControl/>
        <w:numPr>
          <w:ilvl w:val="0"/>
          <w:numId w:val="22"/>
        </w:numPr>
        <w:snapToGrid w:val="0"/>
        <w:spacing w:line="360" w:lineRule="auto"/>
        <w:ind w:firstLineChars="0"/>
        <w:jc w:val="left"/>
        <w:rPr>
          <w:rFonts w:ascii="宋体" w:hAnsi="宋体" w:cs="宋体"/>
          <w:color w:val="auto"/>
          <w:kern w:val="0"/>
          <w:sz w:val="24"/>
          <w:highlight w:val="none"/>
        </w:rPr>
      </w:pPr>
      <w:r>
        <w:rPr>
          <w:rFonts w:ascii="宋体" w:hAnsi="宋体" w:cs="宋体"/>
          <w:color w:val="auto"/>
          <w:kern w:val="0"/>
          <w:sz w:val="24"/>
          <w:highlight w:val="none"/>
        </w:rPr>
        <w:t>负责深化自身承包范围内的管线布置，并对总承包的综合支吊架设计进行复核，双方需签字确认。（综合支吊架是指由土建总承包负责统一深化设计并安装的支吊架系统。）</w:t>
      </w:r>
    </w:p>
    <w:p>
      <w:pPr>
        <w:pStyle w:val="241"/>
        <w:widowControl/>
        <w:numPr>
          <w:ilvl w:val="0"/>
          <w:numId w:val="22"/>
        </w:numPr>
        <w:snapToGrid w:val="0"/>
        <w:spacing w:line="360" w:lineRule="auto"/>
        <w:ind w:firstLineChars="0"/>
        <w:jc w:val="left"/>
        <w:rPr>
          <w:rFonts w:ascii="宋体" w:hAnsi="宋体" w:cs="宋体"/>
          <w:color w:val="auto"/>
          <w:kern w:val="0"/>
          <w:sz w:val="24"/>
          <w:highlight w:val="none"/>
        </w:rPr>
      </w:pPr>
      <w:r>
        <w:rPr>
          <w:rFonts w:ascii="宋体" w:hAnsi="宋体" w:cs="宋体"/>
          <w:color w:val="auto"/>
          <w:kern w:val="0"/>
          <w:sz w:val="24"/>
          <w:highlight w:val="none"/>
        </w:rPr>
        <w:t>对总承包商成品综合支吊架范围以外的支吊架的采购、安装及调试并通过验收，并对其进行受力分析、合理排布、优化设计、制定方案，经业主、监理确认以后方可施工。</w:t>
      </w:r>
    </w:p>
    <w:p>
      <w:pPr>
        <w:pStyle w:val="239"/>
        <w:keepNext/>
        <w:keepLines/>
        <w:tabs>
          <w:tab w:val="left" w:pos="425"/>
          <w:tab w:val="left" w:pos="709"/>
        </w:tabs>
        <w:spacing w:line="360" w:lineRule="auto"/>
        <w:outlineLvl w:val="2"/>
        <w:rPr>
          <w:rFonts w:ascii="宋体" w:hAnsi="宋体" w:eastAsia="宋体"/>
          <w:b/>
          <w:color w:val="auto"/>
          <w:highlight w:val="none"/>
        </w:rPr>
      </w:pPr>
      <w:r>
        <w:rPr>
          <w:rFonts w:ascii="宋体" w:hAnsi="宋体" w:eastAsia="宋体"/>
          <w:b/>
          <w:color w:val="auto"/>
          <w:highlight w:val="none"/>
        </w:rPr>
        <w:t>3.8.2 与</w:t>
      </w:r>
      <w:r>
        <w:rPr>
          <w:rFonts w:hint="eastAsia" w:ascii="宋体" w:hAnsi="宋体" w:eastAsia="宋体"/>
          <w:b/>
          <w:color w:val="auto"/>
          <w:highlight w:val="none"/>
        </w:rPr>
        <w:t>总</w:t>
      </w:r>
      <w:r>
        <w:rPr>
          <w:rFonts w:ascii="宋体" w:hAnsi="宋体" w:eastAsia="宋体"/>
          <w:b/>
          <w:color w:val="auto"/>
          <w:highlight w:val="none"/>
        </w:rPr>
        <w:t>承包</w:t>
      </w:r>
      <w:r>
        <w:rPr>
          <w:rFonts w:hint="eastAsia" w:ascii="宋体" w:hAnsi="宋体" w:eastAsia="宋体"/>
          <w:b/>
          <w:color w:val="auto"/>
          <w:highlight w:val="none"/>
        </w:rPr>
        <w:t>机电安装的</w:t>
      </w:r>
      <w:r>
        <w:rPr>
          <w:rFonts w:ascii="宋体" w:hAnsi="宋体" w:eastAsia="宋体"/>
          <w:b/>
          <w:color w:val="auto"/>
          <w:highlight w:val="none"/>
        </w:rPr>
        <w:t>界面</w:t>
      </w:r>
    </w:p>
    <w:p>
      <w:pPr>
        <w:pStyle w:val="241"/>
        <w:widowControl/>
        <w:numPr>
          <w:ilvl w:val="0"/>
          <w:numId w:val="23"/>
        </w:numPr>
        <w:snapToGrid w:val="0"/>
        <w:spacing w:line="360" w:lineRule="auto"/>
        <w:ind w:firstLineChars="0"/>
        <w:rPr>
          <w:rFonts w:ascii="宋体" w:hAnsi="宋体"/>
          <w:color w:val="auto"/>
          <w:sz w:val="24"/>
          <w:highlight w:val="none"/>
        </w:rPr>
      </w:pPr>
      <w:r>
        <w:rPr>
          <w:rFonts w:hint="eastAsia" w:ascii="宋体" w:hAnsi="宋体"/>
          <w:color w:val="auto"/>
          <w:sz w:val="24"/>
          <w:highlight w:val="none"/>
        </w:rPr>
        <w:t>机</w:t>
      </w:r>
      <w:r>
        <w:rPr>
          <w:rFonts w:ascii="宋体" w:hAnsi="宋体"/>
          <w:color w:val="auto"/>
          <w:sz w:val="24"/>
          <w:highlight w:val="none"/>
        </w:rPr>
        <w:t>电承包商供应及安装设备带配电箱及其进线</w:t>
      </w:r>
      <w:r>
        <w:rPr>
          <w:rFonts w:hint="eastAsia" w:ascii="宋体" w:hAnsi="宋体"/>
          <w:color w:val="auto"/>
          <w:sz w:val="24"/>
          <w:highlight w:val="none"/>
        </w:rPr>
        <w:t>；医用</w:t>
      </w:r>
      <w:r>
        <w:rPr>
          <w:rFonts w:ascii="宋体" w:hAnsi="宋体"/>
          <w:color w:val="auto"/>
          <w:sz w:val="24"/>
          <w:highlight w:val="none"/>
        </w:rPr>
        <w:t>气体承包商</w:t>
      </w:r>
      <w:r>
        <w:rPr>
          <w:rFonts w:hint="eastAsia" w:ascii="宋体" w:hAnsi="宋体"/>
          <w:color w:val="auto"/>
          <w:sz w:val="24"/>
          <w:highlight w:val="none"/>
        </w:rPr>
        <w:t>负责设备带上灯具及设备带灯具开关、插座的供应及安装、接线。</w:t>
      </w:r>
    </w:p>
    <w:p>
      <w:pPr>
        <w:pStyle w:val="241"/>
        <w:widowControl/>
        <w:numPr>
          <w:ilvl w:val="0"/>
          <w:numId w:val="23"/>
        </w:numPr>
        <w:snapToGrid w:val="0"/>
        <w:spacing w:line="360" w:lineRule="auto"/>
        <w:ind w:firstLineChars="0"/>
        <w:rPr>
          <w:rFonts w:ascii="宋体" w:hAnsi="宋体"/>
          <w:color w:val="auto"/>
          <w:sz w:val="24"/>
          <w:highlight w:val="none"/>
        </w:rPr>
      </w:pPr>
      <w:r>
        <w:rPr>
          <w:rFonts w:hint="eastAsia" w:ascii="宋体" w:hAnsi="宋体"/>
          <w:color w:val="auto"/>
          <w:sz w:val="24"/>
          <w:highlight w:val="none"/>
        </w:rPr>
        <w:t>机</w:t>
      </w:r>
      <w:r>
        <w:rPr>
          <w:rFonts w:ascii="宋体" w:hAnsi="宋体"/>
          <w:color w:val="auto"/>
          <w:sz w:val="24"/>
          <w:highlight w:val="none"/>
        </w:rPr>
        <w:t>电承包商供应及安装医用气体设备机房配电箱及其进线</w:t>
      </w:r>
      <w:r>
        <w:rPr>
          <w:rFonts w:hint="eastAsia" w:ascii="宋体" w:hAnsi="宋体"/>
          <w:color w:val="auto"/>
          <w:sz w:val="24"/>
          <w:highlight w:val="none"/>
        </w:rPr>
        <w:t>；院方</w:t>
      </w:r>
      <w:r>
        <w:rPr>
          <w:rFonts w:ascii="宋体" w:hAnsi="宋体"/>
          <w:color w:val="auto"/>
          <w:sz w:val="24"/>
          <w:highlight w:val="none"/>
        </w:rPr>
        <w:t>负责医用气体设备机房配电箱出线至气体设备自控箱及其后的所有工作。</w:t>
      </w:r>
    </w:p>
    <w:p>
      <w:pPr>
        <w:pStyle w:val="241"/>
        <w:widowControl/>
        <w:numPr>
          <w:ilvl w:val="0"/>
          <w:numId w:val="23"/>
        </w:numPr>
        <w:snapToGrid w:val="0"/>
        <w:spacing w:line="360" w:lineRule="auto"/>
        <w:ind w:firstLineChars="0"/>
        <w:rPr>
          <w:rFonts w:ascii="宋体" w:hAnsi="宋体"/>
          <w:color w:val="auto"/>
          <w:sz w:val="24"/>
          <w:highlight w:val="none"/>
        </w:rPr>
      </w:pPr>
      <w:r>
        <w:rPr>
          <w:rFonts w:hint="eastAsia" w:ascii="宋体" w:hAnsi="宋体"/>
          <w:color w:val="auto"/>
          <w:sz w:val="24"/>
          <w:highlight w:val="none"/>
        </w:rPr>
        <w:t>机</w:t>
      </w:r>
      <w:r>
        <w:rPr>
          <w:rFonts w:ascii="宋体" w:hAnsi="宋体"/>
          <w:color w:val="auto"/>
          <w:sz w:val="24"/>
          <w:highlight w:val="none"/>
        </w:rPr>
        <w:t>电承包商负责设备机房（真空泵房和压缩机房）及汇流排间</w:t>
      </w:r>
      <w:r>
        <w:rPr>
          <w:rFonts w:hint="eastAsia" w:ascii="宋体" w:hAnsi="宋体"/>
          <w:color w:val="auto"/>
          <w:sz w:val="24"/>
          <w:highlight w:val="none"/>
        </w:rPr>
        <w:t>等</w:t>
      </w:r>
      <w:r>
        <w:rPr>
          <w:rFonts w:ascii="宋体" w:hAnsi="宋体"/>
          <w:color w:val="auto"/>
          <w:sz w:val="24"/>
          <w:highlight w:val="none"/>
        </w:rPr>
        <w:t>的开关、插座、灯具、空调与通风等施工；</w:t>
      </w:r>
      <w:r>
        <w:rPr>
          <w:rFonts w:hint="eastAsia" w:ascii="宋体" w:hAnsi="宋体"/>
          <w:color w:val="auto"/>
          <w:sz w:val="24"/>
          <w:highlight w:val="none"/>
        </w:rPr>
        <w:t>院方</w:t>
      </w:r>
      <w:r>
        <w:rPr>
          <w:rFonts w:ascii="宋体" w:hAnsi="宋体"/>
          <w:color w:val="auto"/>
          <w:sz w:val="24"/>
          <w:highlight w:val="none"/>
        </w:rPr>
        <w:t>向机电承包商提供机房总体通风需求</w:t>
      </w:r>
      <w:r>
        <w:rPr>
          <w:rFonts w:hint="eastAsia" w:ascii="宋体" w:hAnsi="宋体"/>
          <w:color w:val="auto"/>
          <w:sz w:val="24"/>
          <w:highlight w:val="none"/>
        </w:rPr>
        <w:t>，</w:t>
      </w:r>
      <w:r>
        <w:rPr>
          <w:rFonts w:ascii="宋体" w:hAnsi="宋体"/>
          <w:color w:val="auto"/>
          <w:sz w:val="24"/>
          <w:highlight w:val="none"/>
        </w:rPr>
        <w:t>机电承包商复核</w:t>
      </w:r>
      <w:r>
        <w:rPr>
          <w:rFonts w:hint="eastAsia" w:ascii="宋体" w:hAnsi="宋体"/>
          <w:color w:val="auto"/>
          <w:sz w:val="24"/>
          <w:highlight w:val="none"/>
        </w:rPr>
        <w:t>院方</w:t>
      </w:r>
      <w:r>
        <w:rPr>
          <w:rFonts w:ascii="宋体" w:hAnsi="宋体"/>
          <w:color w:val="auto"/>
          <w:sz w:val="24"/>
          <w:highlight w:val="none"/>
        </w:rPr>
        <w:t>对设备机房通风量等参数的需求。</w:t>
      </w:r>
    </w:p>
    <w:p>
      <w:pPr>
        <w:pStyle w:val="241"/>
        <w:widowControl/>
        <w:numPr>
          <w:ilvl w:val="0"/>
          <w:numId w:val="23"/>
        </w:numPr>
        <w:snapToGrid w:val="0"/>
        <w:spacing w:line="360" w:lineRule="auto"/>
        <w:ind w:firstLineChars="0"/>
        <w:rPr>
          <w:rFonts w:ascii="宋体" w:hAnsi="宋体"/>
          <w:color w:val="auto"/>
          <w:sz w:val="24"/>
          <w:highlight w:val="none"/>
        </w:rPr>
      </w:pPr>
      <w:r>
        <w:rPr>
          <w:rFonts w:hint="eastAsia" w:ascii="宋体" w:hAnsi="宋体"/>
          <w:color w:val="auto"/>
          <w:sz w:val="24"/>
          <w:highlight w:val="none"/>
        </w:rPr>
        <w:t>机</w:t>
      </w:r>
      <w:r>
        <w:rPr>
          <w:rFonts w:ascii="宋体" w:hAnsi="宋体"/>
          <w:color w:val="auto"/>
          <w:sz w:val="24"/>
          <w:highlight w:val="none"/>
        </w:rPr>
        <w:t>电承包商配合医用气体承包商进行系统调试。</w:t>
      </w:r>
    </w:p>
    <w:p>
      <w:pPr>
        <w:pStyle w:val="241"/>
        <w:widowControl/>
        <w:numPr>
          <w:ilvl w:val="0"/>
          <w:numId w:val="23"/>
        </w:numPr>
        <w:snapToGrid w:val="0"/>
        <w:spacing w:line="360" w:lineRule="auto"/>
        <w:ind w:firstLineChars="0"/>
        <w:rPr>
          <w:rFonts w:ascii="宋体" w:hAnsi="宋体"/>
          <w:color w:val="auto"/>
          <w:sz w:val="24"/>
          <w:highlight w:val="none"/>
        </w:rPr>
      </w:pPr>
      <w:r>
        <w:rPr>
          <w:rFonts w:hint="eastAsia" w:ascii="宋体" w:hAnsi="宋体"/>
          <w:color w:val="auto"/>
          <w:sz w:val="24"/>
          <w:highlight w:val="none"/>
        </w:rPr>
        <w:t>医用气体</w:t>
      </w:r>
      <w:r>
        <w:rPr>
          <w:rFonts w:ascii="宋体" w:hAnsi="宋体"/>
          <w:color w:val="auto"/>
          <w:sz w:val="24"/>
          <w:highlight w:val="none"/>
        </w:rPr>
        <w:t>承包商</w:t>
      </w:r>
      <w:r>
        <w:rPr>
          <w:rFonts w:hint="eastAsia" w:ascii="宋体" w:hAnsi="宋体"/>
          <w:color w:val="auto"/>
          <w:sz w:val="24"/>
          <w:highlight w:val="none"/>
        </w:rPr>
        <w:t>负责完</w:t>
      </w:r>
      <w:r>
        <w:rPr>
          <w:rFonts w:ascii="宋体" w:hAnsi="宋体"/>
          <w:color w:val="auto"/>
          <w:sz w:val="24"/>
          <w:highlight w:val="none"/>
        </w:rPr>
        <w:t>成医用</w:t>
      </w:r>
      <w:r>
        <w:rPr>
          <w:rFonts w:hint="eastAsia" w:ascii="宋体" w:hAnsi="宋体"/>
          <w:color w:val="auto"/>
          <w:sz w:val="24"/>
          <w:highlight w:val="none"/>
        </w:rPr>
        <w:t>气体</w:t>
      </w:r>
      <w:r>
        <w:rPr>
          <w:rFonts w:ascii="宋体" w:hAnsi="宋体"/>
          <w:color w:val="auto"/>
          <w:sz w:val="24"/>
          <w:highlight w:val="none"/>
        </w:rPr>
        <w:t>设备接地（接地端子）系统</w:t>
      </w:r>
      <w:r>
        <w:rPr>
          <w:rFonts w:hint="eastAsia" w:ascii="宋体" w:hAnsi="宋体"/>
          <w:color w:val="auto"/>
          <w:sz w:val="24"/>
          <w:highlight w:val="none"/>
        </w:rPr>
        <w:t>、</w:t>
      </w:r>
      <w:r>
        <w:rPr>
          <w:rFonts w:ascii="宋体" w:hAnsi="宋体"/>
          <w:color w:val="auto"/>
          <w:sz w:val="24"/>
          <w:highlight w:val="none"/>
        </w:rPr>
        <w:t>气体管道、设备带、等金属接地系统</w:t>
      </w:r>
      <w:r>
        <w:rPr>
          <w:rFonts w:hint="eastAsia" w:ascii="宋体" w:hAnsi="宋体"/>
          <w:color w:val="auto"/>
          <w:sz w:val="24"/>
          <w:highlight w:val="none"/>
        </w:rPr>
        <w:t>等。</w:t>
      </w:r>
    </w:p>
    <w:p>
      <w:pPr>
        <w:pStyle w:val="239"/>
        <w:keepNext/>
        <w:keepLines/>
        <w:tabs>
          <w:tab w:val="left" w:pos="425"/>
          <w:tab w:val="left" w:pos="709"/>
        </w:tabs>
        <w:spacing w:line="360" w:lineRule="auto"/>
        <w:outlineLvl w:val="2"/>
        <w:rPr>
          <w:rFonts w:ascii="宋体" w:hAnsi="宋体" w:eastAsia="宋体"/>
          <w:b/>
          <w:color w:val="auto"/>
          <w:highlight w:val="none"/>
        </w:rPr>
      </w:pPr>
      <w:r>
        <w:rPr>
          <w:rFonts w:ascii="宋体" w:hAnsi="宋体" w:eastAsia="宋体"/>
          <w:b/>
          <w:color w:val="auto"/>
          <w:highlight w:val="none"/>
        </w:rPr>
        <w:t>3.8.3 与精装</w:t>
      </w:r>
      <w:r>
        <w:rPr>
          <w:rFonts w:hint="eastAsia" w:ascii="宋体" w:hAnsi="宋体" w:eastAsia="宋体"/>
          <w:b/>
          <w:color w:val="auto"/>
          <w:highlight w:val="none"/>
        </w:rPr>
        <w:t>修</w:t>
      </w:r>
      <w:r>
        <w:rPr>
          <w:rFonts w:ascii="宋体" w:hAnsi="宋体" w:eastAsia="宋体"/>
          <w:b/>
          <w:color w:val="auto"/>
          <w:highlight w:val="none"/>
        </w:rPr>
        <w:t>工程承包商</w:t>
      </w:r>
      <w:r>
        <w:rPr>
          <w:rFonts w:hint="eastAsia" w:ascii="宋体" w:hAnsi="宋体" w:eastAsia="宋体"/>
          <w:b/>
          <w:color w:val="auto"/>
          <w:highlight w:val="none"/>
        </w:rPr>
        <w:t>的</w:t>
      </w:r>
      <w:r>
        <w:rPr>
          <w:rFonts w:ascii="宋体" w:hAnsi="宋体" w:eastAsia="宋体"/>
          <w:b/>
          <w:color w:val="auto"/>
          <w:highlight w:val="none"/>
        </w:rPr>
        <w:t>界面</w:t>
      </w:r>
    </w:p>
    <w:p>
      <w:pPr>
        <w:pStyle w:val="241"/>
        <w:widowControl/>
        <w:snapToGrid w:val="0"/>
        <w:spacing w:line="360" w:lineRule="auto"/>
        <w:ind w:firstLine="0" w:firstLineChars="0"/>
        <w:jc w:val="left"/>
        <w:outlineLvl w:val="3"/>
        <w:rPr>
          <w:rFonts w:ascii="宋体" w:hAnsi="宋体" w:cs="宋体"/>
          <w:b/>
          <w:color w:val="auto"/>
          <w:kern w:val="0"/>
          <w:sz w:val="24"/>
          <w:highlight w:val="none"/>
        </w:rPr>
      </w:pPr>
      <w:r>
        <w:rPr>
          <w:rFonts w:hint="eastAsia" w:ascii="宋体" w:hAnsi="宋体" w:cs="宋体"/>
          <w:b/>
          <w:color w:val="auto"/>
          <w:kern w:val="0"/>
          <w:sz w:val="24"/>
          <w:highlight w:val="none"/>
        </w:rPr>
        <w:t xml:space="preserve">1 </w:t>
      </w:r>
      <w:r>
        <w:rPr>
          <w:rFonts w:ascii="宋体" w:hAnsi="宋体" w:cs="宋体"/>
          <w:b/>
          <w:color w:val="auto"/>
          <w:kern w:val="0"/>
          <w:sz w:val="24"/>
          <w:highlight w:val="none"/>
        </w:rPr>
        <w:t>.</w:t>
      </w:r>
      <w:r>
        <w:rPr>
          <w:rFonts w:hint="eastAsia" w:ascii="宋体" w:hAnsi="宋体" w:cs="宋体"/>
          <w:b/>
          <w:color w:val="auto"/>
          <w:kern w:val="0"/>
          <w:sz w:val="24"/>
          <w:highlight w:val="none"/>
        </w:rPr>
        <w:t>装饰工程</w:t>
      </w:r>
    </w:p>
    <w:p>
      <w:pPr>
        <w:pStyle w:val="241"/>
        <w:widowControl/>
        <w:numPr>
          <w:ilvl w:val="0"/>
          <w:numId w:val="24"/>
        </w:numPr>
        <w:snapToGrid w:val="0"/>
        <w:spacing w:line="360" w:lineRule="auto"/>
        <w:ind w:firstLineChars="0"/>
        <w:rPr>
          <w:rFonts w:ascii="宋体" w:hAnsi="宋体" w:cs="宋体"/>
          <w:color w:val="auto"/>
          <w:kern w:val="0"/>
          <w:sz w:val="24"/>
          <w:highlight w:val="none"/>
        </w:rPr>
      </w:pPr>
      <w:r>
        <w:rPr>
          <w:rFonts w:hint="eastAsia" w:ascii="宋体" w:hAnsi="宋体" w:cs="宋体"/>
          <w:color w:val="auto"/>
          <w:kern w:val="0"/>
          <w:sz w:val="24"/>
          <w:highlight w:val="none"/>
        </w:rPr>
        <w:t>负责医用气体系统专业墙面、地面、天花的开孔及收边收口工作。</w:t>
      </w:r>
      <w:r>
        <w:rPr>
          <w:rFonts w:ascii="宋体" w:hAnsi="宋体" w:cs="宋体"/>
          <w:color w:val="auto"/>
          <w:kern w:val="0"/>
          <w:sz w:val="24"/>
          <w:highlight w:val="none"/>
        </w:rPr>
        <w:t>。</w:t>
      </w:r>
    </w:p>
    <w:p>
      <w:pPr>
        <w:pStyle w:val="241"/>
        <w:widowControl/>
        <w:numPr>
          <w:ilvl w:val="0"/>
          <w:numId w:val="24"/>
        </w:numPr>
        <w:snapToGrid w:val="0"/>
        <w:spacing w:line="360" w:lineRule="auto"/>
        <w:ind w:firstLineChars="0"/>
        <w:rPr>
          <w:rFonts w:ascii="宋体" w:hAnsi="宋体" w:cs="宋体"/>
          <w:color w:val="auto"/>
          <w:kern w:val="0"/>
          <w:sz w:val="24"/>
          <w:highlight w:val="none"/>
        </w:rPr>
      </w:pPr>
      <w:r>
        <w:rPr>
          <w:rFonts w:hint="eastAsia" w:ascii="宋体" w:hAnsi="宋体" w:cs="宋体"/>
          <w:color w:val="auto"/>
          <w:kern w:val="0"/>
          <w:sz w:val="24"/>
          <w:highlight w:val="none"/>
        </w:rPr>
        <w:t>医用</w:t>
      </w:r>
      <w:r>
        <w:rPr>
          <w:rFonts w:ascii="宋体" w:hAnsi="宋体" w:cs="宋体"/>
          <w:color w:val="auto"/>
          <w:kern w:val="0"/>
          <w:sz w:val="24"/>
          <w:highlight w:val="none"/>
        </w:rPr>
        <w:t>气体承包商负责向</w:t>
      </w:r>
      <w:r>
        <w:rPr>
          <w:rFonts w:hint="eastAsia" w:ascii="宋体" w:hAnsi="宋体" w:cs="宋体"/>
          <w:color w:val="auto"/>
          <w:kern w:val="0"/>
          <w:sz w:val="24"/>
          <w:highlight w:val="none"/>
        </w:rPr>
        <w:t>精装修</w:t>
      </w:r>
      <w:r>
        <w:rPr>
          <w:rFonts w:ascii="宋体" w:hAnsi="宋体" w:cs="宋体"/>
          <w:color w:val="auto"/>
          <w:kern w:val="0"/>
          <w:sz w:val="24"/>
          <w:highlight w:val="none"/>
        </w:rPr>
        <w:t>承包商提供</w:t>
      </w:r>
      <w:r>
        <w:rPr>
          <w:rFonts w:hint="eastAsia" w:ascii="宋体" w:hAnsi="宋体" w:cs="宋体"/>
          <w:color w:val="auto"/>
          <w:kern w:val="0"/>
          <w:sz w:val="24"/>
          <w:highlight w:val="none"/>
        </w:rPr>
        <w:t>装饰面层</w:t>
      </w:r>
      <w:r>
        <w:rPr>
          <w:rFonts w:ascii="宋体" w:hAnsi="宋体" w:cs="宋体"/>
          <w:color w:val="auto"/>
          <w:kern w:val="0"/>
          <w:sz w:val="24"/>
          <w:highlight w:val="none"/>
        </w:rPr>
        <w:t>设备、点位的</w:t>
      </w:r>
      <w:r>
        <w:rPr>
          <w:rFonts w:hint="eastAsia" w:ascii="宋体" w:hAnsi="宋体" w:cs="宋体"/>
          <w:color w:val="auto"/>
          <w:kern w:val="0"/>
          <w:sz w:val="24"/>
          <w:highlight w:val="none"/>
        </w:rPr>
        <w:t>尺寸，</w:t>
      </w:r>
      <w:r>
        <w:rPr>
          <w:rFonts w:ascii="宋体" w:hAnsi="宋体" w:cs="宋体"/>
          <w:color w:val="auto"/>
          <w:kern w:val="0"/>
          <w:sz w:val="24"/>
          <w:highlight w:val="none"/>
        </w:rPr>
        <w:t>配合装饰单位完成机电末端点位深化设计，</w:t>
      </w:r>
      <w:r>
        <w:rPr>
          <w:rFonts w:hint="eastAsia" w:ascii="宋体" w:hAnsi="宋体" w:cs="宋体"/>
          <w:color w:val="auto"/>
          <w:kern w:val="0"/>
          <w:sz w:val="24"/>
          <w:highlight w:val="none"/>
        </w:rPr>
        <w:t>并</w:t>
      </w:r>
      <w:r>
        <w:rPr>
          <w:rFonts w:ascii="宋体" w:hAnsi="宋体" w:cs="宋体"/>
          <w:color w:val="auto"/>
          <w:kern w:val="0"/>
          <w:sz w:val="24"/>
          <w:highlight w:val="none"/>
        </w:rPr>
        <w:t>按照深化设计图纸施工</w:t>
      </w:r>
      <w:r>
        <w:rPr>
          <w:rFonts w:hint="eastAsia" w:ascii="宋体" w:hAnsi="宋体" w:cs="宋体"/>
          <w:color w:val="auto"/>
          <w:kern w:val="0"/>
          <w:sz w:val="24"/>
          <w:highlight w:val="none"/>
        </w:rPr>
        <w:t>。</w:t>
      </w:r>
    </w:p>
    <w:p>
      <w:pPr>
        <w:pStyle w:val="241"/>
        <w:widowControl/>
        <w:numPr>
          <w:ilvl w:val="0"/>
          <w:numId w:val="24"/>
        </w:numPr>
        <w:snapToGrid w:val="0"/>
        <w:spacing w:line="360" w:lineRule="auto"/>
        <w:ind w:firstLineChars="0"/>
        <w:rPr>
          <w:rFonts w:ascii="宋体" w:hAnsi="宋体" w:cs="宋体"/>
          <w:color w:val="auto"/>
          <w:kern w:val="0"/>
          <w:sz w:val="24"/>
          <w:highlight w:val="none"/>
        </w:rPr>
      </w:pPr>
      <w:r>
        <w:rPr>
          <w:rFonts w:hint="eastAsia" w:ascii="宋体" w:hAnsi="宋体" w:cs="宋体"/>
          <w:color w:val="auto"/>
          <w:kern w:val="0"/>
          <w:sz w:val="24"/>
          <w:highlight w:val="none"/>
        </w:rPr>
        <w:t>医用</w:t>
      </w:r>
      <w:r>
        <w:rPr>
          <w:rFonts w:ascii="宋体" w:hAnsi="宋体" w:cs="宋体"/>
          <w:color w:val="auto"/>
          <w:kern w:val="0"/>
          <w:sz w:val="24"/>
          <w:highlight w:val="none"/>
        </w:rPr>
        <w:t>气体承包商</w:t>
      </w:r>
      <w:r>
        <w:rPr>
          <w:rFonts w:hint="eastAsia" w:ascii="宋体" w:hAnsi="宋体" w:cs="宋体"/>
          <w:color w:val="auto"/>
          <w:kern w:val="0"/>
          <w:sz w:val="24"/>
          <w:highlight w:val="none"/>
        </w:rPr>
        <w:t>负责医用气体系统专业墙面、地面、天花的开孔及收边收口工作。</w:t>
      </w:r>
    </w:p>
    <w:p>
      <w:pPr>
        <w:pStyle w:val="241"/>
        <w:widowControl/>
        <w:snapToGrid w:val="0"/>
        <w:spacing w:line="360" w:lineRule="auto"/>
        <w:ind w:firstLine="0" w:firstLineChars="0"/>
        <w:rPr>
          <w:rFonts w:ascii="宋体" w:hAnsi="宋体" w:cs="宋体"/>
          <w:b/>
          <w:color w:val="auto"/>
          <w:kern w:val="0"/>
          <w:sz w:val="24"/>
          <w:highlight w:val="none"/>
        </w:rPr>
      </w:pPr>
      <w:r>
        <w:rPr>
          <w:rFonts w:ascii="宋体" w:hAnsi="宋体" w:cs="宋体"/>
          <w:b/>
          <w:color w:val="auto"/>
          <w:kern w:val="0"/>
          <w:sz w:val="24"/>
          <w:highlight w:val="none"/>
        </w:rPr>
        <w:t>2.</w:t>
      </w:r>
      <w:r>
        <w:rPr>
          <w:rFonts w:hint="eastAsia" w:ascii="宋体" w:hAnsi="宋体" w:cs="宋体"/>
          <w:b/>
          <w:color w:val="auto"/>
          <w:kern w:val="0"/>
          <w:sz w:val="24"/>
          <w:highlight w:val="none"/>
        </w:rPr>
        <w:t xml:space="preserve"> 电气工程</w:t>
      </w:r>
    </w:p>
    <w:p>
      <w:pPr>
        <w:pStyle w:val="241"/>
        <w:widowControl/>
        <w:numPr>
          <w:ilvl w:val="0"/>
          <w:numId w:val="25"/>
        </w:numPr>
        <w:snapToGrid w:val="0"/>
        <w:spacing w:line="360" w:lineRule="auto"/>
        <w:ind w:firstLineChars="0"/>
        <w:rPr>
          <w:rFonts w:ascii="宋体" w:hAnsi="宋体" w:cs="宋体"/>
          <w:color w:val="auto"/>
          <w:kern w:val="0"/>
          <w:sz w:val="24"/>
          <w:highlight w:val="none"/>
        </w:rPr>
      </w:pPr>
      <w:r>
        <w:rPr>
          <w:rFonts w:hint="eastAsia" w:ascii="宋体" w:hAnsi="宋体" w:cs="宋体"/>
          <w:color w:val="auto"/>
          <w:kern w:val="0"/>
          <w:sz w:val="24"/>
          <w:highlight w:val="none"/>
        </w:rPr>
        <w:t>装饰</w:t>
      </w:r>
      <w:r>
        <w:rPr>
          <w:rFonts w:ascii="宋体" w:hAnsi="宋体" w:cs="宋体"/>
          <w:color w:val="auto"/>
          <w:kern w:val="0"/>
          <w:sz w:val="24"/>
          <w:highlight w:val="none"/>
        </w:rPr>
        <w:t>单位负责</w:t>
      </w:r>
      <w:r>
        <w:rPr>
          <w:rFonts w:hint="eastAsia" w:ascii="宋体" w:hAnsi="宋体" w:cs="宋体"/>
          <w:color w:val="auto"/>
          <w:kern w:val="0"/>
          <w:sz w:val="24"/>
          <w:highlight w:val="none"/>
        </w:rPr>
        <w:t>天花</w:t>
      </w:r>
      <w:r>
        <w:rPr>
          <w:rFonts w:ascii="宋体" w:hAnsi="宋体" w:cs="宋体"/>
          <w:color w:val="auto"/>
          <w:kern w:val="0"/>
          <w:sz w:val="24"/>
          <w:highlight w:val="none"/>
        </w:rPr>
        <w:t>灯具</w:t>
      </w:r>
      <w:r>
        <w:rPr>
          <w:rFonts w:hint="eastAsia" w:ascii="宋体" w:hAnsi="宋体" w:cs="宋体"/>
          <w:color w:val="auto"/>
          <w:kern w:val="0"/>
          <w:sz w:val="24"/>
          <w:highlight w:val="none"/>
        </w:rPr>
        <w:t>及</w:t>
      </w:r>
      <w:r>
        <w:rPr>
          <w:rFonts w:ascii="宋体" w:hAnsi="宋体" w:cs="宋体"/>
          <w:color w:val="auto"/>
          <w:kern w:val="0"/>
          <w:sz w:val="24"/>
          <w:highlight w:val="none"/>
        </w:rPr>
        <w:t>其配电线管</w:t>
      </w:r>
      <w:r>
        <w:rPr>
          <w:rFonts w:hint="eastAsia" w:ascii="宋体" w:hAnsi="宋体" w:cs="宋体"/>
          <w:color w:val="auto"/>
          <w:kern w:val="0"/>
          <w:sz w:val="24"/>
          <w:highlight w:val="none"/>
        </w:rPr>
        <w:t>、开关</w:t>
      </w:r>
      <w:r>
        <w:rPr>
          <w:rFonts w:ascii="宋体" w:hAnsi="宋体" w:cs="宋体"/>
          <w:color w:val="auto"/>
          <w:kern w:val="0"/>
          <w:sz w:val="24"/>
          <w:highlight w:val="none"/>
        </w:rPr>
        <w:t>的施工及安装，</w:t>
      </w:r>
      <w:r>
        <w:rPr>
          <w:rFonts w:hint="eastAsia" w:ascii="宋体" w:hAnsi="宋体" w:cs="宋体"/>
          <w:color w:val="auto"/>
          <w:kern w:val="0"/>
          <w:sz w:val="24"/>
          <w:highlight w:val="none"/>
        </w:rPr>
        <w:t>医用气体承包商负责</w:t>
      </w:r>
      <w:r>
        <w:rPr>
          <w:rFonts w:hint="eastAsia" w:ascii="宋体" w:hAnsi="宋体"/>
          <w:color w:val="auto"/>
          <w:sz w:val="24"/>
          <w:highlight w:val="none"/>
        </w:rPr>
        <w:t>设备带上灯具及设备带灯具开关、插座的供应及安装、接线。</w:t>
      </w:r>
    </w:p>
    <w:p>
      <w:pPr>
        <w:pStyle w:val="241"/>
        <w:widowControl/>
        <w:snapToGrid w:val="0"/>
        <w:spacing w:line="360" w:lineRule="auto"/>
        <w:ind w:firstLine="0" w:firstLineChars="0"/>
        <w:rPr>
          <w:rFonts w:ascii="宋体" w:hAnsi="宋体" w:cs="宋体"/>
          <w:color w:val="auto"/>
          <w:kern w:val="0"/>
          <w:sz w:val="24"/>
          <w:highlight w:val="none"/>
        </w:rPr>
      </w:pPr>
    </w:p>
    <w:p>
      <w:pPr>
        <w:pStyle w:val="241"/>
        <w:widowControl/>
        <w:snapToGrid w:val="0"/>
        <w:spacing w:line="360" w:lineRule="auto"/>
        <w:ind w:left="942" w:firstLine="0" w:firstLineChars="0"/>
        <w:rPr>
          <w:rFonts w:ascii="宋体" w:hAnsi="宋体"/>
          <w:color w:val="auto"/>
          <w:sz w:val="24"/>
          <w:highlight w:val="none"/>
        </w:rPr>
      </w:pPr>
    </w:p>
    <w:p>
      <w:pPr>
        <w:pStyle w:val="239"/>
        <w:keepNext/>
        <w:keepLines/>
        <w:tabs>
          <w:tab w:val="left" w:pos="425"/>
          <w:tab w:val="left" w:pos="709"/>
        </w:tabs>
        <w:spacing w:line="360" w:lineRule="auto"/>
        <w:outlineLvl w:val="2"/>
        <w:rPr>
          <w:rFonts w:ascii="宋体" w:hAnsi="宋体" w:eastAsia="宋体"/>
          <w:b/>
          <w:color w:val="auto"/>
          <w:highlight w:val="none"/>
        </w:rPr>
      </w:pPr>
      <w:r>
        <w:rPr>
          <w:rFonts w:ascii="宋体" w:hAnsi="宋体" w:eastAsia="宋体"/>
          <w:b/>
          <w:color w:val="auto"/>
          <w:highlight w:val="none"/>
        </w:rPr>
        <w:t>3.8.4 与</w:t>
      </w:r>
      <w:r>
        <w:rPr>
          <w:rFonts w:hint="eastAsia" w:ascii="宋体" w:hAnsi="宋体" w:eastAsia="宋体"/>
          <w:b/>
          <w:color w:val="auto"/>
          <w:highlight w:val="none"/>
        </w:rPr>
        <w:t>智能化</w:t>
      </w:r>
      <w:r>
        <w:rPr>
          <w:rFonts w:ascii="宋体" w:hAnsi="宋体" w:eastAsia="宋体"/>
          <w:b/>
          <w:color w:val="auto"/>
          <w:highlight w:val="none"/>
        </w:rPr>
        <w:t>承包商</w:t>
      </w:r>
      <w:r>
        <w:rPr>
          <w:rFonts w:hint="eastAsia" w:ascii="宋体" w:hAnsi="宋体" w:eastAsia="宋体"/>
          <w:b/>
          <w:color w:val="auto"/>
          <w:highlight w:val="none"/>
        </w:rPr>
        <w:t>的</w:t>
      </w:r>
      <w:r>
        <w:rPr>
          <w:rFonts w:ascii="宋体" w:hAnsi="宋体" w:eastAsia="宋体"/>
          <w:b/>
          <w:color w:val="auto"/>
          <w:highlight w:val="none"/>
        </w:rPr>
        <w:t>界面</w:t>
      </w:r>
    </w:p>
    <w:p>
      <w:pPr>
        <w:pStyle w:val="239"/>
        <w:keepNext/>
        <w:keepLines/>
        <w:tabs>
          <w:tab w:val="left" w:pos="425"/>
          <w:tab w:val="left" w:pos="709"/>
        </w:tabs>
        <w:spacing w:line="360" w:lineRule="auto"/>
        <w:outlineLvl w:val="2"/>
        <w:rPr>
          <w:rFonts w:ascii="宋体" w:hAnsi="宋体" w:eastAsia="宋体"/>
          <w:b/>
          <w:color w:val="auto"/>
          <w:highlight w:val="none"/>
        </w:rPr>
      </w:pPr>
    </w:p>
    <w:p>
      <w:pPr>
        <w:pStyle w:val="239"/>
        <w:keepNext/>
        <w:tabs>
          <w:tab w:val="left" w:pos="425"/>
          <w:tab w:val="left" w:pos="709"/>
        </w:tabs>
        <w:spacing w:line="360" w:lineRule="auto"/>
        <w:outlineLvl w:val="2"/>
        <w:rPr>
          <w:rFonts w:ascii="宋体" w:hAnsi="宋体" w:eastAsia="宋体"/>
          <w:b/>
          <w:color w:val="auto"/>
          <w:highlight w:val="none"/>
        </w:rPr>
      </w:pPr>
      <w:r>
        <w:rPr>
          <w:rFonts w:hint="eastAsia" w:ascii="宋体" w:hAnsi="宋体" w:eastAsia="宋体"/>
          <w:b/>
          <w:color w:val="auto"/>
          <w:highlight w:val="none"/>
        </w:rPr>
        <w:t xml:space="preserve"> </w:t>
      </w:r>
      <w:r>
        <w:rPr>
          <w:rFonts w:ascii="宋体" w:hAnsi="宋体" w:eastAsia="宋体"/>
          <w:b/>
          <w:color w:val="auto"/>
          <w:highlight w:val="none"/>
        </w:rPr>
        <w:t xml:space="preserve">    </w:t>
      </w:r>
      <w:r>
        <w:rPr>
          <w:rFonts w:hint="eastAsia" w:ascii="宋体" w:hAnsi="宋体" w:eastAsia="宋体"/>
          <w:b/>
          <w:color w:val="auto"/>
          <w:highlight w:val="none"/>
        </w:rPr>
        <w:t>医用气体系统专业承包商负责：</w:t>
      </w:r>
    </w:p>
    <w:p>
      <w:pPr>
        <w:pStyle w:val="241"/>
        <w:widowControl/>
        <w:snapToGrid w:val="0"/>
        <w:spacing w:line="360" w:lineRule="auto"/>
        <w:ind w:left="567" w:firstLine="0" w:firstLineChars="0"/>
        <w:rPr>
          <w:rFonts w:ascii="宋体" w:hAnsi="宋体" w:cs="宋体"/>
          <w:color w:val="auto"/>
          <w:kern w:val="0"/>
          <w:sz w:val="24"/>
          <w:highlight w:val="none"/>
        </w:rPr>
      </w:pPr>
      <w:r>
        <w:rPr>
          <w:rFonts w:ascii="宋体" w:hAnsi="宋体" w:cs="宋体"/>
          <w:color w:val="auto"/>
          <w:kern w:val="0"/>
          <w:sz w:val="24"/>
          <w:highlight w:val="none"/>
        </w:rPr>
        <w:t>1）提供通讯接口和协议给智能化工程专业承包商。</w:t>
      </w:r>
    </w:p>
    <w:p>
      <w:pPr>
        <w:pStyle w:val="241"/>
        <w:widowControl/>
        <w:snapToGrid w:val="0"/>
        <w:spacing w:line="360" w:lineRule="auto"/>
        <w:ind w:left="567" w:firstLine="0" w:firstLineChars="0"/>
        <w:rPr>
          <w:rFonts w:ascii="宋体" w:hAnsi="宋体" w:cs="宋体"/>
          <w:color w:val="auto"/>
          <w:kern w:val="0"/>
          <w:sz w:val="24"/>
          <w:highlight w:val="none"/>
        </w:rPr>
      </w:pPr>
      <w:r>
        <w:rPr>
          <w:rFonts w:ascii="宋体" w:hAnsi="宋体" w:cs="宋体"/>
          <w:color w:val="auto"/>
          <w:kern w:val="0"/>
          <w:sz w:val="24"/>
          <w:highlight w:val="none"/>
        </w:rPr>
        <w:t>2）负责深化设计设备带上终端设备布置，在设备带上负责为智能化工程专业承包商上开弱电终端安装孔，配合弱电承包商进行系统终端安装、调试。</w:t>
      </w:r>
    </w:p>
    <w:p>
      <w:pPr>
        <w:pStyle w:val="241"/>
        <w:widowControl/>
        <w:snapToGrid w:val="0"/>
        <w:spacing w:line="360" w:lineRule="auto"/>
        <w:ind w:left="567" w:firstLine="0" w:firstLineChars="0"/>
        <w:rPr>
          <w:rFonts w:ascii="宋体" w:hAnsi="宋体" w:cs="宋体"/>
          <w:b/>
          <w:bCs/>
          <w:color w:val="auto"/>
          <w:kern w:val="0"/>
          <w:sz w:val="24"/>
          <w:highlight w:val="none"/>
        </w:rPr>
      </w:pPr>
      <w:r>
        <w:rPr>
          <w:rFonts w:hint="eastAsia" w:ascii="宋体" w:hAnsi="宋体" w:cs="宋体"/>
          <w:b/>
          <w:bCs/>
          <w:color w:val="auto"/>
          <w:kern w:val="0"/>
          <w:sz w:val="24"/>
          <w:highlight w:val="none"/>
        </w:rPr>
        <w:t>智能化工程专业承包商负责：</w:t>
      </w:r>
    </w:p>
    <w:p>
      <w:pPr>
        <w:pStyle w:val="241"/>
        <w:widowControl/>
        <w:snapToGrid w:val="0"/>
        <w:spacing w:line="360" w:lineRule="auto"/>
        <w:ind w:left="567" w:firstLine="0" w:firstLineChars="0"/>
        <w:rPr>
          <w:rFonts w:ascii="宋体" w:hAnsi="宋体" w:cs="宋体"/>
          <w:color w:val="auto"/>
          <w:kern w:val="0"/>
          <w:sz w:val="24"/>
          <w:highlight w:val="none"/>
        </w:rPr>
      </w:pPr>
      <w:r>
        <w:rPr>
          <w:rFonts w:ascii="宋体" w:hAnsi="宋体" w:cs="宋体"/>
          <w:color w:val="auto"/>
          <w:kern w:val="0"/>
          <w:sz w:val="24"/>
          <w:highlight w:val="none"/>
        </w:rPr>
        <w:t>1）医用设备带上弱电系统的敷线，设备的采购和安装。提供终端安装大样图及样品给医用气体系统专业承包商使用。</w:t>
      </w:r>
    </w:p>
    <w:p>
      <w:pPr>
        <w:pStyle w:val="241"/>
        <w:widowControl/>
        <w:snapToGrid w:val="0"/>
        <w:spacing w:line="360" w:lineRule="auto"/>
        <w:ind w:left="567" w:firstLine="0" w:firstLineChars="0"/>
        <w:rPr>
          <w:rFonts w:ascii="宋体" w:hAnsi="宋体" w:cs="宋体"/>
          <w:color w:val="auto"/>
          <w:kern w:val="0"/>
          <w:sz w:val="24"/>
          <w:highlight w:val="none"/>
        </w:rPr>
      </w:pPr>
      <w:r>
        <w:rPr>
          <w:rFonts w:ascii="宋体" w:hAnsi="宋体" w:cs="宋体"/>
          <w:color w:val="auto"/>
          <w:kern w:val="0"/>
          <w:sz w:val="24"/>
          <w:highlight w:val="none"/>
        </w:rPr>
        <w:t>2）智能化工程专业承包单位负责智能化系统所需砖墙的开槽、钻洞、开孔等施工。</w:t>
      </w:r>
    </w:p>
    <w:p>
      <w:pPr>
        <w:pStyle w:val="239"/>
        <w:keepNext/>
        <w:keepLines/>
        <w:tabs>
          <w:tab w:val="left" w:pos="425"/>
          <w:tab w:val="left" w:pos="709"/>
        </w:tabs>
        <w:spacing w:line="360" w:lineRule="auto"/>
        <w:outlineLvl w:val="2"/>
        <w:rPr>
          <w:rFonts w:ascii="宋体" w:hAnsi="宋体" w:eastAsia="宋体"/>
          <w:b/>
          <w:color w:val="auto"/>
          <w:highlight w:val="none"/>
        </w:rPr>
      </w:pPr>
      <w:r>
        <w:rPr>
          <w:rFonts w:ascii="宋体" w:hAnsi="宋体" w:eastAsia="宋体"/>
          <w:b/>
          <w:color w:val="auto"/>
          <w:highlight w:val="none"/>
        </w:rPr>
        <w:t xml:space="preserve">3.8.5 </w:t>
      </w:r>
      <w:r>
        <w:rPr>
          <w:rFonts w:hint="eastAsia" w:ascii="宋体" w:hAnsi="宋体" w:eastAsia="宋体"/>
          <w:b/>
          <w:color w:val="auto"/>
          <w:highlight w:val="none"/>
        </w:rPr>
        <w:t>与</w:t>
      </w:r>
      <w:r>
        <w:rPr>
          <w:rFonts w:ascii="宋体" w:hAnsi="宋体" w:eastAsia="宋体"/>
          <w:b/>
          <w:color w:val="auto"/>
          <w:highlight w:val="none"/>
        </w:rPr>
        <w:t>医院方的界面</w:t>
      </w:r>
    </w:p>
    <w:p>
      <w:pPr>
        <w:pStyle w:val="241"/>
        <w:widowControl/>
        <w:numPr>
          <w:ilvl w:val="0"/>
          <w:numId w:val="26"/>
        </w:numPr>
        <w:snapToGrid w:val="0"/>
        <w:spacing w:line="360" w:lineRule="auto"/>
        <w:ind w:firstLineChars="0"/>
        <w:rPr>
          <w:rFonts w:ascii="宋体" w:hAnsi="宋体"/>
          <w:color w:val="auto"/>
          <w:kern w:val="0"/>
          <w:sz w:val="24"/>
          <w:highlight w:val="none"/>
        </w:rPr>
      </w:pPr>
      <w:r>
        <w:rPr>
          <w:rFonts w:hint="eastAsia" w:ascii="宋体" w:hAnsi="宋体"/>
          <w:color w:val="auto"/>
          <w:kern w:val="0"/>
          <w:sz w:val="24"/>
          <w:highlight w:val="none"/>
        </w:rPr>
        <w:t>在业主</w:t>
      </w:r>
      <w:r>
        <w:rPr>
          <w:rFonts w:ascii="宋体" w:hAnsi="宋体"/>
          <w:color w:val="auto"/>
          <w:kern w:val="0"/>
          <w:sz w:val="24"/>
          <w:highlight w:val="none"/>
        </w:rPr>
        <w:t>、监理的组织下，</w:t>
      </w:r>
      <w:r>
        <w:rPr>
          <w:rFonts w:hint="eastAsia" w:ascii="宋体" w:hAnsi="宋体"/>
          <w:color w:val="auto"/>
          <w:kern w:val="0"/>
          <w:sz w:val="24"/>
          <w:highlight w:val="none"/>
        </w:rPr>
        <w:t>医用</w:t>
      </w:r>
      <w:r>
        <w:rPr>
          <w:rFonts w:ascii="宋体" w:hAnsi="宋体"/>
          <w:color w:val="auto"/>
          <w:kern w:val="0"/>
          <w:sz w:val="24"/>
          <w:highlight w:val="none"/>
        </w:rPr>
        <w:t>气体承包商与院方/</w:t>
      </w:r>
      <w:r>
        <w:rPr>
          <w:rFonts w:hint="eastAsia" w:ascii="宋体" w:hAnsi="宋体"/>
          <w:color w:val="auto"/>
          <w:kern w:val="0"/>
          <w:sz w:val="24"/>
          <w:highlight w:val="none"/>
        </w:rPr>
        <w:t>院方</w:t>
      </w:r>
      <w:r>
        <w:rPr>
          <w:rFonts w:ascii="宋体" w:hAnsi="宋体"/>
          <w:color w:val="auto"/>
          <w:kern w:val="0"/>
          <w:sz w:val="24"/>
          <w:highlight w:val="none"/>
        </w:rPr>
        <w:t>设备供应商沟通</w:t>
      </w:r>
      <w:r>
        <w:rPr>
          <w:rFonts w:hint="eastAsia" w:ascii="宋体" w:hAnsi="宋体"/>
          <w:color w:val="auto"/>
          <w:kern w:val="0"/>
          <w:sz w:val="24"/>
          <w:highlight w:val="none"/>
        </w:rPr>
        <w:t>吊塔</w:t>
      </w:r>
      <w:r>
        <w:rPr>
          <w:rFonts w:ascii="宋体" w:hAnsi="宋体"/>
          <w:color w:val="auto"/>
          <w:kern w:val="0"/>
          <w:sz w:val="24"/>
          <w:highlight w:val="none"/>
        </w:rPr>
        <w:t>等医疗设备</w:t>
      </w:r>
      <w:r>
        <w:rPr>
          <w:rFonts w:hint="eastAsia" w:ascii="宋体" w:hAnsi="宋体"/>
          <w:color w:val="auto"/>
          <w:kern w:val="0"/>
          <w:sz w:val="24"/>
          <w:highlight w:val="none"/>
        </w:rPr>
        <w:t>接口</w:t>
      </w:r>
      <w:r>
        <w:rPr>
          <w:rFonts w:ascii="宋体" w:hAnsi="宋体"/>
          <w:color w:val="auto"/>
          <w:kern w:val="0"/>
          <w:sz w:val="24"/>
          <w:highlight w:val="none"/>
        </w:rPr>
        <w:t>对接方式，并</w:t>
      </w:r>
      <w:r>
        <w:rPr>
          <w:rFonts w:hint="eastAsia" w:ascii="宋体" w:hAnsi="宋体"/>
          <w:color w:val="auto"/>
          <w:kern w:val="0"/>
          <w:sz w:val="24"/>
          <w:highlight w:val="none"/>
        </w:rPr>
        <w:t>为医院</w:t>
      </w:r>
      <w:r>
        <w:rPr>
          <w:rFonts w:ascii="宋体" w:hAnsi="宋体"/>
          <w:color w:val="auto"/>
          <w:kern w:val="0"/>
          <w:sz w:val="24"/>
          <w:highlight w:val="none"/>
        </w:rPr>
        <w:t>采购的设备提供安装接口、阀门</w:t>
      </w:r>
      <w:r>
        <w:rPr>
          <w:rFonts w:hint="eastAsia" w:ascii="宋体" w:hAnsi="宋体"/>
          <w:color w:val="auto"/>
          <w:kern w:val="0"/>
          <w:sz w:val="24"/>
          <w:highlight w:val="none"/>
        </w:rPr>
        <w:t>。</w:t>
      </w:r>
    </w:p>
    <w:p>
      <w:pPr>
        <w:pStyle w:val="241"/>
        <w:widowControl/>
        <w:numPr>
          <w:ilvl w:val="0"/>
          <w:numId w:val="26"/>
        </w:numPr>
        <w:snapToGrid w:val="0"/>
        <w:spacing w:line="360" w:lineRule="auto"/>
        <w:ind w:firstLineChars="0"/>
        <w:jc w:val="left"/>
        <w:rPr>
          <w:rFonts w:ascii="宋体" w:hAnsi="宋体" w:cs="宋体"/>
          <w:color w:val="auto"/>
          <w:kern w:val="0"/>
          <w:sz w:val="24"/>
          <w:highlight w:val="none"/>
        </w:rPr>
      </w:pPr>
      <w:r>
        <w:rPr>
          <w:rFonts w:ascii="宋体" w:hAnsi="宋体"/>
          <w:color w:val="auto"/>
          <w:kern w:val="0"/>
          <w:sz w:val="24"/>
          <w:highlight w:val="none"/>
        </w:rPr>
        <w:t>承包商负责配合院方医疗设备调试</w:t>
      </w:r>
      <w:r>
        <w:rPr>
          <w:rFonts w:hint="eastAsia" w:ascii="宋体" w:hAnsi="宋体"/>
          <w:color w:val="auto"/>
          <w:kern w:val="0"/>
          <w:sz w:val="24"/>
          <w:highlight w:val="none"/>
        </w:rPr>
        <w:t>；院方设备厂家负责吊塔宝塔头与接口的焊接，院</w:t>
      </w:r>
      <w:r>
        <w:rPr>
          <w:rFonts w:ascii="宋体" w:hAnsi="宋体"/>
          <w:color w:val="auto"/>
          <w:kern w:val="0"/>
          <w:sz w:val="24"/>
          <w:highlight w:val="none"/>
        </w:rPr>
        <w:t>方</w:t>
      </w:r>
      <w:r>
        <w:rPr>
          <w:rFonts w:ascii="宋体" w:hAnsi="宋体" w:cs="宋体"/>
          <w:color w:val="auto"/>
          <w:kern w:val="0"/>
          <w:sz w:val="24"/>
          <w:highlight w:val="none"/>
        </w:rPr>
        <w:t>负责</w:t>
      </w:r>
      <w:r>
        <w:rPr>
          <w:rFonts w:hint="eastAsia" w:ascii="宋体" w:hAnsi="宋体" w:cs="宋体"/>
          <w:color w:val="auto"/>
          <w:kern w:val="0"/>
          <w:sz w:val="24"/>
          <w:highlight w:val="none"/>
        </w:rPr>
        <w:t>其</w:t>
      </w:r>
      <w:r>
        <w:rPr>
          <w:rFonts w:ascii="宋体" w:hAnsi="宋体" w:cs="宋体"/>
          <w:color w:val="auto"/>
          <w:kern w:val="0"/>
          <w:sz w:val="24"/>
          <w:highlight w:val="none"/>
        </w:rPr>
        <w:t>采购医疗设备的安装及调试。</w:t>
      </w:r>
    </w:p>
    <w:p>
      <w:pPr>
        <w:pStyle w:val="239"/>
        <w:keepNext/>
        <w:keepLines/>
        <w:tabs>
          <w:tab w:val="left" w:pos="425"/>
          <w:tab w:val="left" w:pos="709"/>
        </w:tabs>
        <w:spacing w:line="360" w:lineRule="auto"/>
        <w:outlineLvl w:val="2"/>
        <w:rPr>
          <w:rFonts w:ascii="宋体" w:hAnsi="宋体" w:eastAsia="宋体"/>
          <w:b/>
          <w:color w:val="auto"/>
          <w:highlight w:val="none"/>
        </w:rPr>
      </w:pPr>
      <w:r>
        <w:rPr>
          <w:rFonts w:ascii="宋体" w:hAnsi="宋体" w:eastAsia="宋体"/>
          <w:b/>
          <w:color w:val="auto"/>
          <w:highlight w:val="none"/>
        </w:rPr>
        <w:t>3.8.6</w:t>
      </w:r>
      <w:r>
        <w:rPr>
          <w:rFonts w:hint="eastAsia" w:ascii="宋体" w:hAnsi="宋体" w:eastAsia="宋体"/>
          <w:b/>
          <w:color w:val="auto"/>
          <w:highlight w:val="none"/>
        </w:rPr>
        <w:t xml:space="preserve"> 与政府有关各部门及公用事业机构的协调</w:t>
      </w:r>
    </w:p>
    <w:p>
      <w:pPr>
        <w:pStyle w:val="239"/>
        <w:widowControl w:val="0"/>
        <w:numPr>
          <w:ilvl w:val="0"/>
          <w:numId w:val="27"/>
        </w:numPr>
        <w:spacing w:line="360" w:lineRule="auto"/>
        <w:jc w:val="both"/>
        <w:rPr>
          <w:rFonts w:ascii="宋体" w:hAnsi="宋体" w:eastAsia="宋体"/>
          <w:color w:val="auto"/>
          <w:highlight w:val="none"/>
        </w:rPr>
      </w:pPr>
      <w:r>
        <w:rPr>
          <w:rFonts w:hint="eastAsia" w:ascii="宋体" w:hAnsi="宋体" w:eastAsia="宋体"/>
          <w:color w:val="auto"/>
          <w:highlight w:val="none"/>
        </w:rPr>
        <w:t>本承包人必须负责协助发包人与政府有关各部门及公用事业机构协调。</w:t>
      </w:r>
    </w:p>
    <w:p>
      <w:pPr>
        <w:pStyle w:val="239"/>
        <w:widowControl w:val="0"/>
        <w:numPr>
          <w:ilvl w:val="0"/>
          <w:numId w:val="27"/>
        </w:numPr>
        <w:spacing w:line="360" w:lineRule="auto"/>
        <w:jc w:val="both"/>
        <w:rPr>
          <w:rFonts w:ascii="宋体" w:hAnsi="宋体" w:eastAsia="宋体"/>
          <w:color w:val="auto"/>
          <w:highlight w:val="none"/>
        </w:rPr>
      </w:pPr>
      <w:r>
        <w:rPr>
          <w:rFonts w:hint="eastAsia" w:ascii="宋体" w:hAnsi="宋体" w:eastAsia="宋体"/>
          <w:color w:val="auto"/>
          <w:highlight w:val="none"/>
        </w:rPr>
        <w:t>承包人须向政府有关各部门及公用事业机构提供有关的资料（函件、图纸、样品、产品说明书等）作为审批的依据，如因所送资料不符合要求而需重新送审，因此而造成的工期延误等损失由本承包人负责。</w:t>
      </w:r>
    </w:p>
    <w:p>
      <w:pPr>
        <w:pStyle w:val="239"/>
        <w:widowControl w:val="0"/>
        <w:numPr>
          <w:ilvl w:val="0"/>
          <w:numId w:val="27"/>
        </w:numPr>
        <w:spacing w:line="360" w:lineRule="auto"/>
        <w:jc w:val="both"/>
        <w:rPr>
          <w:rFonts w:ascii="宋体" w:hAnsi="宋体" w:eastAsia="宋体"/>
          <w:color w:val="auto"/>
          <w:highlight w:val="none"/>
        </w:rPr>
      </w:pPr>
      <w:r>
        <w:rPr>
          <w:rFonts w:hint="eastAsia" w:ascii="宋体" w:hAnsi="宋体" w:eastAsia="宋体"/>
          <w:color w:val="auto"/>
          <w:highlight w:val="none"/>
        </w:rPr>
        <w:t>如因与政府有关部门及公用事业单位协调或合作不够导致已安装的设备或系统需更改或拆除，承包人除需承担所有有关的费用和导致工期延误的责任外，还须对发包人做出相应的赔偿。</w:t>
      </w:r>
    </w:p>
    <w:p>
      <w:pPr>
        <w:pStyle w:val="6"/>
        <w:ind w:left="0" w:firstLine="0"/>
        <w:rPr>
          <w:color w:val="auto"/>
          <w:highlight w:val="none"/>
        </w:rPr>
      </w:pPr>
      <w:r>
        <w:rPr>
          <w:rFonts w:ascii="宋体" w:hAnsi="宋体"/>
          <w:color w:val="auto"/>
          <w:szCs w:val="24"/>
          <w:highlight w:val="none"/>
        </w:rPr>
        <w:br w:type="page"/>
      </w:r>
    </w:p>
    <w:p>
      <w:pPr>
        <w:pStyle w:val="3"/>
        <w:rPr>
          <w:color w:val="auto"/>
          <w:highlight w:val="none"/>
        </w:rPr>
      </w:pPr>
      <w:bookmarkStart w:id="22" w:name="_Toc122371815"/>
      <w:r>
        <w:rPr>
          <w:rFonts w:hint="eastAsia"/>
          <w:color w:val="auto"/>
          <w:highlight w:val="none"/>
        </w:rPr>
        <w:t>协调配合要求</w:t>
      </w:r>
      <w:bookmarkEnd w:id="22"/>
    </w:p>
    <w:p>
      <w:pPr>
        <w:pStyle w:val="4"/>
        <w:rPr>
          <w:color w:val="auto"/>
          <w:highlight w:val="none"/>
        </w:rPr>
      </w:pPr>
      <w:bookmarkStart w:id="23" w:name="_Toc122371816"/>
      <w:r>
        <w:rPr>
          <w:rFonts w:hint="eastAsia"/>
          <w:color w:val="auto"/>
          <w:highlight w:val="none"/>
        </w:rPr>
        <w:t>与发包人的协调配合</w:t>
      </w:r>
      <w:bookmarkEnd w:id="23"/>
    </w:p>
    <w:p>
      <w:pPr>
        <w:pStyle w:val="5"/>
        <w:rPr>
          <w:color w:val="auto"/>
          <w:highlight w:val="none"/>
        </w:rPr>
      </w:pPr>
      <w:r>
        <w:rPr>
          <w:rFonts w:hint="eastAsia"/>
          <w:color w:val="auto"/>
          <w:highlight w:val="none"/>
        </w:rPr>
        <w:t>按照合同约定，对发包人负责，执行发包人指令，不得拖延、推诿。</w:t>
      </w:r>
    </w:p>
    <w:p>
      <w:pPr>
        <w:pStyle w:val="5"/>
        <w:rPr>
          <w:color w:val="auto"/>
          <w:highlight w:val="none"/>
        </w:rPr>
      </w:pPr>
      <w:r>
        <w:rPr>
          <w:rFonts w:hint="eastAsia"/>
          <w:color w:val="auto"/>
          <w:highlight w:val="none"/>
        </w:rPr>
        <w:t>定期（每周</w:t>
      </w:r>
      <w:r>
        <w:rPr>
          <w:color w:val="auto"/>
          <w:highlight w:val="none"/>
        </w:rPr>
        <w:t>/</w:t>
      </w:r>
      <w:r>
        <w:rPr>
          <w:rFonts w:hint="eastAsia"/>
          <w:color w:val="auto"/>
          <w:highlight w:val="none"/>
        </w:rPr>
        <w:t>月）向发包人提供工程报告，工程报告包含工程形象进度、计划执行情况、重点施工部位照片、质量和安全文明施工、设计提料、材料采购进度等情况，还应包括对专业工程承包人自身的评价、进度延期原因分析及纠偏措施内容。此外，专业工程承包人需根据发包人要求提供阶段性总结，并采取相关措施，提升上一阶段在工期、质量及安全文明方面存在的问题，保证相关措施的落地。</w:t>
      </w:r>
    </w:p>
    <w:p>
      <w:pPr>
        <w:pStyle w:val="5"/>
        <w:rPr>
          <w:color w:val="auto"/>
          <w:highlight w:val="none"/>
        </w:rPr>
      </w:pPr>
      <w:r>
        <w:rPr>
          <w:rFonts w:hint="eastAsia"/>
          <w:color w:val="auto"/>
          <w:highlight w:val="none"/>
        </w:rPr>
        <w:t>参加由发包人组织的各项例会，并确保会议所达成果的及时落地。</w:t>
      </w:r>
    </w:p>
    <w:p>
      <w:pPr>
        <w:pStyle w:val="5"/>
        <w:rPr>
          <w:color w:val="auto"/>
          <w:highlight w:val="none"/>
        </w:rPr>
      </w:pPr>
      <w:r>
        <w:rPr>
          <w:rFonts w:hint="eastAsia"/>
          <w:color w:val="auto"/>
          <w:highlight w:val="none"/>
        </w:rPr>
        <w:t>对于发包人安排的零星工程，应积极予以配合并负责实施。</w:t>
      </w:r>
    </w:p>
    <w:p>
      <w:pPr>
        <w:pStyle w:val="5"/>
        <w:rPr>
          <w:color w:val="auto"/>
          <w:highlight w:val="none"/>
        </w:rPr>
      </w:pPr>
      <w:r>
        <w:rPr>
          <w:rFonts w:hint="eastAsia"/>
          <w:color w:val="auto"/>
          <w:highlight w:val="none"/>
        </w:rPr>
        <w:t>在场地不完全具备施工条件时，应积极配合发包人进行场地协调、外围机构的协调沟通等工作。</w:t>
      </w:r>
    </w:p>
    <w:p>
      <w:pPr>
        <w:pStyle w:val="5"/>
        <w:rPr>
          <w:color w:val="auto"/>
          <w:highlight w:val="none"/>
        </w:rPr>
      </w:pPr>
      <w:r>
        <w:rPr>
          <w:rFonts w:hint="eastAsia"/>
          <w:color w:val="auto"/>
          <w:highlight w:val="none"/>
        </w:rPr>
        <w:t>全面配合发包人的各项检查</w:t>
      </w:r>
      <w:r>
        <w:rPr>
          <w:color w:val="auto"/>
          <w:highlight w:val="none"/>
        </w:rPr>
        <w:t>:</w:t>
      </w:r>
      <w:r>
        <w:rPr>
          <w:rFonts w:hint="eastAsia"/>
          <w:color w:val="auto"/>
          <w:highlight w:val="none"/>
        </w:rPr>
        <w:t>包括但不限于现场检查工具的配备、人员的配合、迎检的各种（进度、质量）准备、检查后的各项整改等。</w:t>
      </w:r>
    </w:p>
    <w:p>
      <w:pPr>
        <w:pStyle w:val="5"/>
        <w:rPr>
          <w:color w:val="auto"/>
          <w:highlight w:val="none"/>
        </w:rPr>
      </w:pPr>
      <w:r>
        <w:rPr>
          <w:rFonts w:hint="eastAsia"/>
          <w:color w:val="auto"/>
          <w:highlight w:val="none"/>
        </w:rPr>
        <w:t>专业工程承包人须根据发包人的总体进度要求安排施工，服从发包人对现场进度进行的安排并无条件接受调整，不得以任何现场条件不成熟或困难等为由，拒不增加人或要求增加费用。为满足发包人进度需要，必须无条件的为自己和其他专业工程承包人创造工作面，所有为自己或其他专业工程承包人创造施工条件而产生的费用已包含在合同总价内。</w:t>
      </w:r>
    </w:p>
    <w:p>
      <w:pPr>
        <w:pStyle w:val="5"/>
        <w:rPr>
          <w:color w:val="auto"/>
          <w:highlight w:val="none"/>
        </w:rPr>
      </w:pPr>
      <w:r>
        <w:rPr>
          <w:rFonts w:hint="eastAsia"/>
          <w:color w:val="auto"/>
          <w:highlight w:val="none"/>
        </w:rPr>
        <w:t>放射防护及磁屏蔽工程施工期间，及时自行将垃圾、废料运送至指定地点。放射防护及磁屏蔽工程完成时进行全面的清理工作后，才能交付给发包人，进行竣工验收。</w:t>
      </w:r>
    </w:p>
    <w:p>
      <w:pPr>
        <w:pStyle w:val="5"/>
        <w:rPr>
          <w:color w:val="auto"/>
          <w:highlight w:val="none"/>
        </w:rPr>
      </w:pPr>
      <w:r>
        <w:rPr>
          <w:rFonts w:hint="eastAsia"/>
          <w:color w:val="auto"/>
          <w:highlight w:val="none"/>
        </w:rPr>
        <w:t>根据发包人的要求，在需要的部位印制发包人的</w:t>
      </w:r>
      <w:r>
        <w:rPr>
          <w:color w:val="auto"/>
          <w:highlight w:val="none"/>
        </w:rPr>
        <w:t xml:space="preserve"> LOGO</w:t>
      </w:r>
      <w:r>
        <w:rPr>
          <w:rFonts w:hint="eastAsia"/>
          <w:color w:val="auto"/>
          <w:highlight w:val="none"/>
        </w:rPr>
        <w:t>。</w:t>
      </w:r>
    </w:p>
    <w:p>
      <w:pPr>
        <w:pStyle w:val="5"/>
        <w:rPr>
          <w:color w:val="auto"/>
          <w:highlight w:val="none"/>
        </w:rPr>
      </w:pPr>
      <w:r>
        <w:rPr>
          <w:rFonts w:hint="eastAsia"/>
          <w:color w:val="auto"/>
          <w:highlight w:val="none"/>
        </w:rPr>
        <w:t>专业工程承包人深化发包人提供的施工图纸，图纸包括但不限于装饰装修、防护节点等各种构造节点图、各立面展开图、排版图、埋件图等全部图纸。</w:t>
      </w:r>
    </w:p>
    <w:p>
      <w:pPr>
        <w:pStyle w:val="5"/>
        <w:rPr>
          <w:color w:val="auto"/>
          <w:highlight w:val="none"/>
        </w:rPr>
      </w:pPr>
      <w:r>
        <w:rPr>
          <w:rFonts w:hint="eastAsia"/>
          <w:color w:val="auto"/>
          <w:highlight w:val="none"/>
        </w:rPr>
        <w:t>专业工程承包人在实行任何一个施工步骤前两天应知会发包人并征得发包人同意方可施工（以施工计划形式，其中包含以图纸形式表达的施工范围、以表格形式表达的描述深度到节点的施工内容、以表格形式表达的深度到用途的材料进场计划），若未知会并征得同意而擅自施工，因变更等一切原因产生的误工、返工、损耗及拆改费用均由专业工程承包人承担。</w:t>
      </w:r>
    </w:p>
    <w:p>
      <w:pPr>
        <w:pStyle w:val="5"/>
        <w:rPr>
          <w:color w:val="auto"/>
          <w:highlight w:val="none"/>
        </w:rPr>
      </w:pPr>
      <w:r>
        <w:rPr>
          <w:rFonts w:hint="eastAsia"/>
          <w:color w:val="auto"/>
          <w:highlight w:val="none"/>
        </w:rPr>
        <w:t>工程完工后应定期进行回访。交付后一个月应组织发包人、物业公司对工程进行回访，了解工程的实际使用情况。保修期内定期（每年、每季）对工程进行再回访。</w:t>
      </w:r>
    </w:p>
    <w:p>
      <w:pPr>
        <w:pStyle w:val="5"/>
        <w:rPr>
          <w:color w:val="auto"/>
          <w:highlight w:val="none"/>
        </w:rPr>
      </w:pPr>
      <w:r>
        <w:rPr>
          <w:rFonts w:hint="eastAsia"/>
          <w:color w:val="auto"/>
          <w:highlight w:val="none"/>
        </w:rPr>
        <w:t>成立应急保修小组，当工程出现质量问题时，在接到发包人通知后要立即到达工程现场，积极履行保修义务。</w:t>
      </w:r>
    </w:p>
    <w:p>
      <w:pPr>
        <w:pStyle w:val="5"/>
        <w:rPr>
          <w:color w:val="auto"/>
          <w:highlight w:val="none"/>
        </w:rPr>
      </w:pPr>
      <w:r>
        <w:rPr>
          <w:rFonts w:hint="eastAsia"/>
          <w:color w:val="auto"/>
          <w:highlight w:val="none"/>
        </w:rPr>
        <w:t>与发包人协调配合的其他要求包括</w:t>
      </w:r>
      <w:r>
        <w:rPr>
          <w:color w:val="auto"/>
          <w:highlight w:val="none"/>
        </w:rPr>
        <w:t>:</w:t>
      </w:r>
      <w:r>
        <w:rPr>
          <w:rFonts w:hint="eastAsia"/>
          <w:color w:val="auto"/>
          <w:highlight w:val="none"/>
        </w:rPr>
        <w:t>（请项目根据实际情况补充）。</w:t>
      </w:r>
    </w:p>
    <w:p>
      <w:pPr>
        <w:pStyle w:val="4"/>
        <w:rPr>
          <w:color w:val="auto"/>
          <w:highlight w:val="none"/>
        </w:rPr>
      </w:pPr>
      <w:bookmarkStart w:id="24" w:name="_Toc122371817"/>
      <w:r>
        <w:rPr>
          <w:rFonts w:hint="eastAsia"/>
          <w:color w:val="auto"/>
          <w:highlight w:val="none"/>
        </w:rPr>
        <w:t>与设计人的协调配合</w:t>
      </w:r>
      <w:bookmarkEnd w:id="24"/>
    </w:p>
    <w:p>
      <w:pPr>
        <w:pStyle w:val="5"/>
        <w:rPr>
          <w:color w:val="auto"/>
          <w:highlight w:val="none"/>
        </w:rPr>
      </w:pPr>
      <w:r>
        <w:rPr>
          <w:rFonts w:hint="eastAsia"/>
          <w:color w:val="auto"/>
          <w:highlight w:val="none"/>
        </w:rPr>
        <w:t>专业工程承包人负责所承包范围的深化设计工作，严格按照设计要求完成深化设计工作，并报送发包人、设计人批准，并承担和支付深化设计图纸（包含有些需要有设计资质的深化设计及需要有审图资格及审图意见的深化设计）所需费用，此项含在合同报价内。</w:t>
      </w:r>
    </w:p>
    <w:p>
      <w:pPr>
        <w:pStyle w:val="5"/>
        <w:rPr>
          <w:color w:val="auto"/>
          <w:highlight w:val="none"/>
        </w:rPr>
      </w:pPr>
      <w:r>
        <w:rPr>
          <w:rFonts w:hint="eastAsia"/>
          <w:color w:val="auto"/>
          <w:highlight w:val="none"/>
        </w:rPr>
        <w:t>在深化设计过程中，专业工程承包人相关人员必须参与发包人组织的图纸会审。以便解决深化过程中碰到的问题，将图纸上存在的问题、错误、以及各专业之间的矛盾等提前解决。</w:t>
      </w:r>
    </w:p>
    <w:p>
      <w:pPr>
        <w:pStyle w:val="5"/>
        <w:rPr>
          <w:color w:val="auto"/>
          <w:highlight w:val="none"/>
        </w:rPr>
      </w:pPr>
      <w:r>
        <w:rPr>
          <w:rFonts w:hint="eastAsia"/>
          <w:color w:val="auto"/>
          <w:highlight w:val="none"/>
        </w:rPr>
        <w:t>按照发包人要求，编制承包范围内的深化设计计划。</w:t>
      </w:r>
    </w:p>
    <w:p>
      <w:pPr>
        <w:pStyle w:val="5"/>
        <w:rPr>
          <w:color w:val="auto"/>
          <w:highlight w:val="none"/>
        </w:rPr>
      </w:pPr>
      <w:r>
        <w:rPr>
          <w:rFonts w:hint="eastAsia"/>
          <w:color w:val="auto"/>
          <w:highlight w:val="none"/>
        </w:rPr>
        <w:t>在设计协调工作中，放射防护及磁屏蔽专业工程承包人要有全局意识，协调在施工中需要与设计单位协商解决的问题，并能根据以往施工经验预见一些涉及专业交叉的普遍性问题，减少工程的拆改、返工。</w:t>
      </w:r>
    </w:p>
    <w:p>
      <w:pPr>
        <w:pStyle w:val="5"/>
        <w:rPr>
          <w:color w:val="auto"/>
          <w:highlight w:val="none"/>
        </w:rPr>
      </w:pPr>
      <w:r>
        <w:rPr>
          <w:rFonts w:hint="eastAsia"/>
          <w:color w:val="auto"/>
          <w:highlight w:val="none"/>
        </w:rPr>
        <w:t>在发包人的组织下安排深化设计人员提前了解设计意图，明确质量要求，提出优化建议，将图纸上存在的问题和错误、各专业之间的矛盾等，尽最大可能解决在工程开工之前，报请发包人、设计、监理单位确认后，及时汇总、整理出图纸会审记录或及时请设计单位下发设计变更。</w:t>
      </w:r>
    </w:p>
    <w:p>
      <w:pPr>
        <w:pStyle w:val="5"/>
        <w:rPr>
          <w:color w:val="auto"/>
          <w:highlight w:val="none"/>
        </w:rPr>
      </w:pPr>
      <w:r>
        <w:rPr>
          <w:rFonts w:hint="eastAsia"/>
          <w:color w:val="auto"/>
          <w:highlight w:val="none"/>
        </w:rPr>
        <w:t>由于放射防护及磁屏蔽专业工程承包人原因造成的现场错误，放射防护及磁屏蔽专业工程承包人要编制专门的整改方案，方案经设计审批方可执行。</w:t>
      </w:r>
    </w:p>
    <w:p>
      <w:pPr>
        <w:pStyle w:val="5"/>
        <w:rPr>
          <w:color w:val="auto"/>
          <w:highlight w:val="none"/>
        </w:rPr>
      </w:pPr>
      <w:r>
        <w:rPr>
          <w:rFonts w:hint="eastAsia"/>
          <w:color w:val="auto"/>
          <w:highlight w:val="none"/>
        </w:rPr>
        <w:t>与设计人协调配合的其他要求包括</w:t>
      </w:r>
      <w:r>
        <w:rPr>
          <w:color w:val="auto"/>
          <w:highlight w:val="none"/>
        </w:rPr>
        <w:t>:</w:t>
      </w:r>
      <w:r>
        <w:rPr>
          <w:rFonts w:hint="eastAsia"/>
          <w:color w:val="auto"/>
          <w:highlight w:val="none"/>
        </w:rPr>
        <w:t>（请项目根据实际情况补充）。</w:t>
      </w:r>
    </w:p>
    <w:p>
      <w:pPr>
        <w:pStyle w:val="4"/>
        <w:rPr>
          <w:color w:val="auto"/>
          <w:highlight w:val="none"/>
        </w:rPr>
      </w:pPr>
      <w:bookmarkStart w:id="25" w:name="_Toc122371818"/>
      <w:r>
        <w:rPr>
          <w:rFonts w:hint="eastAsia"/>
          <w:color w:val="auto"/>
          <w:highlight w:val="none"/>
        </w:rPr>
        <w:t>与监理人的协调配合</w:t>
      </w:r>
      <w:bookmarkEnd w:id="25"/>
    </w:p>
    <w:p>
      <w:pPr>
        <w:pStyle w:val="5"/>
        <w:rPr>
          <w:color w:val="auto"/>
          <w:highlight w:val="none"/>
        </w:rPr>
      </w:pPr>
      <w:r>
        <w:rPr>
          <w:rFonts w:hint="eastAsia"/>
          <w:color w:val="auto"/>
          <w:spacing w:val="2"/>
          <w:highlight w:val="none"/>
        </w:rPr>
        <w:t>专业工程</w:t>
      </w:r>
      <w:r>
        <w:rPr>
          <w:rFonts w:hint="eastAsia"/>
          <w:color w:val="auto"/>
          <w:highlight w:val="none"/>
        </w:rPr>
        <w:t>承包人的管理人员要按时参加监理人例会，例会形成的决议要得到坚决的贯彻执行；除监理人通知外，各种会议纪要、工作联系单等文件也应在规定的时间内进行回复。</w:t>
      </w:r>
    </w:p>
    <w:p>
      <w:pPr>
        <w:pStyle w:val="5"/>
        <w:rPr>
          <w:color w:val="auto"/>
          <w:highlight w:val="none"/>
        </w:rPr>
      </w:pPr>
      <w:r>
        <w:rPr>
          <w:rFonts w:hint="eastAsia"/>
          <w:color w:val="auto"/>
          <w:highlight w:val="none"/>
        </w:rPr>
        <w:t>专业工程承包人在本工程合同实施过程中的往来文件、报告必须通过监理人向发包人传递。</w:t>
      </w:r>
    </w:p>
    <w:p>
      <w:pPr>
        <w:pStyle w:val="5"/>
        <w:rPr>
          <w:color w:val="auto"/>
          <w:highlight w:val="none"/>
        </w:rPr>
      </w:pPr>
      <w:r>
        <w:rPr>
          <w:rFonts w:hint="eastAsia"/>
          <w:color w:val="auto"/>
          <w:highlight w:val="none"/>
        </w:rPr>
        <w:t>对监理人的指令应严格执行并及时回复，如有不同意见，应书面报告监理人并抄送发包人。</w:t>
      </w:r>
    </w:p>
    <w:p>
      <w:pPr>
        <w:pStyle w:val="5"/>
        <w:rPr>
          <w:color w:val="auto"/>
          <w:highlight w:val="none"/>
        </w:rPr>
      </w:pPr>
      <w:r>
        <w:rPr>
          <w:rFonts w:hint="eastAsia"/>
          <w:color w:val="auto"/>
          <w:highlight w:val="none"/>
        </w:rPr>
        <w:t>专业工程承包人必须随时接受监理人对各类工程资料、质量保证体系及运行情况、安全保证体系及运行情况的检查，并派专人负责整理好各类工程资料。</w:t>
      </w:r>
    </w:p>
    <w:p>
      <w:pPr>
        <w:pStyle w:val="5"/>
        <w:rPr>
          <w:color w:val="auto"/>
          <w:highlight w:val="none"/>
        </w:rPr>
      </w:pPr>
      <w:r>
        <w:rPr>
          <w:rFonts w:hint="eastAsia"/>
          <w:color w:val="auto"/>
          <w:highlight w:val="none"/>
        </w:rPr>
        <w:t>专业工程承包人在实行任何一个施工步骤前两天应知会监理人并征得监理人同意方可施工（以施工计划形式，其中包含以图纸形式表达的施工范围、以表格形式表达的描述深度到节点的施工内容、以表格形式表达的深度到用途的材料进场计划），若未知会并征得同意而擅自施工，因变更等一切原因产生的误工、返工、损耗及拆改费用均由专业工程承包人承担。</w:t>
      </w:r>
    </w:p>
    <w:p>
      <w:pPr>
        <w:pStyle w:val="4"/>
        <w:rPr>
          <w:color w:val="auto"/>
          <w:highlight w:val="none"/>
        </w:rPr>
      </w:pPr>
      <w:bookmarkStart w:id="26" w:name="_Toc122371819"/>
      <w:r>
        <w:rPr>
          <w:rFonts w:hint="eastAsia"/>
          <w:color w:val="auto"/>
          <w:highlight w:val="none"/>
        </w:rPr>
        <w:t>与总承包人的协调配合</w:t>
      </w:r>
      <w:bookmarkEnd w:id="26"/>
    </w:p>
    <w:p>
      <w:pPr>
        <w:pStyle w:val="5"/>
        <w:rPr>
          <w:color w:val="auto"/>
          <w:highlight w:val="none"/>
        </w:rPr>
      </w:pPr>
      <w:r>
        <w:rPr>
          <w:rFonts w:hint="eastAsia"/>
          <w:color w:val="auto"/>
          <w:highlight w:val="none"/>
        </w:rPr>
        <w:t>总承包管理服务费总承包人在投标报价中考虑，发包人统一支付给总承包人，总承包人不再向专业工程承包人收取总承包管理服务费。</w:t>
      </w:r>
    </w:p>
    <w:p>
      <w:pPr>
        <w:pStyle w:val="5"/>
        <w:rPr>
          <w:color w:val="auto"/>
          <w:highlight w:val="none"/>
        </w:rPr>
      </w:pPr>
      <w:r>
        <w:rPr>
          <w:rFonts w:hint="eastAsia"/>
          <w:color w:val="auto"/>
          <w:highlight w:val="none"/>
        </w:rPr>
        <w:t>总承包人对专业工程承包人按照合同要求进行配合、协调及管理。在施工现场照管方面，由总承包人统一进行组织。其范围包括但不限于</w:t>
      </w:r>
      <w:r>
        <w:rPr>
          <w:color w:val="auto"/>
          <w:highlight w:val="none"/>
        </w:rPr>
        <w:t>:</w:t>
      </w:r>
      <w:r>
        <w:rPr>
          <w:rFonts w:hint="eastAsia"/>
          <w:color w:val="auto"/>
          <w:highlight w:val="none"/>
        </w:rPr>
        <w:t>临时设施、临时用水、临时用电、临时排污、临时排水、临时通风、施工场地、现场临时道路、施工机械、脚手架、照明、垃圾清运、安全保卫。此外，总承包方可根据实际情况提供临时食堂及冬雨季及特别极端天气所需的特别措施。</w:t>
      </w:r>
    </w:p>
    <w:p>
      <w:pPr>
        <w:pStyle w:val="5"/>
        <w:rPr>
          <w:color w:val="auto"/>
          <w:highlight w:val="none"/>
        </w:rPr>
      </w:pPr>
      <w:r>
        <w:rPr>
          <w:rFonts w:hint="eastAsia"/>
          <w:color w:val="auto"/>
          <w:highlight w:val="none"/>
        </w:rPr>
        <w:t>配合总承包人进行场地、材料的看管。放射防护及磁屏蔽专业工程承包人须对其存放的设备、材料自行负责看管义务。</w:t>
      </w:r>
    </w:p>
    <w:p>
      <w:pPr>
        <w:pStyle w:val="5"/>
        <w:rPr>
          <w:color w:val="auto"/>
          <w:highlight w:val="none"/>
        </w:rPr>
      </w:pPr>
      <w:r>
        <w:rPr>
          <w:rFonts w:hint="eastAsia"/>
          <w:color w:val="auto"/>
          <w:highlight w:val="none"/>
        </w:rPr>
        <w:t>放射防护及磁屏蔽专业工程承包人的加工场、现场仓库房以及自行搭建的其他临时设施，由放射防护及磁屏蔽专业工程承包人负责拆除；对总承包人提供的场地，放射防护及磁屏蔽专业工程承包人应做好相应的维护维修。</w:t>
      </w:r>
    </w:p>
    <w:p>
      <w:pPr>
        <w:pStyle w:val="5"/>
        <w:rPr>
          <w:color w:val="auto"/>
          <w:highlight w:val="none"/>
        </w:rPr>
      </w:pPr>
      <w:r>
        <w:rPr>
          <w:rFonts w:hint="eastAsia"/>
          <w:color w:val="auto"/>
          <w:highlight w:val="none"/>
        </w:rPr>
        <w:t>施工现场的临时用水、用电接驳点由总承包人负责敷设、配置及维护，放射防护及磁屏蔽专业工程承包人向总承包人缴纳施工所需的水、电费。</w:t>
      </w:r>
    </w:p>
    <w:p>
      <w:pPr>
        <w:pStyle w:val="5"/>
        <w:rPr>
          <w:color w:val="auto"/>
          <w:highlight w:val="none"/>
        </w:rPr>
      </w:pPr>
      <w:r>
        <w:rPr>
          <w:rFonts w:hint="eastAsia"/>
          <w:color w:val="auto"/>
          <w:highlight w:val="none"/>
        </w:rPr>
        <w:t>总承包人应根据临电方案提供符合要求的新订制的一、二级配电箱。在现场周围布设若干个一级配电箱，专业工程承包人在施工前提出施工用电计划，经总承包人审核后确定二级配电箱的接口位置、数量，以确保各施工单位的用电需求。二级箱必须满足临时用电配置要求，并为全新定做。应选用</w:t>
      </w:r>
      <w:r>
        <w:rPr>
          <w:color w:val="auto"/>
          <w:highlight w:val="none"/>
        </w:rPr>
        <w:t xml:space="preserve"> A </w:t>
      </w:r>
      <w:r>
        <w:rPr>
          <w:rFonts w:hint="eastAsia"/>
          <w:color w:val="auto"/>
          <w:highlight w:val="none"/>
        </w:rPr>
        <w:t>级阻燃绝缘橡胶铜芯软电缆，从二级配电箱出口位置至施工现场电缆布设，专业工程承包人按照临电方案要求铺设。</w:t>
      </w:r>
    </w:p>
    <w:p>
      <w:pPr>
        <w:pStyle w:val="5"/>
        <w:rPr>
          <w:color w:val="auto"/>
          <w:highlight w:val="none"/>
        </w:rPr>
      </w:pPr>
      <w:r>
        <w:rPr>
          <w:rFonts w:hint="eastAsia"/>
          <w:color w:val="auto"/>
          <w:highlight w:val="none"/>
        </w:rPr>
        <w:t>专业工程承包人须服从总承包人统筹安排及管理。</w:t>
      </w:r>
    </w:p>
    <w:p>
      <w:pPr>
        <w:pStyle w:val="4"/>
        <w:rPr>
          <w:color w:val="auto"/>
          <w:highlight w:val="none"/>
        </w:rPr>
      </w:pPr>
      <w:bookmarkStart w:id="27" w:name="_Toc122371820"/>
      <w:r>
        <w:rPr>
          <w:rFonts w:hint="eastAsia"/>
          <w:color w:val="auto"/>
          <w:highlight w:val="none"/>
        </w:rPr>
        <w:t>与其他专业工程承包人的协调配合</w:t>
      </w:r>
      <w:bookmarkEnd w:id="27"/>
    </w:p>
    <w:p>
      <w:pPr>
        <w:pStyle w:val="5"/>
        <w:rPr>
          <w:color w:val="auto"/>
          <w:highlight w:val="none"/>
        </w:rPr>
      </w:pPr>
      <w:r>
        <w:rPr>
          <w:rFonts w:hint="eastAsia"/>
          <w:color w:val="auto"/>
          <w:highlight w:val="none"/>
        </w:rPr>
        <w:t>主动协调各专业工程承包人，主动处理好因交叉施工造成的矛盾。</w:t>
      </w:r>
    </w:p>
    <w:p>
      <w:pPr>
        <w:pStyle w:val="5"/>
        <w:rPr>
          <w:color w:val="auto"/>
          <w:highlight w:val="none"/>
        </w:rPr>
      </w:pPr>
      <w:r>
        <w:rPr>
          <w:rFonts w:hint="eastAsia"/>
          <w:color w:val="auto"/>
          <w:highlight w:val="none"/>
        </w:rPr>
        <w:t>由总承包人牵头，组织专业工程承包人与其他专业工程承包人进行沟通，避免交叉作业、场地影响等因素引起的不必要的拆改。</w:t>
      </w:r>
    </w:p>
    <w:p>
      <w:pPr>
        <w:pStyle w:val="5"/>
        <w:rPr>
          <w:color w:val="auto"/>
          <w:highlight w:val="none"/>
        </w:rPr>
      </w:pPr>
      <w:r>
        <w:rPr>
          <w:rFonts w:hint="eastAsia"/>
          <w:color w:val="auto"/>
          <w:highlight w:val="none"/>
        </w:rPr>
        <w:t>专业工程承包人应为其他专业工程承包人预留一个施工通道并负责收口，但应注意项目工期及时间节点要求。</w:t>
      </w:r>
    </w:p>
    <w:p>
      <w:pPr>
        <w:pStyle w:val="5"/>
        <w:rPr>
          <w:color w:val="auto"/>
          <w:highlight w:val="none"/>
        </w:rPr>
      </w:pPr>
      <w:r>
        <w:rPr>
          <w:rFonts w:hint="eastAsia"/>
          <w:color w:val="auto"/>
          <w:highlight w:val="none"/>
        </w:rPr>
        <w:t>专业工程承包人施工时不得破坏其他专业工程承包人各种管线、洞口和井，不得随意掩埋。其位置由其相关专业工程承包人进行标示、明确，专业工程承包人须完整保留标示，确保后期能够准确的确定各井位置。</w:t>
      </w:r>
    </w:p>
    <w:p>
      <w:pPr>
        <w:pStyle w:val="5"/>
        <w:rPr>
          <w:color w:val="auto"/>
          <w:highlight w:val="none"/>
        </w:rPr>
      </w:pPr>
      <w:r>
        <w:rPr>
          <w:rFonts w:hint="eastAsia"/>
          <w:color w:val="auto"/>
          <w:highlight w:val="none"/>
        </w:rPr>
        <w:t>专业工程承包人在施工过程中不得损坏或污染其他工程成品并积极配合其他工程施工。</w:t>
      </w:r>
    </w:p>
    <w:p>
      <w:pPr>
        <w:pStyle w:val="5"/>
        <w:rPr>
          <w:color w:val="auto"/>
          <w:highlight w:val="none"/>
        </w:rPr>
      </w:pPr>
      <w:r>
        <w:rPr>
          <w:rFonts w:hint="eastAsia"/>
          <w:color w:val="auto"/>
          <w:highlight w:val="none"/>
        </w:rPr>
        <w:t xml:space="preserve">施工期间，总包、机电、精装等各专业分包商亦在同时施工，防护单位需考虑必要的断水等措施，确保施工工期不被延误。 </w:t>
      </w:r>
    </w:p>
    <w:p>
      <w:pPr>
        <w:ind w:firstLine="581"/>
        <w:rPr>
          <w:rFonts w:ascii="Times New Roman" w:hAnsi="Times New Roman" w:cs="Times New Roman"/>
          <w:color w:val="auto"/>
          <w:highlight w:val="none"/>
          <w:lang w:eastAsia="zh-CN"/>
        </w:rPr>
        <w:sectPr>
          <w:type w:val="continuous"/>
          <w:pgSz w:w="11910" w:h="16840"/>
          <w:pgMar w:top="1340" w:right="1000" w:bottom="1600" w:left="1320" w:header="538" w:footer="1394" w:gutter="0"/>
          <w:cols w:space="720" w:num="1"/>
        </w:sectPr>
      </w:pPr>
    </w:p>
    <w:p>
      <w:pPr>
        <w:pStyle w:val="3"/>
        <w:jc w:val="left"/>
        <w:rPr>
          <w:color w:val="auto"/>
          <w:highlight w:val="none"/>
        </w:rPr>
      </w:pPr>
      <w:bookmarkStart w:id="28" w:name="_Toc122371821"/>
      <w:r>
        <w:rPr>
          <w:rFonts w:hint="eastAsia"/>
          <w:color w:val="auto"/>
          <w:highlight w:val="none"/>
        </w:rPr>
        <w:t>项目组织架构及工作要求</w:t>
      </w:r>
      <w:bookmarkEnd w:id="28"/>
    </w:p>
    <w:p>
      <w:pPr>
        <w:pStyle w:val="4"/>
        <w:rPr>
          <w:color w:val="auto"/>
          <w:highlight w:val="none"/>
        </w:rPr>
      </w:pPr>
      <w:bookmarkStart w:id="29" w:name="_Toc122371822"/>
      <w:r>
        <w:rPr>
          <w:rFonts w:hint="eastAsia"/>
          <w:color w:val="auto"/>
          <w:highlight w:val="none"/>
        </w:rPr>
        <w:t>项目管理团队组织架构设置要求</w:t>
      </w:r>
      <w:bookmarkEnd w:id="29"/>
    </w:p>
    <w:p>
      <w:pPr>
        <w:pStyle w:val="5"/>
        <w:rPr>
          <w:color w:val="auto"/>
          <w:highlight w:val="none"/>
        </w:rPr>
      </w:pPr>
      <w:r>
        <w:rPr>
          <w:rFonts w:hint="eastAsia"/>
          <w:color w:val="auto"/>
          <w:highlight w:val="none"/>
        </w:rPr>
        <w:t>专业工程承包人应设置项目总经理一职，由该公司负责生产的副总经理（或以上）级别的人员担任，以保证有效调配、协调公司资源，满足本项目在进度、质量、安全文明施工等方面的管理需要。当项目运行不能满足发包人要求时，</w:t>
      </w:r>
      <w:r>
        <w:rPr>
          <w:color w:val="auto"/>
          <w:highlight w:val="none"/>
        </w:rPr>
        <w:t xml:space="preserve"> </w:t>
      </w:r>
      <w:r>
        <w:rPr>
          <w:rFonts w:hint="eastAsia"/>
          <w:color w:val="auto"/>
          <w:highlight w:val="none"/>
        </w:rPr>
        <w:t>要求项目总经理亲自处理、协调项目事宜。</w:t>
      </w:r>
    </w:p>
    <w:p>
      <w:pPr>
        <w:pStyle w:val="5"/>
        <w:rPr>
          <w:color w:val="auto"/>
          <w:highlight w:val="none"/>
        </w:rPr>
      </w:pPr>
      <w:r>
        <w:rPr>
          <w:rFonts w:hint="eastAsia"/>
          <w:color w:val="auto"/>
          <w:highlight w:val="none"/>
        </w:rPr>
        <w:t>专业工程承包人应根据发包人对项目组织架构的要求，配备项目管理人员。</w:t>
      </w:r>
    </w:p>
    <w:tbl>
      <w:tblPr>
        <w:tblStyle w:val="85"/>
        <w:tblpPr w:leftFromText="180" w:rightFromText="180" w:vertAnchor="text" w:horzAnchor="page" w:tblpX="1559" w:tblpY="383"/>
        <w:tblOverlap w:val="never"/>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01"/>
        <w:gridCol w:w="1552"/>
        <w:gridCol w:w="2076"/>
        <w:gridCol w:w="2645"/>
        <w:gridCol w:w="1395"/>
        <w:gridCol w:w="13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4" w:hRule="atLeast"/>
        </w:trPr>
        <w:tc>
          <w:tcPr>
            <w:tcW w:w="408" w:type="pct"/>
            <w:shd w:val="clear" w:color="auto" w:fill="FFC000"/>
            <w:vAlign w:val="center"/>
          </w:tcPr>
          <w:p>
            <w:pPr>
              <w:keepLines w:val="0"/>
              <w:autoSpaceDE/>
              <w:autoSpaceDN/>
              <w:snapToGrid w:val="0"/>
              <w:spacing w:after="120" w:afterLines="50"/>
              <w:jc w:val="center"/>
              <w:rPr>
                <w:rFonts w:ascii="Times New Roman" w:hAnsi="Times New Roman" w:cs="Times New Roman"/>
                <w:color w:val="auto"/>
                <w:kern w:val="2"/>
                <w:sz w:val="21"/>
                <w:szCs w:val="21"/>
                <w:highlight w:val="none"/>
                <w:lang w:eastAsia="zh-CN"/>
              </w:rPr>
            </w:pPr>
            <w:r>
              <w:rPr>
                <w:rFonts w:hint="eastAsia" w:ascii="Times New Roman" w:hAnsi="Times New Roman" w:cs="Times New Roman"/>
                <w:color w:val="auto"/>
                <w:kern w:val="2"/>
                <w:sz w:val="21"/>
                <w:szCs w:val="21"/>
                <w:highlight w:val="none"/>
                <w:lang w:eastAsia="zh-CN"/>
              </w:rPr>
              <w:t>序号</w:t>
            </w:r>
          </w:p>
        </w:tc>
        <w:tc>
          <w:tcPr>
            <w:tcW w:w="791" w:type="pct"/>
            <w:shd w:val="clear" w:color="auto" w:fill="FFC000"/>
            <w:vAlign w:val="center"/>
          </w:tcPr>
          <w:p>
            <w:pPr>
              <w:keepLines w:val="0"/>
              <w:autoSpaceDE/>
              <w:autoSpaceDN/>
              <w:snapToGrid w:val="0"/>
              <w:spacing w:after="120" w:afterLines="50"/>
              <w:jc w:val="center"/>
              <w:rPr>
                <w:rFonts w:ascii="Times New Roman" w:hAnsi="Times New Roman" w:cs="Times New Roman"/>
                <w:color w:val="auto"/>
                <w:kern w:val="2"/>
                <w:sz w:val="21"/>
                <w:szCs w:val="21"/>
                <w:highlight w:val="none"/>
                <w:lang w:eastAsia="zh-CN"/>
              </w:rPr>
            </w:pPr>
            <w:r>
              <w:rPr>
                <w:rFonts w:hint="eastAsia" w:ascii="Times New Roman" w:hAnsi="Times New Roman" w:cs="Times New Roman"/>
                <w:color w:val="auto"/>
                <w:kern w:val="2"/>
                <w:sz w:val="21"/>
                <w:szCs w:val="21"/>
                <w:highlight w:val="none"/>
                <w:lang w:eastAsia="zh-CN"/>
              </w:rPr>
              <w:t>职务</w:t>
            </w:r>
          </w:p>
        </w:tc>
        <w:tc>
          <w:tcPr>
            <w:tcW w:w="1058" w:type="pct"/>
            <w:shd w:val="clear" w:color="auto" w:fill="FFC000"/>
            <w:vAlign w:val="center"/>
          </w:tcPr>
          <w:p>
            <w:pPr>
              <w:keepLines w:val="0"/>
              <w:autoSpaceDE/>
              <w:autoSpaceDN/>
              <w:snapToGrid w:val="0"/>
              <w:spacing w:after="120" w:afterLines="50"/>
              <w:jc w:val="center"/>
              <w:rPr>
                <w:rFonts w:ascii="Times New Roman" w:hAnsi="Times New Roman" w:cs="Times New Roman"/>
                <w:color w:val="auto"/>
                <w:kern w:val="2"/>
                <w:sz w:val="21"/>
                <w:szCs w:val="21"/>
                <w:highlight w:val="none"/>
                <w:lang w:eastAsia="zh-CN"/>
              </w:rPr>
            </w:pPr>
            <w:r>
              <w:rPr>
                <w:rFonts w:hint="eastAsia" w:ascii="Times New Roman" w:hAnsi="Times New Roman" w:cs="Times New Roman"/>
                <w:color w:val="auto"/>
                <w:kern w:val="2"/>
                <w:sz w:val="21"/>
                <w:szCs w:val="21"/>
                <w:highlight w:val="none"/>
                <w:lang w:eastAsia="zh-CN"/>
              </w:rPr>
              <w:t>任职资格</w:t>
            </w:r>
          </w:p>
        </w:tc>
        <w:tc>
          <w:tcPr>
            <w:tcW w:w="1348" w:type="pct"/>
            <w:shd w:val="clear" w:color="auto" w:fill="FFC000"/>
            <w:vAlign w:val="center"/>
          </w:tcPr>
          <w:p>
            <w:pPr>
              <w:keepLines w:val="0"/>
              <w:autoSpaceDE/>
              <w:autoSpaceDN/>
              <w:snapToGrid w:val="0"/>
              <w:spacing w:after="120" w:afterLines="50"/>
              <w:jc w:val="center"/>
              <w:rPr>
                <w:rFonts w:ascii="Times New Roman" w:hAnsi="Times New Roman" w:cs="Times New Roman"/>
                <w:color w:val="auto"/>
                <w:kern w:val="2"/>
                <w:sz w:val="21"/>
                <w:szCs w:val="21"/>
                <w:highlight w:val="none"/>
                <w:lang w:eastAsia="zh-CN"/>
              </w:rPr>
            </w:pPr>
            <w:r>
              <w:rPr>
                <w:rFonts w:hint="eastAsia" w:ascii="Times New Roman" w:hAnsi="Times New Roman" w:cs="Times New Roman"/>
                <w:color w:val="auto"/>
                <w:kern w:val="2"/>
                <w:sz w:val="21"/>
                <w:szCs w:val="21"/>
                <w:highlight w:val="none"/>
                <w:lang w:eastAsia="zh-CN"/>
              </w:rPr>
              <w:t>年龄及学历</w:t>
            </w:r>
          </w:p>
        </w:tc>
        <w:tc>
          <w:tcPr>
            <w:tcW w:w="711" w:type="pct"/>
            <w:shd w:val="clear" w:color="auto" w:fill="FFC000"/>
            <w:vAlign w:val="center"/>
          </w:tcPr>
          <w:p>
            <w:pPr>
              <w:keepLines w:val="0"/>
              <w:autoSpaceDE/>
              <w:autoSpaceDN/>
              <w:snapToGrid w:val="0"/>
              <w:spacing w:after="120" w:afterLines="50"/>
              <w:jc w:val="center"/>
              <w:rPr>
                <w:rFonts w:ascii="Times New Roman" w:hAnsi="Times New Roman" w:cs="Times New Roman"/>
                <w:color w:val="auto"/>
                <w:kern w:val="2"/>
                <w:sz w:val="21"/>
                <w:szCs w:val="21"/>
                <w:highlight w:val="none"/>
                <w:lang w:eastAsia="zh-CN"/>
              </w:rPr>
            </w:pPr>
            <w:r>
              <w:rPr>
                <w:rFonts w:hint="eastAsia" w:ascii="Times New Roman" w:hAnsi="Times New Roman" w:cs="Times New Roman"/>
                <w:color w:val="auto"/>
                <w:kern w:val="2"/>
                <w:sz w:val="21"/>
                <w:szCs w:val="21"/>
                <w:highlight w:val="none"/>
                <w:lang w:eastAsia="zh-CN"/>
              </w:rPr>
              <w:t>备注</w:t>
            </w:r>
          </w:p>
        </w:tc>
        <w:tc>
          <w:tcPr>
            <w:tcW w:w="681" w:type="pct"/>
            <w:shd w:val="clear" w:color="auto" w:fill="FFC000"/>
            <w:vAlign w:val="center"/>
          </w:tcPr>
          <w:p>
            <w:pPr>
              <w:keepLines w:val="0"/>
              <w:autoSpaceDE/>
              <w:autoSpaceDN/>
              <w:snapToGrid w:val="0"/>
              <w:spacing w:after="120" w:afterLines="50"/>
              <w:jc w:val="center"/>
              <w:rPr>
                <w:rFonts w:ascii="Times New Roman" w:hAnsi="Times New Roman" w:cs="Times New Roman"/>
                <w:color w:val="auto"/>
                <w:kern w:val="2"/>
                <w:sz w:val="21"/>
                <w:szCs w:val="21"/>
                <w:highlight w:val="none"/>
                <w:lang w:eastAsia="zh-CN"/>
              </w:rPr>
            </w:pPr>
            <w:r>
              <w:rPr>
                <w:rFonts w:hint="eastAsia" w:ascii="Times New Roman" w:hAnsi="Times New Roman" w:cs="Times New Roman"/>
                <w:color w:val="auto"/>
                <w:kern w:val="2"/>
                <w:sz w:val="21"/>
                <w:szCs w:val="21"/>
                <w:highlight w:val="none"/>
                <w:lang w:eastAsia="zh-CN"/>
              </w:rPr>
              <w:t>数量（人）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8" w:type="pct"/>
            <w:vAlign w:val="center"/>
          </w:tcPr>
          <w:p>
            <w:pPr>
              <w:keepLines w:val="0"/>
              <w:snapToGrid w:val="0"/>
              <w:spacing w:after="120" w:afterLines="50"/>
              <w:jc w:val="center"/>
              <w:rPr>
                <w:rFonts w:ascii="Times New Roman" w:hAnsi="Times New Roman" w:cs="Times New Roman"/>
                <w:color w:val="auto"/>
                <w:sz w:val="21"/>
                <w:szCs w:val="21"/>
                <w:highlight w:val="none"/>
              </w:rPr>
            </w:pPr>
            <w:r>
              <w:rPr>
                <w:rFonts w:ascii="Times New Roman" w:hAnsi="Times New Roman" w:cs="Times New Roman"/>
                <w:color w:val="auto"/>
                <w:sz w:val="21"/>
                <w:szCs w:val="21"/>
                <w:highlight w:val="none"/>
                <w:lang w:eastAsia="zh-CN"/>
              </w:rPr>
              <w:t>1</w:t>
            </w:r>
          </w:p>
        </w:tc>
        <w:tc>
          <w:tcPr>
            <w:tcW w:w="791" w:type="pct"/>
            <w:vAlign w:val="center"/>
          </w:tcPr>
          <w:p>
            <w:pPr>
              <w:keepLines w:val="0"/>
              <w:snapToGrid w:val="0"/>
              <w:spacing w:after="120" w:afterLines="50"/>
              <w:jc w:val="center"/>
              <w:rPr>
                <w:rFonts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lang w:eastAsia="zh-CN"/>
              </w:rPr>
              <w:t>项目经理</w:t>
            </w:r>
          </w:p>
        </w:tc>
        <w:tc>
          <w:tcPr>
            <w:tcW w:w="1058" w:type="pct"/>
            <w:vAlign w:val="center"/>
          </w:tcPr>
          <w:p>
            <w:pPr>
              <w:keepLines w:val="0"/>
              <w:snapToGrid w:val="0"/>
              <w:spacing w:after="120" w:afterLines="50"/>
              <w:jc w:val="center"/>
              <w:rPr>
                <w:rFonts w:ascii="Times New Roman" w:hAnsi="Times New Roman" w:cs="Times New Roman"/>
                <w:color w:val="auto"/>
                <w:sz w:val="21"/>
                <w:szCs w:val="21"/>
                <w:highlight w:val="none"/>
                <w:u w:val="single"/>
                <w:lang w:eastAsia="zh-CN"/>
              </w:rPr>
            </w:pPr>
            <w:r>
              <w:rPr>
                <w:rFonts w:hint="eastAsia" w:ascii="Times New Roman" w:hAnsi="Times New Roman" w:cs="Times New Roman"/>
                <w:color w:val="auto"/>
                <w:sz w:val="21"/>
                <w:szCs w:val="21"/>
                <w:highlight w:val="none"/>
                <w:u w:val="single"/>
                <w:lang w:eastAsia="zh-CN"/>
              </w:rPr>
              <w:t>一级建造师，</w:t>
            </w:r>
            <w:r>
              <w:rPr>
                <w:rFonts w:ascii="Times New Roman" w:hAnsi="Times New Roman" w:cs="Times New Roman"/>
                <w:color w:val="auto"/>
                <w:sz w:val="21"/>
                <w:szCs w:val="21"/>
                <w:highlight w:val="none"/>
                <w:u w:val="single"/>
                <w:lang w:eastAsia="zh-CN"/>
              </w:rPr>
              <w:t xml:space="preserve"> </w:t>
            </w:r>
          </w:p>
        </w:tc>
        <w:tc>
          <w:tcPr>
            <w:tcW w:w="1348" w:type="pct"/>
            <w:vAlign w:val="center"/>
          </w:tcPr>
          <w:p>
            <w:pPr>
              <w:keepLines w:val="0"/>
              <w:snapToGrid w:val="0"/>
              <w:spacing w:after="120" w:afterLines="50"/>
              <w:jc w:val="center"/>
              <w:rPr>
                <w:rFonts w:ascii="Times New Roman" w:hAnsi="Times New Roman" w:cs="Times New Roman"/>
                <w:color w:val="auto"/>
                <w:sz w:val="21"/>
                <w:szCs w:val="21"/>
                <w:highlight w:val="none"/>
                <w:u w:val="single"/>
                <w:lang w:eastAsia="zh-CN"/>
              </w:rPr>
            </w:pPr>
            <w:r>
              <w:rPr>
                <w:rFonts w:ascii="Times New Roman" w:hAnsi="Times New Roman" w:cs="Times New Roman"/>
                <w:color w:val="auto"/>
                <w:sz w:val="21"/>
                <w:szCs w:val="21"/>
                <w:highlight w:val="none"/>
                <w:u w:val="single"/>
                <w:lang w:eastAsia="zh-CN"/>
              </w:rPr>
              <w:t>30-55 岁；大学本科以上学历，</w:t>
            </w:r>
            <w:r>
              <w:rPr>
                <w:rFonts w:hint="eastAsia" w:ascii="Times New Roman" w:hAnsi="Times New Roman" w:cs="Times New Roman"/>
                <w:color w:val="auto"/>
                <w:sz w:val="21"/>
                <w:szCs w:val="21"/>
                <w:highlight w:val="none"/>
                <w:u w:val="single"/>
                <w:lang w:eastAsia="zh-CN"/>
              </w:rPr>
              <w:t>土建</w:t>
            </w:r>
            <w:r>
              <w:rPr>
                <w:rFonts w:ascii="Times New Roman" w:hAnsi="Times New Roman" w:cs="Times New Roman"/>
                <w:color w:val="auto"/>
                <w:sz w:val="21"/>
                <w:szCs w:val="21"/>
                <w:highlight w:val="none"/>
                <w:u w:val="single"/>
                <w:lang w:eastAsia="zh-CN"/>
              </w:rPr>
              <w:t>工程及相关专业</w:t>
            </w:r>
          </w:p>
          <w:p>
            <w:pPr>
              <w:keepLines w:val="0"/>
              <w:snapToGrid w:val="0"/>
              <w:spacing w:after="120" w:afterLines="50"/>
              <w:jc w:val="center"/>
              <w:rPr>
                <w:rFonts w:ascii="Times New Roman" w:hAnsi="Times New Roman" w:cs="Times New Roman"/>
                <w:color w:val="auto"/>
                <w:sz w:val="21"/>
                <w:szCs w:val="21"/>
                <w:highlight w:val="none"/>
                <w:u w:val="single"/>
                <w:lang w:eastAsia="zh-CN"/>
              </w:rPr>
            </w:pPr>
            <w:r>
              <w:rPr>
                <w:rFonts w:hint="eastAsia" w:ascii="Times New Roman" w:hAnsi="Times New Roman" w:cs="Times New Roman"/>
                <w:color w:val="auto"/>
                <w:sz w:val="21"/>
                <w:szCs w:val="21"/>
                <w:highlight w:val="none"/>
                <w:u w:val="single"/>
                <w:lang w:eastAsia="zh-CN"/>
              </w:rPr>
              <w:t>类似工程业绩至少2个</w:t>
            </w:r>
          </w:p>
        </w:tc>
        <w:tc>
          <w:tcPr>
            <w:tcW w:w="711" w:type="pct"/>
            <w:vAlign w:val="center"/>
          </w:tcPr>
          <w:p>
            <w:pPr>
              <w:keepLines w:val="0"/>
              <w:snapToGrid w:val="0"/>
              <w:spacing w:after="120" w:afterLines="50"/>
              <w:jc w:val="center"/>
              <w:rPr>
                <w:rFonts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lang w:eastAsia="zh-CN"/>
              </w:rPr>
              <w:t>关键岗位</w:t>
            </w:r>
          </w:p>
        </w:tc>
        <w:tc>
          <w:tcPr>
            <w:tcW w:w="681" w:type="pct"/>
            <w:vAlign w:val="center"/>
          </w:tcPr>
          <w:p>
            <w:pPr>
              <w:keepLines w:val="0"/>
              <w:spacing w:before="120" w:beforeLines="50" w:after="120" w:afterLines="50"/>
              <w:jc w:val="center"/>
              <w:rPr>
                <w:rFonts w:ascii="Times New Roman" w:hAnsi="Times New Roman" w:cs="Times New Roman"/>
                <w:color w:val="auto"/>
                <w:sz w:val="21"/>
                <w:szCs w:val="21"/>
                <w:highlight w:val="none"/>
                <w:u w:val="single"/>
              </w:rPr>
            </w:pPr>
            <w:r>
              <w:rPr>
                <w:rFonts w:ascii="Times New Roman" w:hAnsi="Times New Roman" w:cs="Times New Roman"/>
                <w:color w:val="auto"/>
                <w:sz w:val="21"/>
                <w:szCs w:val="21"/>
                <w:highlight w:val="none"/>
                <w:u w:val="single"/>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8" w:type="pct"/>
            <w:vAlign w:val="center"/>
          </w:tcPr>
          <w:p>
            <w:pPr>
              <w:keepLines w:val="0"/>
              <w:snapToGrid w:val="0"/>
              <w:spacing w:after="120" w:afterLines="50"/>
              <w:jc w:val="center"/>
              <w:rPr>
                <w:rFonts w:ascii="Times New Roman" w:hAnsi="Times New Roman" w:cs="Times New Roman"/>
                <w:color w:val="auto"/>
                <w:sz w:val="21"/>
                <w:szCs w:val="21"/>
                <w:highlight w:val="none"/>
              </w:rPr>
            </w:pPr>
            <w:r>
              <w:rPr>
                <w:rFonts w:ascii="Times New Roman" w:hAnsi="Times New Roman" w:cs="Times New Roman"/>
                <w:color w:val="auto"/>
                <w:sz w:val="21"/>
                <w:szCs w:val="21"/>
                <w:highlight w:val="none"/>
                <w:lang w:eastAsia="zh-CN"/>
              </w:rPr>
              <w:t>2</w:t>
            </w:r>
          </w:p>
        </w:tc>
        <w:tc>
          <w:tcPr>
            <w:tcW w:w="791" w:type="pct"/>
            <w:vAlign w:val="center"/>
          </w:tcPr>
          <w:p>
            <w:pPr>
              <w:keepLines w:val="0"/>
              <w:autoSpaceDE/>
              <w:autoSpaceDN/>
              <w:snapToGrid w:val="0"/>
              <w:spacing w:after="120" w:afterLines="50"/>
              <w:jc w:val="center"/>
              <w:rPr>
                <w:rFonts w:ascii="Times New Roman" w:hAnsi="Times New Roman" w:cs="Times New Roman"/>
                <w:color w:val="auto"/>
                <w:kern w:val="2"/>
                <w:sz w:val="21"/>
                <w:szCs w:val="21"/>
                <w:highlight w:val="none"/>
                <w:lang w:eastAsia="zh-CN"/>
              </w:rPr>
            </w:pPr>
            <w:r>
              <w:rPr>
                <w:rFonts w:hint="eastAsia" w:ascii="Times New Roman" w:hAnsi="Times New Roman" w:cs="Times New Roman"/>
                <w:color w:val="auto"/>
                <w:kern w:val="2"/>
                <w:sz w:val="21"/>
                <w:szCs w:val="21"/>
                <w:highlight w:val="none"/>
                <w:lang w:eastAsia="zh-CN"/>
              </w:rPr>
              <w:t>生产经理</w:t>
            </w:r>
          </w:p>
        </w:tc>
        <w:tc>
          <w:tcPr>
            <w:tcW w:w="1058" w:type="pct"/>
            <w:vAlign w:val="center"/>
          </w:tcPr>
          <w:p>
            <w:pPr>
              <w:keepLines w:val="0"/>
              <w:snapToGrid w:val="0"/>
              <w:spacing w:after="120" w:afterLines="50"/>
              <w:jc w:val="center"/>
              <w:rPr>
                <w:rFonts w:ascii="Times New Roman" w:hAnsi="Times New Roman" w:cs="Times New Roman"/>
                <w:color w:val="auto"/>
                <w:sz w:val="21"/>
                <w:szCs w:val="21"/>
                <w:highlight w:val="none"/>
                <w:u w:val="single"/>
                <w:lang w:eastAsia="zh-CN"/>
              </w:rPr>
            </w:pPr>
            <w:r>
              <w:rPr>
                <w:rFonts w:hint="eastAsia" w:ascii="Times New Roman" w:hAnsi="Times New Roman" w:cs="Times New Roman"/>
                <w:color w:val="auto"/>
                <w:sz w:val="21"/>
                <w:szCs w:val="21"/>
                <w:highlight w:val="none"/>
                <w:u w:val="single"/>
                <w:lang w:eastAsia="zh-CN"/>
              </w:rPr>
              <w:t>二级建造师，</w:t>
            </w:r>
            <w:r>
              <w:rPr>
                <w:rFonts w:ascii="Times New Roman" w:hAnsi="Times New Roman" w:cs="Times New Roman"/>
                <w:color w:val="auto"/>
                <w:sz w:val="21"/>
                <w:szCs w:val="21"/>
                <w:highlight w:val="none"/>
                <w:u w:val="single"/>
                <w:lang w:eastAsia="zh-CN"/>
              </w:rPr>
              <w:t xml:space="preserve"> </w:t>
            </w:r>
          </w:p>
        </w:tc>
        <w:tc>
          <w:tcPr>
            <w:tcW w:w="1348" w:type="pct"/>
            <w:vAlign w:val="center"/>
          </w:tcPr>
          <w:p>
            <w:pPr>
              <w:keepLines w:val="0"/>
              <w:snapToGrid w:val="0"/>
              <w:spacing w:after="120" w:afterLines="50"/>
              <w:jc w:val="center"/>
              <w:rPr>
                <w:rFonts w:ascii="Times New Roman" w:hAnsi="Times New Roman" w:cs="Times New Roman"/>
                <w:color w:val="auto"/>
                <w:sz w:val="21"/>
                <w:szCs w:val="21"/>
                <w:highlight w:val="none"/>
                <w:u w:val="single"/>
                <w:lang w:eastAsia="zh-CN"/>
              </w:rPr>
            </w:pPr>
            <w:r>
              <w:rPr>
                <w:rFonts w:ascii="Times New Roman" w:hAnsi="Times New Roman" w:cs="Times New Roman"/>
                <w:color w:val="auto"/>
                <w:sz w:val="21"/>
                <w:szCs w:val="21"/>
                <w:highlight w:val="none"/>
                <w:u w:val="single"/>
                <w:lang w:eastAsia="zh-CN"/>
              </w:rPr>
              <w:t>30-55 岁；大学</w:t>
            </w:r>
            <w:r>
              <w:rPr>
                <w:rFonts w:hint="eastAsia" w:ascii="Times New Roman" w:hAnsi="Times New Roman" w:cs="Times New Roman"/>
                <w:color w:val="auto"/>
                <w:sz w:val="21"/>
                <w:szCs w:val="21"/>
                <w:highlight w:val="none"/>
                <w:u w:val="single"/>
                <w:lang w:eastAsia="zh-CN"/>
              </w:rPr>
              <w:t>专</w:t>
            </w:r>
            <w:r>
              <w:rPr>
                <w:rFonts w:ascii="Times New Roman" w:hAnsi="Times New Roman" w:cs="Times New Roman"/>
                <w:color w:val="auto"/>
                <w:sz w:val="21"/>
                <w:szCs w:val="21"/>
                <w:highlight w:val="none"/>
                <w:u w:val="single"/>
                <w:lang w:eastAsia="zh-CN"/>
              </w:rPr>
              <w:t>科以上学历，</w:t>
            </w:r>
            <w:r>
              <w:rPr>
                <w:rFonts w:hint="eastAsia" w:ascii="Times New Roman" w:hAnsi="Times New Roman" w:cs="Times New Roman"/>
                <w:color w:val="auto"/>
                <w:sz w:val="21"/>
                <w:szCs w:val="21"/>
                <w:highlight w:val="none"/>
                <w:u w:val="single"/>
                <w:lang w:eastAsia="zh-CN"/>
              </w:rPr>
              <w:t>土建</w:t>
            </w:r>
            <w:r>
              <w:rPr>
                <w:rFonts w:ascii="Times New Roman" w:hAnsi="Times New Roman" w:cs="Times New Roman"/>
                <w:color w:val="auto"/>
                <w:sz w:val="21"/>
                <w:szCs w:val="21"/>
                <w:highlight w:val="none"/>
                <w:u w:val="single"/>
                <w:lang w:eastAsia="zh-CN"/>
              </w:rPr>
              <w:t>工程及相关专业</w:t>
            </w:r>
          </w:p>
        </w:tc>
        <w:tc>
          <w:tcPr>
            <w:tcW w:w="711" w:type="pct"/>
            <w:vAlign w:val="center"/>
          </w:tcPr>
          <w:p>
            <w:pPr>
              <w:keepLines w:val="0"/>
              <w:autoSpaceDE/>
              <w:autoSpaceDN/>
              <w:snapToGrid w:val="0"/>
              <w:spacing w:after="120" w:afterLines="50"/>
              <w:jc w:val="center"/>
              <w:rPr>
                <w:rFonts w:ascii="Times New Roman" w:hAnsi="Times New Roman" w:cs="Times New Roman"/>
                <w:color w:val="auto"/>
                <w:kern w:val="2"/>
                <w:sz w:val="21"/>
                <w:szCs w:val="21"/>
                <w:highlight w:val="none"/>
                <w:lang w:eastAsia="zh-CN"/>
              </w:rPr>
            </w:pPr>
            <w:r>
              <w:rPr>
                <w:rFonts w:hint="eastAsia" w:ascii="Times New Roman" w:hAnsi="Times New Roman" w:cs="Times New Roman"/>
                <w:color w:val="auto"/>
                <w:kern w:val="2"/>
                <w:sz w:val="21"/>
                <w:szCs w:val="21"/>
                <w:highlight w:val="none"/>
                <w:lang w:eastAsia="zh-CN"/>
              </w:rPr>
              <w:t>关键岗位</w:t>
            </w:r>
          </w:p>
        </w:tc>
        <w:tc>
          <w:tcPr>
            <w:tcW w:w="681" w:type="pct"/>
          </w:tcPr>
          <w:p>
            <w:pPr>
              <w:keepLines w:val="0"/>
              <w:spacing w:before="120" w:beforeLines="50" w:after="120" w:afterLines="50"/>
              <w:jc w:val="center"/>
              <w:rPr>
                <w:rFonts w:ascii="Times New Roman" w:hAnsi="Times New Roman" w:cs="Times New Roman"/>
                <w:color w:val="auto"/>
                <w:sz w:val="21"/>
                <w:szCs w:val="21"/>
                <w:highlight w:val="none"/>
                <w:u w:val="single"/>
              </w:rPr>
            </w:pPr>
            <w:r>
              <w:rPr>
                <w:rFonts w:ascii="Times New Roman" w:hAnsi="Times New Roman" w:cs="Times New Roman"/>
                <w:color w:val="auto"/>
                <w:sz w:val="21"/>
                <w:szCs w:val="21"/>
                <w:highlight w:val="none"/>
                <w:u w:val="single"/>
                <w:lang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4" w:hRule="atLeast"/>
        </w:trPr>
        <w:tc>
          <w:tcPr>
            <w:tcW w:w="408" w:type="pct"/>
            <w:vAlign w:val="center"/>
          </w:tcPr>
          <w:p>
            <w:pPr>
              <w:keepLines w:val="0"/>
              <w:snapToGrid w:val="0"/>
              <w:spacing w:after="120" w:afterLines="50"/>
              <w:jc w:val="center"/>
              <w:rPr>
                <w:rFonts w:ascii="Times New Roman" w:hAnsi="Times New Roman" w:cs="Times New Roman"/>
                <w:color w:val="auto"/>
                <w:sz w:val="21"/>
                <w:szCs w:val="21"/>
                <w:highlight w:val="none"/>
              </w:rPr>
            </w:pPr>
            <w:r>
              <w:rPr>
                <w:rFonts w:ascii="Times New Roman" w:hAnsi="Times New Roman" w:cs="Times New Roman"/>
                <w:color w:val="auto"/>
                <w:sz w:val="21"/>
                <w:szCs w:val="21"/>
                <w:highlight w:val="none"/>
                <w:lang w:eastAsia="zh-CN"/>
              </w:rPr>
              <w:t>3</w:t>
            </w:r>
          </w:p>
        </w:tc>
        <w:tc>
          <w:tcPr>
            <w:tcW w:w="791" w:type="pct"/>
            <w:vAlign w:val="center"/>
          </w:tcPr>
          <w:p>
            <w:pPr>
              <w:keepLines w:val="0"/>
              <w:autoSpaceDE/>
              <w:autoSpaceDN/>
              <w:snapToGrid w:val="0"/>
              <w:spacing w:after="120" w:afterLines="50"/>
              <w:jc w:val="center"/>
              <w:rPr>
                <w:rFonts w:ascii="Times New Roman" w:hAnsi="Times New Roman" w:cs="Times New Roman"/>
                <w:color w:val="auto"/>
                <w:kern w:val="2"/>
                <w:sz w:val="21"/>
                <w:szCs w:val="21"/>
                <w:highlight w:val="none"/>
                <w:lang w:eastAsia="zh-CN"/>
              </w:rPr>
            </w:pPr>
            <w:r>
              <w:rPr>
                <w:rFonts w:hint="eastAsia" w:ascii="Times New Roman" w:hAnsi="Times New Roman" w:cs="Times New Roman"/>
                <w:color w:val="auto"/>
                <w:kern w:val="2"/>
                <w:sz w:val="21"/>
                <w:szCs w:val="21"/>
                <w:highlight w:val="none"/>
                <w:lang w:eastAsia="zh-CN"/>
              </w:rPr>
              <w:t>技术负责人</w:t>
            </w:r>
          </w:p>
        </w:tc>
        <w:tc>
          <w:tcPr>
            <w:tcW w:w="1058" w:type="pct"/>
            <w:vAlign w:val="center"/>
          </w:tcPr>
          <w:p>
            <w:pPr>
              <w:keepLines w:val="0"/>
              <w:snapToGrid w:val="0"/>
              <w:spacing w:after="120" w:afterLines="50"/>
              <w:jc w:val="center"/>
              <w:rPr>
                <w:rFonts w:ascii="Times New Roman" w:hAnsi="Times New Roman" w:cs="Times New Roman"/>
                <w:color w:val="auto"/>
                <w:sz w:val="21"/>
                <w:szCs w:val="21"/>
                <w:highlight w:val="none"/>
                <w:u w:val="single"/>
              </w:rPr>
            </w:pPr>
            <w:r>
              <w:rPr>
                <w:rFonts w:hint="eastAsia" w:ascii="Times New Roman" w:hAnsi="Times New Roman" w:cs="Times New Roman"/>
                <w:color w:val="auto"/>
                <w:sz w:val="21"/>
                <w:szCs w:val="21"/>
                <w:highlight w:val="none"/>
                <w:u w:val="single"/>
                <w:lang w:eastAsia="zh-CN"/>
              </w:rPr>
              <w:t>中级及以上职称</w:t>
            </w:r>
          </w:p>
        </w:tc>
        <w:tc>
          <w:tcPr>
            <w:tcW w:w="1348" w:type="pct"/>
            <w:vAlign w:val="center"/>
          </w:tcPr>
          <w:p>
            <w:pPr>
              <w:keepLines w:val="0"/>
              <w:snapToGrid w:val="0"/>
              <w:spacing w:after="120" w:afterLines="50"/>
              <w:jc w:val="center"/>
              <w:rPr>
                <w:rFonts w:ascii="Times New Roman" w:hAnsi="Times New Roman" w:cs="Times New Roman"/>
                <w:color w:val="auto"/>
                <w:sz w:val="21"/>
                <w:szCs w:val="21"/>
                <w:highlight w:val="none"/>
                <w:u w:val="single"/>
                <w:lang w:eastAsia="zh-CN"/>
              </w:rPr>
            </w:pPr>
            <w:r>
              <w:rPr>
                <w:rFonts w:ascii="Times New Roman" w:hAnsi="Times New Roman" w:cs="Times New Roman"/>
                <w:color w:val="auto"/>
                <w:sz w:val="21"/>
                <w:szCs w:val="21"/>
                <w:highlight w:val="none"/>
                <w:u w:val="single"/>
                <w:lang w:eastAsia="zh-CN"/>
              </w:rPr>
              <w:t>30-55 岁；大学本科以上学历，</w:t>
            </w:r>
            <w:r>
              <w:rPr>
                <w:rFonts w:hint="eastAsia" w:ascii="Times New Roman" w:hAnsi="Times New Roman" w:cs="Times New Roman"/>
                <w:color w:val="auto"/>
                <w:sz w:val="21"/>
                <w:szCs w:val="21"/>
                <w:highlight w:val="none"/>
                <w:u w:val="single"/>
                <w:lang w:eastAsia="zh-CN"/>
              </w:rPr>
              <w:t>土建</w:t>
            </w:r>
            <w:r>
              <w:rPr>
                <w:rFonts w:ascii="Times New Roman" w:hAnsi="Times New Roman" w:cs="Times New Roman"/>
                <w:color w:val="auto"/>
                <w:sz w:val="21"/>
                <w:szCs w:val="21"/>
                <w:highlight w:val="none"/>
                <w:u w:val="single"/>
                <w:lang w:eastAsia="zh-CN"/>
              </w:rPr>
              <w:t>工程及相关专业</w:t>
            </w:r>
          </w:p>
          <w:p>
            <w:pPr>
              <w:keepLines w:val="0"/>
              <w:autoSpaceDE/>
              <w:autoSpaceDN/>
              <w:snapToGrid w:val="0"/>
              <w:spacing w:after="120" w:afterLines="50"/>
              <w:jc w:val="center"/>
              <w:rPr>
                <w:rFonts w:ascii="Times New Roman" w:hAnsi="Times New Roman" w:cs="Times New Roman"/>
                <w:color w:val="auto"/>
                <w:kern w:val="2"/>
                <w:sz w:val="21"/>
                <w:szCs w:val="21"/>
                <w:highlight w:val="none"/>
                <w:u w:val="single"/>
                <w:lang w:eastAsia="zh-CN"/>
              </w:rPr>
            </w:pPr>
            <w:r>
              <w:rPr>
                <w:rFonts w:hint="eastAsia" w:ascii="Times New Roman" w:hAnsi="Times New Roman" w:cs="Times New Roman"/>
                <w:color w:val="auto"/>
                <w:sz w:val="21"/>
                <w:szCs w:val="21"/>
                <w:highlight w:val="none"/>
                <w:u w:val="single"/>
                <w:lang w:eastAsia="zh-CN"/>
              </w:rPr>
              <w:t>类似工程业绩至少1个</w:t>
            </w:r>
          </w:p>
        </w:tc>
        <w:tc>
          <w:tcPr>
            <w:tcW w:w="711" w:type="pct"/>
            <w:vAlign w:val="center"/>
          </w:tcPr>
          <w:p>
            <w:pPr>
              <w:keepLines w:val="0"/>
              <w:autoSpaceDE/>
              <w:autoSpaceDN/>
              <w:snapToGrid w:val="0"/>
              <w:spacing w:after="120" w:afterLines="50"/>
              <w:jc w:val="center"/>
              <w:rPr>
                <w:rFonts w:ascii="Times New Roman" w:hAnsi="Times New Roman" w:cs="Times New Roman"/>
                <w:color w:val="auto"/>
                <w:kern w:val="2"/>
                <w:sz w:val="21"/>
                <w:szCs w:val="21"/>
                <w:highlight w:val="none"/>
                <w:lang w:eastAsia="zh-CN"/>
              </w:rPr>
            </w:pPr>
            <w:r>
              <w:rPr>
                <w:rFonts w:hint="eastAsia" w:ascii="Times New Roman" w:hAnsi="Times New Roman" w:cs="Times New Roman"/>
                <w:color w:val="auto"/>
                <w:kern w:val="2"/>
                <w:sz w:val="21"/>
                <w:szCs w:val="21"/>
                <w:highlight w:val="none"/>
                <w:lang w:eastAsia="zh-CN"/>
              </w:rPr>
              <w:t>关键岗位</w:t>
            </w:r>
          </w:p>
        </w:tc>
        <w:tc>
          <w:tcPr>
            <w:tcW w:w="681" w:type="pct"/>
          </w:tcPr>
          <w:p>
            <w:pPr>
              <w:keepLines w:val="0"/>
              <w:spacing w:before="120" w:beforeLines="50" w:after="120" w:afterLines="50"/>
              <w:jc w:val="center"/>
              <w:rPr>
                <w:rFonts w:ascii="Times New Roman" w:hAnsi="Times New Roman" w:cs="Times New Roman"/>
                <w:color w:val="auto"/>
                <w:sz w:val="21"/>
                <w:szCs w:val="21"/>
                <w:highlight w:val="none"/>
                <w:u w:val="single"/>
              </w:rPr>
            </w:pPr>
            <w:r>
              <w:rPr>
                <w:rFonts w:ascii="Times New Roman" w:hAnsi="Times New Roman" w:cs="Times New Roman"/>
                <w:color w:val="auto"/>
                <w:sz w:val="21"/>
                <w:szCs w:val="21"/>
                <w:highlight w:val="none"/>
                <w:u w:val="single"/>
                <w:lang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8" w:type="pct"/>
            <w:vAlign w:val="center"/>
          </w:tcPr>
          <w:p>
            <w:pPr>
              <w:keepLines w:val="0"/>
              <w:snapToGrid w:val="0"/>
              <w:spacing w:after="120" w:afterLines="50"/>
              <w:jc w:val="center"/>
              <w:rPr>
                <w:rFonts w:ascii="Times New Roman" w:hAnsi="Times New Roman" w:cs="Times New Roman"/>
                <w:color w:val="auto"/>
                <w:sz w:val="21"/>
                <w:szCs w:val="21"/>
                <w:highlight w:val="none"/>
              </w:rPr>
            </w:pPr>
            <w:r>
              <w:rPr>
                <w:rFonts w:ascii="Times New Roman" w:hAnsi="Times New Roman" w:cs="Times New Roman"/>
                <w:color w:val="auto"/>
                <w:sz w:val="21"/>
                <w:szCs w:val="21"/>
                <w:highlight w:val="none"/>
                <w:lang w:eastAsia="zh-CN"/>
              </w:rPr>
              <w:t>4</w:t>
            </w:r>
          </w:p>
        </w:tc>
        <w:tc>
          <w:tcPr>
            <w:tcW w:w="791" w:type="pct"/>
            <w:vAlign w:val="center"/>
          </w:tcPr>
          <w:p>
            <w:pPr>
              <w:keepLines w:val="0"/>
              <w:autoSpaceDE/>
              <w:autoSpaceDN/>
              <w:snapToGrid w:val="0"/>
              <w:spacing w:after="120" w:afterLines="50"/>
              <w:jc w:val="center"/>
              <w:rPr>
                <w:rFonts w:ascii="Times New Roman" w:hAnsi="Times New Roman" w:cs="Times New Roman"/>
                <w:color w:val="auto"/>
                <w:kern w:val="2"/>
                <w:sz w:val="21"/>
                <w:szCs w:val="21"/>
                <w:highlight w:val="none"/>
                <w:lang w:eastAsia="zh-CN"/>
              </w:rPr>
            </w:pPr>
            <w:r>
              <w:rPr>
                <w:rFonts w:hint="eastAsia" w:ascii="Times New Roman" w:hAnsi="Times New Roman" w:cs="Times New Roman"/>
                <w:color w:val="auto"/>
                <w:kern w:val="2"/>
                <w:sz w:val="21"/>
                <w:szCs w:val="21"/>
                <w:highlight w:val="none"/>
                <w:lang w:eastAsia="zh-CN"/>
              </w:rPr>
              <w:t>专职安全员</w:t>
            </w:r>
          </w:p>
        </w:tc>
        <w:tc>
          <w:tcPr>
            <w:tcW w:w="1058" w:type="pct"/>
            <w:vAlign w:val="center"/>
          </w:tcPr>
          <w:p>
            <w:pPr>
              <w:keepLines w:val="0"/>
              <w:snapToGrid w:val="0"/>
              <w:spacing w:after="120" w:afterLines="50"/>
              <w:jc w:val="center"/>
              <w:rPr>
                <w:rFonts w:ascii="Times New Roman" w:hAnsi="Times New Roman" w:cs="Times New Roman"/>
                <w:color w:val="auto"/>
                <w:sz w:val="21"/>
                <w:szCs w:val="21"/>
                <w:highlight w:val="none"/>
                <w:u w:val="single"/>
                <w:lang w:eastAsia="zh-CN"/>
              </w:rPr>
            </w:pPr>
            <w:r>
              <w:rPr>
                <w:rFonts w:hint="eastAsia" w:ascii="Times New Roman" w:hAnsi="Times New Roman" w:cs="Times New Roman"/>
                <w:color w:val="auto"/>
                <w:sz w:val="21"/>
                <w:szCs w:val="21"/>
                <w:highlight w:val="none"/>
                <w:u w:val="single"/>
                <w:lang w:eastAsia="zh-CN"/>
              </w:rPr>
              <w:t xml:space="preserve"> </w:t>
            </w:r>
            <w:r>
              <w:rPr>
                <w:rFonts w:ascii="Times New Roman" w:hAnsi="Times New Roman" w:cs="Times New Roman"/>
                <w:color w:val="auto"/>
                <w:sz w:val="21"/>
                <w:szCs w:val="21"/>
                <w:highlight w:val="none"/>
                <w:u w:val="single"/>
                <w:lang w:eastAsia="zh-CN"/>
              </w:rPr>
              <w:t xml:space="preserve">    </w:t>
            </w:r>
            <w:r>
              <w:rPr>
                <w:rFonts w:hint="eastAsia" w:ascii="Times New Roman" w:hAnsi="Times New Roman" w:cs="Times New Roman"/>
                <w:color w:val="auto"/>
                <w:sz w:val="21"/>
                <w:szCs w:val="21"/>
                <w:highlight w:val="none"/>
                <w:u w:val="single"/>
                <w:lang w:eastAsia="zh-CN"/>
              </w:rPr>
              <w:t>安全生产考核合格证</w:t>
            </w:r>
          </w:p>
        </w:tc>
        <w:tc>
          <w:tcPr>
            <w:tcW w:w="1348" w:type="pct"/>
            <w:vAlign w:val="center"/>
          </w:tcPr>
          <w:p>
            <w:pPr>
              <w:keepLines w:val="0"/>
              <w:autoSpaceDE/>
              <w:autoSpaceDN/>
              <w:snapToGrid w:val="0"/>
              <w:spacing w:after="120" w:afterLines="50"/>
              <w:rPr>
                <w:rFonts w:ascii="Times New Roman" w:hAnsi="Times New Roman" w:cs="Times New Roman"/>
                <w:color w:val="auto"/>
                <w:kern w:val="2"/>
                <w:sz w:val="21"/>
                <w:szCs w:val="21"/>
                <w:highlight w:val="none"/>
                <w:u w:val="single"/>
                <w:lang w:eastAsia="zh-CN"/>
              </w:rPr>
            </w:pPr>
            <w:r>
              <w:rPr>
                <w:rFonts w:ascii="Times New Roman" w:hAnsi="Times New Roman" w:cs="Times New Roman"/>
                <w:color w:val="auto"/>
                <w:kern w:val="2"/>
                <w:sz w:val="21"/>
                <w:szCs w:val="21"/>
                <w:highlight w:val="none"/>
                <w:u w:val="single"/>
                <w:lang w:eastAsia="zh-CN"/>
              </w:rPr>
              <w:t>26-45 岁，大专以上学历，建筑安全相关专业</w:t>
            </w:r>
          </w:p>
        </w:tc>
        <w:tc>
          <w:tcPr>
            <w:tcW w:w="711" w:type="pct"/>
            <w:vAlign w:val="center"/>
          </w:tcPr>
          <w:p>
            <w:pPr>
              <w:keepLines w:val="0"/>
              <w:autoSpaceDE/>
              <w:autoSpaceDN/>
              <w:snapToGrid w:val="0"/>
              <w:spacing w:after="120" w:afterLines="50"/>
              <w:jc w:val="center"/>
              <w:rPr>
                <w:rFonts w:ascii="Times New Roman" w:hAnsi="Times New Roman" w:cs="Times New Roman"/>
                <w:color w:val="auto"/>
                <w:kern w:val="2"/>
                <w:sz w:val="21"/>
                <w:szCs w:val="21"/>
                <w:highlight w:val="none"/>
                <w:lang w:eastAsia="zh-CN"/>
              </w:rPr>
            </w:pPr>
            <w:r>
              <w:rPr>
                <w:rFonts w:hint="eastAsia" w:ascii="Times New Roman" w:hAnsi="Times New Roman" w:cs="Times New Roman"/>
                <w:color w:val="auto"/>
                <w:kern w:val="2"/>
                <w:sz w:val="21"/>
                <w:szCs w:val="21"/>
                <w:highlight w:val="none"/>
                <w:lang w:eastAsia="zh-CN"/>
              </w:rPr>
              <w:t>关键岗位</w:t>
            </w:r>
          </w:p>
        </w:tc>
        <w:tc>
          <w:tcPr>
            <w:tcW w:w="681" w:type="pct"/>
          </w:tcPr>
          <w:p>
            <w:pPr>
              <w:keepLines w:val="0"/>
              <w:spacing w:before="120" w:beforeLines="50" w:after="120" w:afterLines="50"/>
              <w:jc w:val="center"/>
              <w:rPr>
                <w:rFonts w:ascii="Times New Roman" w:hAnsi="Times New Roman" w:cs="Times New Roman"/>
                <w:color w:val="auto"/>
                <w:sz w:val="21"/>
                <w:szCs w:val="21"/>
                <w:highlight w:val="none"/>
                <w:u w:val="single"/>
              </w:rPr>
            </w:pPr>
            <w:r>
              <w:rPr>
                <w:rFonts w:ascii="Times New Roman" w:hAnsi="Times New Roman" w:cs="Times New Roman"/>
                <w:color w:val="auto"/>
                <w:sz w:val="21"/>
                <w:szCs w:val="21"/>
                <w:highlight w:val="none"/>
                <w:u w:val="single"/>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8" w:type="pct"/>
            <w:vAlign w:val="center"/>
          </w:tcPr>
          <w:p>
            <w:pPr>
              <w:keepLines w:val="0"/>
              <w:snapToGrid w:val="0"/>
              <w:spacing w:after="120" w:afterLines="50"/>
              <w:jc w:val="center"/>
              <w:rPr>
                <w:rFonts w:ascii="Times New Roman" w:hAnsi="Times New Roman" w:cs="Times New Roman"/>
                <w:color w:val="auto"/>
                <w:sz w:val="21"/>
                <w:szCs w:val="21"/>
                <w:highlight w:val="none"/>
              </w:rPr>
            </w:pPr>
            <w:r>
              <w:rPr>
                <w:rFonts w:ascii="Times New Roman" w:hAnsi="Times New Roman" w:cs="Times New Roman"/>
                <w:color w:val="auto"/>
                <w:sz w:val="21"/>
                <w:szCs w:val="21"/>
                <w:highlight w:val="none"/>
                <w:lang w:eastAsia="zh-CN"/>
              </w:rPr>
              <w:t>5</w:t>
            </w:r>
          </w:p>
        </w:tc>
        <w:tc>
          <w:tcPr>
            <w:tcW w:w="791" w:type="pct"/>
            <w:vAlign w:val="center"/>
          </w:tcPr>
          <w:p>
            <w:pPr>
              <w:keepLines w:val="0"/>
              <w:autoSpaceDE/>
              <w:autoSpaceDN/>
              <w:snapToGrid w:val="0"/>
              <w:spacing w:after="120" w:afterLines="50"/>
              <w:jc w:val="center"/>
              <w:rPr>
                <w:rFonts w:ascii="Times New Roman" w:hAnsi="Times New Roman" w:cs="Times New Roman"/>
                <w:color w:val="auto"/>
                <w:kern w:val="2"/>
                <w:sz w:val="21"/>
                <w:szCs w:val="21"/>
                <w:highlight w:val="none"/>
                <w:lang w:eastAsia="zh-CN"/>
              </w:rPr>
            </w:pPr>
            <w:r>
              <w:rPr>
                <w:rFonts w:hint="eastAsia" w:ascii="Times New Roman" w:hAnsi="Times New Roman" w:cs="Times New Roman"/>
                <w:color w:val="auto"/>
                <w:kern w:val="2"/>
                <w:sz w:val="21"/>
                <w:szCs w:val="21"/>
                <w:highlight w:val="none"/>
                <w:lang w:eastAsia="zh-CN"/>
              </w:rPr>
              <w:t>机电经理</w:t>
            </w:r>
          </w:p>
        </w:tc>
        <w:tc>
          <w:tcPr>
            <w:tcW w:w="1058" w:type="pct"/>
            <w:vAlign w:val="center"/>
          </w:tcPr>
          <w:p>
            <w:pPr>
              <w:keepLines w:val="0"/>
              <w:snapToGrid w:val="0"/>
              <w:spacing w:after="120" w:afterLines="50"/>
              <w:jc w:val="center"/>
              <w:rPr>
                <w:rFonts w:ascii="Times New Roman" w:hAnsi="Times New Roman" w:cs="Times New Roman"/>
                <w:color w:val="auto"/>
                <w:sz w:val="21"/>
                <w:szCs w:val="21"/>
                <w:highlight w:val="none"/>
                <w:u w:val="single"/>
                <w:lang w:eastAsia="zh-CN"/>
              </w:rPr>
            </w:pPr>
            <w:r>
              <w:rPr>
                <w:rFonts w:hint="eastAsia" w:ascii="Times New Roman" w:hAnsi="Times New Roman" w:cs="Times New Roman"/>
                <w:color w:val="auto"/>
                <w:sz w:val="21"/>
                <w:szCs w:val="21"/>
                <w:highlight w:val="none"/>
                <w:u w:val="single"/>
                <w:lang w:eastAsia="zh-CN"/>
              </w:rPr>
              <w:t>岗位证</w:t>
            </w:r>
            <w:r>
              <w:rPr>
                <w:rFonts w:ascii="Times New Roman" w:hAnsi="Times New Roman" w:cs="Times New Roman"/>
                <w:color w:val="auto"/>
                <w:sz w:val="21"/>
                <w:szCs w:val="21"/>
                <w:highlight w:val="none"/>
                <w:u w:val="single"/>
                <w:lang w:eastAsia="zh-CN"/>
              </w:rPr>
              <w:t xml:space="preserve"> </w:t>
            </w:r>
          </w:p>
        </w:tc>
        <w:tc>
          <w:tcPr>
            <w:tcW w:w="1348" w:type="pct"/>
            <w:vAlign w:val="center"/>
          </w:tcPr>
          <w:p>
            <w:pPr>
              <w:keepLines w:val="0"/>
              <w:autoSpaceDE/>
              <w:autoSpaceDN/>
              <w:snapToGrid w:val="0"/>
              <w:spacing w:after="120" w:afterLines="50"/>
              <w:jc w:val="center"/>
              <w:rPr>
                <w:rFonts w:ascii="Times New Roman" w:hAnsi="Times New Roman" w:cs="Times New Roman"/>
                <w:color w:val="auto"/>
                <w:kern w:val="2"/>
                <w:sz w:val="21"/>
                <w:szCs w:val="21"/>
                <w:highlight w:val="none"/>
                <w:u w:val="single"/>
                <w:lang w:eastAsia="zh-CN"/>
              </w:rPr>
            </w:pPr>
            <w:r>
              <w:rPr>
                <w:rFonts w:ascii="Times New Roman" w:hAnsi="Times New Roman" w:cs="Times New Roman"/>
                <w:color w:val="auto"/>
                <w:sz w:val="21"/>
                <w:szCs w:val="21"/>
                <w:highlight w:val="none"/>
                <w:u w:val="single"/>
                <w:lang w:eastAsia="zh-CN"/>
              </w:rPr>
              <w:t>30-55 岁；大学</w:t>
            </w:r>
            <w:r>
              <w:rPr>
                <w:rFonts w:hint="eastAsia" w:ascii="Times New Roman" w:hAnsi="Times New Roman" w:cs="Times New Roman"/>
                <w:color w:val="auto"/>
                <w:sz w:val="21"/>
                <w:szCs w:val="21"/>
                <w:highlight w:val="none"/>
                <w:u w:val="single"/>
                <w:lang w:eastAsia="zh-CN"/>
              </w:rPr>
              <w:t>专</w:t>
            </w:r>
            <w:r>
              <w:rPr>
                <w:rFonts w:ascii="Times New Roman" w:hAnsi="Times New Roman" w:cs="Times New Roman"/>
                <w:color w:val="auto"/>
                <w:sz w:val="21"/>
                <w:szCs w:val="21"/>
                <w:highlight w:val="none"/>
                <w:u w:val="single"/>
                <w:lang w:eastAsia="zh-CN"/>
              </w:rPr>
              <w:t>科以上学历，</w:t>
            </w:r>
            <w:r>
              <w:rPr>
                <w:rFonts w:hint="eastAsia" w:ascii="Times New Roman" w:hAnsi="Times New Roman" w:cs="Times New Roman"/>
                <w:color w:val="auto"/>
                <w:sz w:val="21"/>
                <w:szCs w:val="21"/>
                <w:highlight w:val="none"/>
                <w:u w:val="single"/>
                <w:lang w:eastAsia="zh-CN"/>
              </w:rPr>
              <w:t>机电</w:t>
            </w:r>
            <w:r>
              <w:rPr>
                <w:rFonts w:ascii="Times New Roman" w:hAnsi="Times New Roman" w:cs="Times New Roman"/>
                <w:color w:val="auto"/>
                <w:sz w:val="21"/>
                <w:szCs w:val="21"/>
                <w:highlight w:val="none"/>
                <w:u w:val="single"/>
                <w:lang w:eastAsia="zh-CN"/>
              </w:rPr>
              <w:t>工程及相关专业</w:t>
            </w:r>
          </w:p>
        </w:tc>
        <w:tc>
          <w:tcPr>
            <w:tcW w:w="711" w:type="pct"/>
            <w:vAlign w:val="center"/>
          </w:tcPr>
          <w:p>
            <w:pPr>
              <w:keepLines w:val="0"/>
              <w:autoSpaceDE/>
              <w:autoSpaceDN/>
              <w:snapToGrid w:val="0"/>
              <w:spacing w:after="120" w:afterLines="50"/>
              <w:jc w:val="center"/>
              <w:rPr>
                <w:rFonts w:ascii="Times New Roman" w:hAnsi="Times New Roman" w:cs="Times New Roman"/>
                <w:color w:val="auto"/>
                <w:kern w:val="2"/>
                <w:sz w:val="21"/>
                <w:szCs w:val="21"/>
                <w:highlight w:val="none"/>
                <w:lang w:eastAsia="zh-CN"/>
              </w:rPr>
            </w:pPr>
            <w:r>
              <w:rPr>
                <w:rFonts w:hint="eastAsia" w:ascii="Times New Roman" w:hAnsi="Times New Roman" w:cs="Times New Roman"/>
                <w:color w:val="auto"/>
                <w:kern w:val="2"/>
                <w:sz w:val="21"/>
                <w:szCs w:val="21"/>
                <w:highlight w:val="none"/>
                <w:lang w:eastAsia="zh-CN"/>
              </w:rPr>
              <w:t>关键岗位</w:t>
            </w:r>
          </w:p>
        </w:tc>
        <w:tc>
          <w:tcPr>
            <w:tcW w:w="681" w:type="pct"/>
          </w:tcPr>
          <w:p>
            <w:pPr>
              <w:keepLines w:val="0"/>
              <w:spacing w:before="120" w:beforeLines="50" w:after="120" w:afterLines="50"/>
              <w:jc w:val="center"/>
              <w:rPr>
                <w:rFonts w:ascii="Times New Roman" w:hAnsi="Times New Roman" w:cs="Times New Roman"/>
                <w:color w:val="auto"/>
                <w:sz w:val="21"/>
                <w:szCs w:val="21"/>
                <w:highlight w:val="none"/>
                <w:u w:val="single"/>
              </w:rPr>
            </w:pPr>
            <w:r>
              <w:rPr>
                <w:rFonts w:ascii="Times New Roman" w:hAnsi="Times New Roman" w:cs="Times New Roman"/>
                <w:color w:val="auto"/>
                <w:sz w:val="21"/>
                <w:szCs w:val="21"/>
                <w:highlight w:val="none"/>
                <w:u w:val="single"/>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8" w:type="pct"/>
            <w:vAlign w:val="center"/>
          </w:tcPr>
          <w:p>
            <w:pPr>
              <w:keepLines w:val="0"/>
              <w:snapToGrid w:val="0"/>
              <w:spacing w:after="120" w:afterLines="50"/>
              <w:jc w:val="center"/>
              <w:rPr>
                <w:rFonts w:ascii="Times New Roman" w:hAnsi="Times New Roman" w:cs="Times New Roman"/>
                <w:color w:val="auto"/>
                <w:sz w:val="21"/>
                <w:szCs w:val="21"/>
                <w:highlight w:val="none"/>
              </w:rPr>
            </w:pPr>
            <w:r>
              <w:rPr>
                <w:rFonts w:ascii="Times New Roman" w:hAnsi="Times New Roman" w:cs="Times New Roman"/>
                <w:color w:val="auto"/>
                <w:sz w:val="21"/>
                <w:szCs w:val="21"/>
                <w:highlight w:val="none"/>
                <w:lang w:eastAsia="zh-CN"/>
              </w:rPr>
              <w:t>6</w:t>
            </w:r>
          </w:p>
        </w:tc>
        <w:tc>
          <w:tcPr>
            <w:tcW w:w="791" w:type="pct"/>
            <w:vAlign w:val="center"/>
          </w:tcPr>
          <w:p>
            <w:pPr>
              <w:keepLines w:val="0"/>
              <w:autoSpaceDE/>
              <w:autoSpaceDN/>
              <w:snapToGrid w:val="0"/>
              <w:spacing w:after="120" w:afterLines="50"/>
              <w:jc w:val="center"/>
              <w:rPr>
                <w:rFonts w:ascii="Times New Roman" w:hAnsi="Times New Roman" w:cs="Times New Roman"/>
                <w:color w:val="auto"/>
                <w:kern w:val="2"/>
                <w:sz w:val="21"/>
                <w:szCs w:val="21"/>
                <w:highlight w:val="none"/>
                <w:lang w:eastAsia="zh-CN"/>
              </w:rPr>
            </w:pPr>
            <w:r>
              <w:rPr>
                <w:rFonts w:hint="eastAsia" w:ascii="Times New Roman" w:hAnsi="Times New Roman" w:cs="Times New Roman"/>
                <w:color w:val="auto"/>
                <w:kern w:val="2"/>
                <w:sz w:val="21"/>
                <w:szCs w:val="21"/>
                <w:highlight w:val="none"/>
                <w:lang w:eastAsia="zh-CN"/>
              </w:rPr>
              <w:t>深化设计人员</w:t>
            </w:r>
          </w:p>
        </w:tc>
        <w:tc>
          <w:tcPr>
            <w:tcW w:w="1058" w:type="pct"/>
            <w:vAlign w:val="center"/>
          </w:tcPr>
          <w:p>
            <w:pPr>
              <w:keepLines w:val="0"/>
              <w:snapToGrid w:val="0"/>
              <w:spacing w:after="120" w:afterLines="50"/>
              <w:jc w:val="center"/>
              <w:rPr>
                <w:rFonts w:ascii="Times New Roman" w:hAnsi="Times New Roman" w:cs="Times New Roman"/>
                <w:color w:val="auto"/>
                <w:sz w:val="21"/>
                <w:szCs w:val="21"/>
                <w:highlight w:val="none"/>
                <w:u w:val="single"/>
                <w:lang w:eastAsia="zh-CN"/>
              </w:rPr>
            </w:pPr>
            <w:r>
              <w:rPr>
                <w:rFonts w:hint="eastAsia" w:ascii="Times New Roman" w:hAnsi="Times New Roman" w:cs="Times New Roman"/>
                <w:color w:val="auto"/>
                <w:sz w:val="21"/>
                <w:szCs w:val="21"/>
                <w:highlight w:val="none"/>
                <w:u w:val="single"/>
                <w:lang w:eastAsia="zh-CN"/>
              </w:rPr>
              <w:t>中级及以上职称</w:t>
            </w:r>
          </w:p>
        </w:tc>
        <w:tc>
          <w:tcPr>
            <w:tcW w:w="1348" w:type="pct"/>
            <w:vAlign w:val="center"/>
          </w:tcPr>
          <w:p>
            <w:pPr>
              <w:keepLines w:val="0"/>
              <w:snapToGrid w:val="0"/>
              <w:spacing w:after="120" w:afterLines="50"/>
              <w:jc w:val="center"/>
              <w:rPr>
                <w:rFonts w:ascii="Times New Roman" w:hAnsi="Times New Roman" w:cs="Times New Roman"/>
                <w:color w:val="auto"/>
                <w:kern w:val="2"/>
                <w:sz w:val="21"/>
                <w:szCs w:val="21"/>
                <w:highlight w:val="none"/>
                <w:u w:val="single"/>
                <w:lang w:eastAsia="zh-CN"/>
              </w:rPr>
            </w:pPr>
            <w:r>
              <w:rPr>
                <w:rFonts w:ascii="Times New Roman" w:hAnsi="Times New Roman" w:cs="Times New Roman"/>
                <w:color w:val="auto"/>
                <w:sz w:val="21"/>
                <w:szCs w:val="21"/>
                <w:highlight w:val="none"/>
                <w:u w:val="single"/>
                <w:lang w:eastAsia="zh-CN"/>
              </w:rPr>
              <w:t>30-55 岁；大学本科以上学历</w:t>
            </w:r>
          </w:p>
        </w:tc>
        <w:tc>
          <w:tcPr>
            <w:tcW w:w="711" w:type="pct"/>
            <w:vAlign w:val="center"/>
          </w:tcPr>
          <w:p>
            <w:pPr>
              <w:keepLines w:val="0"/>
              <w:autoSpaceDE/>
              <w:autoSpaceDN/>
              <w:snapToGrid w:val="0"/>
              <w:spacing w:after="120" w:afterLines="50"/>
              <w:jc w:val="center"/>
              <w:rPr>
                <w:rFonts w:ascii="Times New Roman" w:hAnsi="Times New Roman" w:cs="Times New Roman"/>
                <w:color w:val="auto"/>
                <w:kern w:val="2"/>
                <w:sz w:val="21"/>
                <w:szCs w:val="21"/>
                <w:highlight w:val="none"/>
                <w:lang w:eastAsia="zh-CN"/>
              </w:rPr>
            </w:pPr>
          </w:p>
        </w:tc>
        <w:tc>
          <w:tcPr>
            <w:tcW w:w="681" w:type="pct"/>
          </w:tcPr>
          <w:p>
            <w:pPr>
              <w:keepLines w:val="0"/>
              <w:spacing w:before="120" w:beforeLines="50" w:after="120" w:afterLines="50"/>
              <w:jc w:val="center"/>
              <w:rPr>
                <w:rFonts w:ascii="Times New Roman" w:hAnsi="Times New Roman" w:cs="Times New Roman"/>
                <w:color w:val="auto"/>
                <w:sz w:val="21"/>
                <w:szCs w:val="21"/>
                <w:highlight w:val="none"/>
                <w:u w:val="single"/>
              </w:rPr>
            </w:pPr>
            <w:r>
              <w:rPr>
                <w:rFonts w:ascii="Times New Roman" w:hAnsi="Times New Roman" w:cs="Times New Roman"/>
                <w:color w:val="auto"/>
                <w:sz w:val="21"/>
                <w:szCs w:val="21"/>
                <w:highlight w:val="none"/>
                <w:u w:val="single"/>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4" w:hRule="atLeast"/>
        </w:trPr>
        <w:tc>
          <w:tcPr>
            <w:tcW w:w="408" w:type="pct"/>
            <w:vAlign w:val="center"/>
          </w:tcPr>
          <w:p>
            <w:pPr>
              <w:keepLines w:val="0"/>
              <w:snapToGrid w:val="0"/>
              <w:spacing w:after="120" w:afterLines="50"/>
              <w:jc w:val="center"/>
              <w:rPr>
                <w:rFonts w:ascii="Times New Roman" w:hAnsi="Times New Roman" w:cs="Times New Roman"/>
                <w:color w:val="auto"/>
                <w:sz w:val="21"/>
                <w:szCs w:val="21"/>
                <w:highlight w:val="none"/>
              </w:rPr>
            </w:pPr>
            <w:r>
              <w:rPr>
                <w:rFonts w:ascii="Times New Roman" w:hAnsi="Times New Roman" w:cs="Times New Roman"/>
                <w:color w:val="auto"/>
                <w:sz w:val="21"/>
                <w:szCs w:val="21"/>
                <w:highlight w:val="none"/>
                <w:lang w:eastAsia="zh-CN"/>
              </w:rPr>
              <w:t>7</w:t>
            </w:r>
          </w:p>
        </w:tc>
        <w:tc>
          <w:tcPr>
            <w:tcW w:w="791" w:type="pct"/>
            <w:vAlign w:val="center"/>
          </w:tcPr>
          <w:p>
            <w:pPr>
              <w:keepLines w:val="0"/>
              <w:autoSpaceDE/>
              <w:autoSpaceDN/>
              <w:snapToGrid w:val="0"/>
              <w:spacing w:after="120" w:afterLines="50"/>
              <w:jc w:val="center"/>
              <w:rPr>
                <w:rFonts w:ascii="Times New Roman" w:hAnsi="Times New Roman" w:cs="Times New Roman"/>
                <w:color w:val="auto"/>
                <w:kern w:val="2"/>
                <w:sz w:val="21"/>
                <w:szCs w:val="21"/>
                <w:highlight w:val="none"/>
                <w:lang w:eastAsia="zh-CN"/>
              </w:rPr>
            </w:pPr>
            <w:r>
              <w:rPr>
                <w:rFonts w:hint="eastAsia" w:ascii="Times New Roman" w:hAnsi="Times New Roman" w:cs="Times New Roman"/>
                <w:color w:val="auto"/>
                <w:kern w:val="2"/>
                <w:sz w:val="21"/>
                <w:szCs w:val="21"/>
                <w:highlight w:val="none"/>
                <w:lang w:eastAsia="zh-CN"/>
              </w:rPr>
              <w:t>资料员</w:t>
            </w:r>
          </w:p>
        </w:tc>
        <w:tc>
          <w:tcPr>
            <w:tcW w:w="1058" w:type="pct"/>
            <w:vAlign w:val="center"/>
          </w:tcPr>
          <w:p>
            <w:pPr>
              <w:keepLines w:val="0"/>
              <w:snapToGrid w:val="0"/>
              <w:spacing w:after="120" w:afterLines="50"/>
              <w:jc w:val="center"/>
              <w:rPr>
                <w:rFonts w:ascii="Times New Roman" w:hAnsi="Times New Roman" w:cs="Times New Roman"/>
                <w:color w:val="auto"/>
                <w:sz w:val="21"/>
                <w:szCs w:val="21"/>
                <w:highlight w:val="none"/>
                <w:u w:val="single"/>
                <w:lang w:eastAsia="zh-CN"/>
              </w:rPr>
            </w:pPr>
            <w:r>
              <w:rPr>
                <w:rFonts w:hint="eastAsia" w:ascii="Times New Roman" w:hAnsi="Times New Roman" w:cs="Times New Roman"/>
                <w:color w:val="auto"/>
                <w:sz w:val="21"/>
                <w:szCs w:val="21"/>
                <w:highlight w:val="none"/>
                <w:u w:val="single"/>
                <w:lang w:eastAsia="zh-CN"/>
              </w:rPr>
              <w:t>岗位证，</w:t>
            </w:r>
            <w:r>
              <w:rPr>
                <w:rFonts w:ascii="Times New Roman" w:hAnsi="Times New Roman" w:cs="Times New Roman"/>
                <w:color w:val="auto"/>
                <w:sz w:val="21"/>
                <w:szCs w:val="21"/>
                <w:highlight w:val="none"/>
                <w:u w:val="single"/>
                <w:lang w:eastAsia="zh-CN"/>
              </w:rPr>
              <w:t xml:space="preserve"> </w:t>
            </w:r>
          </w:p>
        </w:tc>
        <w:tc>
          <w:tcPr>
            <w:tcW w:w="1348" w:type="pct"/>
            <w:vAlign w:val="center"/>
          </w:tcPr>
          <w:p>
            <w:pPr>
              <w:keepLines w:val="0"/>
              <w:autoSpaceDE/>
              <w:autoSpaceDN/>
              <w:snapToGrid w:val="0"/>
              <w:spacing w:after="120" w:afterLines="50"/>
              <w:jc w:val="center"/>
              <w:rPr>
                <w:rFonts w:ascii="Times New Roman" w:hAnsi="Times New Roman" w:cs="Times New Roman"/>
                <w:color w:val="auto"/>
                <w:kern w:val="2"/>
                <w:sz w:val="21"/>
                <w:szCs w:val="21"/>
                <w:highlight w:val="none"/>
                <w:u w:val="single"/>
                <w:lang w:eastAsia="zh-CN"/>
              </w:rPr>
            </w:pPr>
            <w:r>
              <w:rPr>
                <w:rFonts w:ascii="Times New Roman" w:hAnsi="Times New Roman" w:cs="Times New Roman"/>
                <w:color w:val="auto"/>
                <w:kern w:val="2"/>
                <w:sz w:val="21"/>
                <w:szCs w:val="21"/>
                <w:highlight w:val="none"/>
                <w:u w:val="single"/>
                <w:lang w:eastAsia="zh-CN"/>
              </w:rPr>
              <w:t>26-45 岁，大专以上学历，建筑安全相关专业</w:t>
            </w:r>
          </w:p>
        </w:tc>
        <w:tc>
          <w:tcPr>
            <w:tcW w:w="711" w:type="pct"/>
            <w:vAlign w:val="center"/>
          </w:tcPr>
          <w:p>
            <w:pPr>
              <w:keepLines w:val="0"/>
              <w:autoSpaceDE/>
              <w:autoSpaceDN/>
              <w:snapToGrid w:val="0"/>
              <w:spacing w:after="120" w:afterLines="50"/>
              <w:jc w:val="center"/>
              <w:rPr>
                <w:rFonts w:ascii="Times New Roman" w:hAnsi="Times New Roman" w:cs="Times New Roman"/>
                <w:color w:val="auto"/>
                <w:kern w:val="2"/>
                <w:sz w:val="21"/>
                <w:szCs w:val="21"/>
                <w:highlight w:val="none"/>
                <w:lang w:eastAsia="zh-CN"/>
              </w:rPr>
            </w:pPr>
          </w:p>
        </w:tc>
        <w:tc>
          <w:tcPr>
            <w:tcW w:w="681" w:type="pct"/>
          </w:tcPr>
          <w:p>
            <w:pPr>
              <w:keepLines w:val="0"/>
              <w:spacing w:before="120" w:beforeLines="50" w:after="120" w:afterLines="50"/>
              <w:jc w:val="center"/>
              <w:rPr>
                <w:rFonts w:ascii="Times New Roman" w:hAnsi="Times New Roman" w:cs="Times New Roman"/>
                <w:color w:val="auto"/>
                <w:sz w:val="21"/>
                <w:szCs w:val="21"/>
                <w:highlight w:val="none"/>
                <w:u w:val="single"/>
              </w:rPr>
            </w:pPr>
            <w:r>
              <w:rPr>
                <w:rFonts w:ascii="Times New Roman" w:hAnsi="Times New Roman" w:cs="Times New Roman"/>
                <w:color w:val="auto"/>
                <w:sz w:val="21"/>
                <w:szCs w:val="21"/>
                <w:highlight w:val="none"/>
                <w:u w:val="single"/>
                <w:lang w:eastAsia="zh-CN"/>
              </w:rPr>
              <w:t>1</w:t>
            </w:r>
          </w:p>
        </w:tc>
      </w:tr>
    </w:tbl>
    <w:p>
      <w:pPr>
        <w:pStyle w:val="22"/>
        <w:rPr>
          <w:color w:val="auto"/>
          <w:highlight w:val="none"/>
          <w:lang w:eastAsia="zh-CN"/>
        </w:rPr>
      </w:pPr>
      <w:r>
        <w:rPr>
          <w:color w:val="auto"/>
          <w:highlight w:val="none"/>
          <w:lang w:eastAsia="zh-CN"/>
        </w:rPr>
        <w:t xml:space="preserve">表 </w:t>
      </w:r>
      <w:r>
        <w:rPr>
          <w:color w:val="auto"/>
          <w:highlight w:val="none"/>
        </w:rPr>
        <w:fldChar w:fldCharType="begin"/>
      </w:r>
      <w:r>
        <w:rPr>
          <w:color w:val="auto"/>
          <w:highlight w:val="none"/>
          <w:lang w:eastAsia="zh-CN"/>
        </w:rPr>
        <w:instrText xml:space="preserve"> STYLEREF 1 \s </w:instrText>
      </w:r>
      <w:r>
        <w:rPr>
          <w:color w:val="auto"/>
          <w:highlight w:val="none"/>
        </w:rPr>
        <w:fldChar w:fldCharType="separate"/>
      </w:r>
      <w:r>
        <w:rPr>
          <w:color w:val="auto"/>
          <w:highlight w:val="none"/>
          <w:lang w:eastAsia="zh-CN"/>
        </w:rPr>
        <w:t>5</w:t>
      </w:r>
      <w:r>
        <w:rPr>
          <w:color w:val="auto"/>
          <w:highlight w:val="none"/>
        </w:rPr>
        <w:fldChar w:fldCharType="end"/>
      </w:r>
      <w:r>
        <w:rPr>
          <w:rFonts w:hint="eastAsia"/>
          <w:color w:val="auto"/>
          <w:highlight w:val="none"/>
          <w:lang w:eastAsia="zh-CN"/>
        </w:rPr>
        <w:t>-</w:t>
      </w:r>
      <w:r>
        <w:rPr>
          <w:color w:val="auto"/>
          <w:highlight w:val="none"/>
        </w:rPr>
        <w:fldChar w:fldCharType="begin"/>
      </w:r>
      <w:r>
        <w:rPr>
          <w:color w:val="auto"/>
          <w:highlight w:val="none"/>
          <w:lang w:eastAsia="zh-CN"/>
        </w:rPr>
        <w:instrText xml:space="preserve"> SEQ 表 \* ARABIC \s 1 </w:instrText>
      </w:r>
      <w:r>
        <w:rPr>
          <w:color w:val="auto"/>
          <w:highlight w:val="none"/>
        </w:rPr>
        <w:fldChar w:fldCharType="separate"/>
      </w:r>
      <w:r>
        <w:rPr>
          <w:color w:val="auto"/>
          <w:highlight w:val="none"/>
          <w:lang w:eastAsia="zh-CN"/>
        </w:rPr>
        <w:t>1</w:t>
      </w:r>
      <w:r>
        <w:rPr>
          <w:color w:val="auto"/>
          <w:highlight w:val="none"/>
        </w:rPr>
        <w:fldChar w:fldCharType="end"/>
      </w:r>
      <w:r>
        <w:rPr>
          <w:rFonts w:hint="eastAsia"/>
          <w:color w:val="auto"/>
          <w:highlight w:val="none"/>
          <w:lang w:eastAsia="zh-CN"/>
        </w:rPr>
        <w:t xml:space="preserve"> 项目组织架构表</w:t>
      </w:r>
    </w:p>
    <w:p>
      <w:pPr>
        <w:snapToGrid w:val="0"/>
        <w:spacing w:before="120" w:beforeLines="50" w:after="120" w:afterLines="50"/>
        <w:ind w:firstLine="283" w:firstLineChars="135"/>
        <w:rPr>
          <w:rFonts w:ascii="Times New Roman" w:hAnsi="Times New Roman" w:cs="Times New Roman"/>
          <w:color w:val="auto"/>
          <w:sz w:val="21"/>
          <w:szCs w:val="21"/>
          <w:highlight w:val="none"/>
          <w:lang w:eastAsia="zh-CN"/>
        </w:rPr>
      </w:pPr>
      <w:r>
        <w:rPr>
          <w:rFonts w:hint="eastAsia" w:ascii="Times New Roman" w:hAnsi="Times New Roman" w:cs="Times New Roman"/>
          <w:color w:val="auto"/>
          <w:sz w:val="21"/>
          <w:szCs w:val="21"/>
          <w:highlight w:val="none"/>
          <w:lang w:eastAsia="zh-CN"/>
        </w:rPr>
        <w:t>注</w:t>
      </w:r>
      <w:r>
        <w:rPr>
          <w:rFonts w:ascii="Times New Roman" w:hAnsi="Times New Roman" w:cs="Times New Roman"/>
          <w:color w:val="auto"/>
          <w:sz w:val="21"/>
          <w:szCs w:val="21"/>
          <w:highlight w:val="none"/>
          <w:lang w:eastAsia="zh-CN"/>
        </w:rPr>
        <w:t>: 1</w:t>
      </w:r>
      <w:r>
        <w:rPr>
          <w:rFonts w:hint="eastAsia" w:ascii="Times New Roman" w:hAnsi="Times New Roman" w:cs="Times New Roman"/>
          <w:color w:val="auto"/>
          <w:sz w:val="21"/>
          <w:szCs w:val="21"/>
          <w:highlight w:val="none"/>
          <w:lang w:eastAsia="zh-CN"/>
        </w:rPr>
        <w:t>）须提供职称、注册师证、劳动合同、</w:t>
      </w:r>
      <w:r>
        <w:rPr>
          <w:rFonts w:ascii="Times New Roman" w:hAnsi="Times New Roman" w:cs="Times New Roman"/>
          <w:color w:val="auto"/>
          <w:sz w:val="21"/>
          <w:szCs w:val="21"/>
          <w:highlight w:val="none"/>
          <w:lang w:eastAsia="zh-CN"/>
        </w:rPr>
        <w:t>6</w:t>
      </w:r>
      <w:r>
        <w:rPr>
          <w:rFonts w:hint="eastAsia" w:ascii="Times New Roman" w:hAnsi="Times New Roman" w:cs="Times New Roman"/>
          <w:color w:val="auto"/>
          <w:sz w:val="21"/>
          <w:szCs w:val="21"/>
          <w:highlight w:val="none"/>
          <w:lang w:eastAsia="zh-CN"/>
        </w:rPr>
        <w:t>个月以上社保证明等相关证明复印件。</w:t>
      </w:r>
    </w:p>
    <w:p>
      <w:pPr>
        <w:snapToGrid w:val="0"/>
        <w:spacing w:before="120" w:beforeLines="50" w:after="120" w:afterLines="50"/>
        <w:ind w:firstLine="630" w:firstLineChars="300"/>
        <w:rPr>
          <w:rFonts w:ascii="Times New Roman" w:hAnsi="Times New Roman" w:cs="Times New Roman"/>
          <w:color w:val="auto"/>
          <w:sz w:val="21"/>
          <w:szCs w:val="21"/>
          <w:highlight w:val="none"/>
          <w:lang w:eastAsia="zh-CN"/>
        </w:rPr>
      </w:pPr>
      <w:r>
        <w:rPr>
          <w:rFonts w:ascii="Times New Roman" w:hAnsi="Times New Roman" w:cs="Times New Roman"/>
          <w:color w:val="auto"/>
          <w:sz w:val="21"/>
          <w:szCs w:val="21"/>
          <w:highlight w:val="none"/>
          <w:lang w:eastAsia="zh-CN"/>
        </w:rPr>
        <w:t>2</w:t>
      </w:r>
      <w:r>
        <w:rPr>
          <w:rFonts w:hint="eastAsia" w:ascii="Times New Roman" w:hAnsi="Times New Roman" w:cs="Times New Roman"/>
          <w:color w:val="auto"/>
          <w:sz w:val="21"/>
          <w:szCs w:val="21"/>
          <w:highlight w:val="none"/>
          <w:lang w:eastAsia="zh-CN"/>
        </w:rPr>
        <w:t>）项目经理业绩要求提供施工合同、施工许可证或竣工验收备案表等复印件并加盖法人公章。</w:t>
      </w:r>
    </w:p>
    <w:p>
      <w:pPr>
        <w:pStyle w:val="5"/>
        <w:rPr>
          <w:color w:val="auto"/>
          <w:highlight w:val="none"/>
        </w:rPr>
      </w:pPr>
      <w:r>
        <w:rPr>
          <w:rFonts w:hint="eastAsia"/>
          <w:color w:val="auto"/>
          <w:highlight w:val="none"/>
        </w:rPr>
        <w:t>《拟派关键岗位人员工作业绩一览表》</w:t>
      </w:r>
    </w:p>
    <w:p>
      <w:pPr>
        <w:pStyle w:val="22"/>
        <w:rPr>
          <w:color w:val="auto"/>
          <w:highlight w:val="none"/>
          <w:lang w:eastAsia="zh-CN"/>
        </w:rPr>
      </w:pPr>
      <w:r>
        <w:rPr>
          <w:color w:val="auto"/>
          <w:highlight w:val="none"/>
          <w:lang w:eastAsia="zh-CN"/>
        </w:rPr>
        <w:t xml:space="preserve">表 </w:t>
      </w:r>
      <w:r>
        <w:rPr>
          <w:color w:val="auto"/>
          <w:highlight w:val="none"/>
        </w:rPr>
        <w:fldChar w:fldCharType="begin"/>
      </w:r>
      <w:r>
        <w:rPr>
          <w:color w:val="auto"/>
          <w:highlight w:val="none"/>
          <w:lang w:eastAsia="zh-CN"/>
        </w:rPr>
        <w:instrText xml:space="preserve"> STYLEREF 1 \s </w:instrText>
      </w:r>
      <w:r>
        <w:rPr>
          <w:color w:val="auto"/>
          <w:highlight w:val="none"/>
        </w:rPr>
        <w:fldChar w:fldCharType="separate"/>
      </w:r>
      <w:r>
        <w:rPr>
          <w:color w:val="auto"/>
          <w:highlight w:val="none"/>
          <w:lang w:eastAsia="zh-CN"/>
        </w:rPr>
        <w:t>5</w:t>
      </w:r>
      <w:r>
        <w:rPr>
          <w:color w:val="auto"/>
          <w:highlight w:val="none"/>
        </w:rPr>
        <w:fldChar w:fldCharType="end"/>
      </w:r>
      <w:r>
        <w:rPr>
          <w:rFonts w:hint="eastAsia"/>
          <w:color w:val="auto"/>
          <w:highlight w:val="none"/>
          <w:lang w:eastAsia="zh-CN"/>
        </w:rPr>
        <w:t>-</w:t>
      </w:r>
      <w:r>
        <w:rPr>
          <w:color w:val="auto"/>
          <w:highlight w:val="none"/>
        </w:rPr>
        <w:fldChar w:fldCharType="begin"/>
      </w:r>
      <w:r>
        <w:rPr>
          <w:color w:val="auto"/>
          <w:highlight w:val="none"/>
          <w:lang w:eastAsia="zh-CN"/>
        </w:rPr>
        <w:instrText xml:space="preserve"> SEQ 表 \* ARABIC \s 1 </w:instrText>
      </w:r>
      <w:r>
        <w:rPr>
          <w:color w:val="auto"/>
          <w:highlight w:val="none"/>
        </w:rPr>
        <w:fldChar w:fldCharType="separate"/>
      </w:r>
      <w:r>
        <w:rPr>
          <w:color w:val="auto"/>
          <w:highlight w:val="none"/>
          <w:lang w:eastAsia="zh-CN"/>
        </w:rPr>
        <w:t>2</w:t>
      </w:r>
      <w:r>
        <w:rPr>
          <w:color w:val="auto"/>
          <w:highlight w:val="none"/>
        </w:rPr>
        <w:fldChar w:fldCharType="end"/>
      </w:r>
      <w:r>
        <w:rPr>
          <w:rFonts w:hint="eastAsia"/>
          <w:color w:val="auto"/>
          <w:highlight w:val="none"/>
          <w:lang w:eastAsia="zh-CN"/>
        </w:rPr>
        <w:t xml:space="preserve"> 拟派关键岗位人员工作业绩一览表</w:t>
      </w:r>
    </w:p>
    <w:tbl>
      <w:tblPr>
        <w:tblStyle w:val="85"/>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2376"/>
        <w:gridCol w:w="1499"/>
        <w:gridCol w:w="525"/>
        <w:gridCol w:w="819"/>
        <w:gridCol w:w="1224"/>
        <w:gridCol w:w="1319"/>
        <w:gridCol w:w="993"/>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94" w:hRule="atLeast"/>
          <w:jc w:val="center"/>
        </w:trPr>
        <w:tc>
          <w:tcPr>
            <w:tcW w:w="2376" w:type="dxa"/>
            <w:vAlign w:val="center"/>
          </w:tcPr>
          <w:p>
            <w:pPr>
              <w:keepLines w:val="0"/>
              <w:snapToGrid w:val="0"/>
              <w:spacing w:before="120" w:beforeLines="50" w:after="120" w:afterLines="50"/>
              <w:jc w:val="center"/>
              <w:rPr>
                <w:rFonts w:ascii="Times New Roman" w:hAnsi="Times New Roman" w:cs="Times New Roman"/>
                <w:color w:val="auto"/>
                <w:highlight w:val="none"/>
                <w:lang w:eastAsia="zh-CN"/>
              </w:rPr>
            </w:pPr>
            <w:r>
              <w:rPr>
                <w:rFonts w:hint="eastAsia" w:ascii="Times New Roman" w:hAnsi="Times New Roman" w:cs="Times New Roman"/>
                <w:color w:val="auto"/>
                <w:highlight w:val="none"/>
                <w:lang w:eastAsia="zh-CN"/>
              </w:rPr>
              <w:t>姓</w:t>
            </w:r>
            <w:r>
              <w:rPr>
                <w:rFonts w:ascii="Times New Roman" w:hAnsi="Times New Roman" w:cs="Times New Roman"/>
                <w:color w:val="auto"/>
                <w:highlight w:val="none"/>
                <w:lang w:eastAsia="zh-CN"/>
              </w:rPr>
              <w:t xml:space="preserve">  </w:t>
            </w:r>
            <w:r>
              <w:rPr>
                <w:rFonts w:hint="eastAsia" w:ascii="Times New Roman" w:hAnsi="Times New Roman" w:cs="Times New Roman"/>
                <w:color w:val="auto"/>
                <w:highlight w:val="none"/>
                <w:lang w:eastAsia="zh-CN"/>
              </w:rPr>
              <w:t>名</w:t>
            </w:r>
          </w:p>
        </w:tc>
        <w:tc>
          <w:tcPr>
            <w:tcW w:w="2024" w:type="dxa"/>
            <w:gridSpan w:val="2"/>
            <w:vAlign w:val="center"/>
          </w:tcPr>
          <w:p>
            <w:pPr>
              <w:keepLines w:val="0"/>
              <w:snapToGrid w:val="0"/>
              <w:spacing w:before="120" w:beforeLines="50" w:after="120" w:afterLines="50"/>
              <w:jc w:val="center"/>
              <w:rPr>
                <w:rFonts w:ascii="Times New Roman" w:hAnsi="Times New Roman" w:cs="Times New Roman"/>
                <w:color w:val="auto"/>
                <w:highlight w:val="none"/>
                <w:lang w:eastAsia="zh-CN"/>
              </w:rPr>
            </w:pPr>
          </w:p>
        </w:tc>
        <w:tc>
          <w:tcPr>
            <w:tcW w:w="2043" w:type="dxa"/>
            <w:gridSpan w:val="2"/>
            <w:vAlign w:val="center"/>
          </w:tcPr>
          <w:p>
            <w:pPr>
              <w:keepLines w:val="0"/>
              <w:snapToGrid w:val="0"/>
              <w:spacing w:before="120" w:beforeLines="50" w:after="120" w:afterLines="50"/>
              <w:jc w:val="center"/>
              <w:rPr>
                <w:rFonts w:ascii="Times New Roman" w:hAnsi="Times New Roman" w:cs="Times New Roman"/>
                <w:color w:val="auto"/>
                <w:highlight w:val="none"/>
                <w:lang w:eastAsia="zh-CN"/>
              </w:rPr>
            </w:pPr>
            <w:r>
              <w:rPr>
                <w:rFonts w:hint="eastAsia" w:ascii="Times New Roman" w:hAnsi="Times New Roman" w:cs="Times New Roman"/>
                <w:color w:val="auto"/>
                <w:highlight w:val="none"/>
                <w:lang w:eastAsia="zh-CN"/>
              </w:rPr>
              <w:t>拟任岗位</w:t>
            </w:r>
          </w:p>
        </w:tc>
        <w:tc>
          <w:tcPr>
            <w:tcW w:w="2312" w:type="dxa"/>
            <w:gridSpan w:val="2"/>
            <w:vAlign w:val="center"/>
          </w:tcPr>
          <w:p>
            <w:pPr>
              <w:keepLines w:val="0"/>
              <w:snapToGrid w:val="0"/>
              <w:spacing w:before="120" w:beforeLines="50" w:after="120" w:afterLines="50"/>
              <w:jc w:val="center"/>
              <w:rPr>
                <w:rFonts w:ascii="Times New Roman" w:hAnsi="Times New Roman" w:cs="Times New Roman"/>
                <w:color w:val="auto"/>
                <w:highlight w:val="none"/>
                <w:lang w:eastAsia="zh-CN"/>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25" w:hRule="atLeast"/>
          <w:jc w:val="center"/>
        </w:trPr>
        <w:tc>
          <w:tcPr>
            <w:tcW w:w="2376" w:type="dxa"/>
            <w:vAlign w:val="center"/>
          </w:tcPr>
          <w:p>
            <w:pPr>
              <w:keepLines w:val="0"/>
              <w:snapToGrid w:val="0"/>
              <w:spacing w:before="120" w:beforeLines="50" w:after="120" w:afterLines="50"/>
              <w:jc w:val="center"/>
              <w:rPr>
                <w:rFonts w:ascii="Times New Roman" w:hAnsi="Times New Roman" w:cs="Times New Roman"/>
                <w:color w:val="auto"/>
                <w:highlight w:val="none"/>
                <w:lang w:eastAsia="zh-CN"/>
              </w:rPr>
            </w:pPr>
            <w:r>
              <w:rPr>
                <w:rFonts w:hint="eastAsia" w:ascii="Times New Roman" w:hAnsi="Times New Roman" w:cs="Times New Roman"/>
                <w:color w:val="auto"/>
                <w:highlight w:val="none"/>
                <w:lang w:eastAsia="zh-CN"/>
              </w:rPr>
              <w:t>性</w:t>
            </w:r>
            <w:r>
              <w:rPr>
                <w:rFonts w:ascii="Times New Roman" w:hAnsi="Times New Roman" w:cs="Times New Roman"/>
                <w:color w:val="auto"/>
                <w:highlight w:val="none"/>
                <w:lang w:eastAsia="zh-CN"/>
              </w:rPr>
              <w:t xml:space="preserve">  </w:t>
            </w:r>
            <w:r>
              <w:rPr>
                <w:rFonts w:hint="eastAsia" w:ascii="Times New Roman" w:hAnsi="Times New Roman" w:cs="Times New Roman"/>
                <w:color w:val="auto"/>
                <w:highlight w:val="none"/>
                <w:lang w:eastAsia="zh-CN"/>
              </w:rPr>
              <w:t>别</w:t>
            </w:r>
          </w:p>
        </w:tc>
        <w:tc>
          <w:tcPr>
            <w:tcW w:w="2024" w:type="dxa"/>
            <w:gridSpan w:val="2"/>
            <w:vAlign w:val="center"/>
          </w:tcPr>
          <w:p>
            <w:pPr>
              <w:keepLines w:val="0"/>
              <w:snapToGrid w:val="0"/>
              <w:spacing w:before="120" w:beforeLines="50" w:after="120" w:afterLines="50"/>
              <w:jc w:val="center"/>
              <w:rPr>
                <w:rFonts w:ascii="Times New Roman" w:hAnsi="Times New Roman" w:cs="Times New Roman"/>
                <w:color w:val="auto"/>
                <w:highlight w:val="none"/>
                <w:lang w:eastAsia="zh-CN"/>
              </w:rPr>
            </w:pPr>
          </w:p>
        </w:tc>
        <w:tc>
          <w:tcPr>
            <w:tcW w:w="2043" w:type="dxa"/>
            <w:gridSpan w:val="2"/>
            <w:vAlign w:val="center"/>
          </w:tcPr>
          <w:p>
            <w:pPr>
              <w:keepLines w:val="0"/>
              <w:snapToGrid w:val="0"/>
              <w:spacing w:before="120" w:beforeLines="50" w:after="120" w:afterLines="50"/>
              <w:jc w:val="center"/>
              <w:rPr>
                <w:rFonts w:ascii="Times New Roman" w:hAnsi="Times New Roman" w:cs="Times New Roman"/>
                <w:color w:val="auto"/>
                <w:highlight w:val="none"/>
                <w:lang w:eastAsia="zh-CN"/>
              </w:rPr>
            </w:pPr>
            <w:r>
              <w:rPr>
                <w:rFonts w:hint="eastAsia" w:ascii="Times New Roman" w:hAnsi="Times New Roman" w:cs="Times New Roman"/>
                <w:color w:val="auto"/>
                <w:highlight w:val="none"/>
                <w:lang w:eastAsia="zh-CN"/>
              </w:rPr>
              <w:t>学</w:t>
            </w:r>
            <w:r>
              <w:rPr>
                <w:rFonts w:ascii="Times New Roman" w:hAnsi="Times New Roman" w:cs="Times New Roman"/>
                <w:color w:val="auto"/>
                <w:highlight w:val="none"/>
                <w:lang w:eastAsia="zh-CN"/>
              </w:rPr>
              <w:t xml:space="preserve">  </w:t>
            </w:r>
            <w:r>
              <w:rPr>
                <w:rFonts w:hint="eastAsia" w:ascii="Times New Roman" w:hAnsi="Times New Roman" w:cs="Times New Roman"/>
                <w:color w:val="auto"/>
                <w:highlight w:val="none"/>
                <w:lang w:eastAsia="zh-CN"/>
              </w:rPr>
              <w:t>历</w:t>
            </w:r>
          </w:p>
        </w:tc>
        <w:tc>
          <w:tcPr>
            <w:tcW w:w="2312" w:type="dxa"/>
            <w:gridSpan w:val="2"/>
            <w:vAlign w:val="center"/>
          </w:tcPr>
          <w:p>
            <w:pPr>
              <w:keepLines w:val="0"/>
              <w:snapToGrid w:val="0"/>
              <w:spacing w:before="120" w:beforeLines="50" w:after="120" w:afterLines="50"/>
              <w:jc w:val="center"/>
              <w:rPr>
                <w:rFonts w:ascii="Times New Roman" w:hAnsi="Times New Roman" w:cs="Times New Roman"/>
                <w:color w:val="auto"/>
                <w:highlight w:val="none"/>
                <w:lang w:eastAsia="zh-CN"/>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625" w:hRule="atLeast"/>
          <w:jc w:val="center"/>
        </w:trPr>
        <w:tc>
          <w:tcPr>
            <w:tcW w:w="2376" w:type="dxa"/>
            <w:vAlign w:val="center"/>
          </w:tcPr>
          <w:p>
            <w:pPr>
              <w:keepLines w:val="0"/>
              <w:snapToGrid w:val="0"/>
              <w:spacing w:before="120" w:beforeLines="50" w:after="120" w:afterLines="50"/>
              <w:jc w:val="center"/>
              <w:rPr>
                <w:rFonts w:ascii="Times New Roman" w:hAnsi="Times New Roman" w:cs="Times New Roman"/>
                <w:color w:val="auto"/>
                <w:highlight w:val="none"/>
                <w:lang w:eastAsia="zh-CN"/>
              </w:rPr>
            </w:pPr>
            <w:r>
              <w:rPr>
                <w:rFonts w:hint="eastAsia" w:ascii="Times New Roman" w:hAnsi="Times New Roman" w:cs="Times New Roman"/>
                <w:color w:val="auto"/>
                <w:highlight w:val="none"/>
                <w:lang w:eastAsia="zh-CN"/>
              </w:rPr>
              <w:t>年</w:t>
            </w:r>
            <w:r>
              <w:rPr>
                <w:rFonts w:ascii="Times New Roman" w:hAnsi="Times New Roman" w:cs="Times New Roman"/>
                <w:color w:val="auto"/>
                <w:highlight w:val="none"/>
                <w:lang w:eastAsia="zh-CN"/>
              </w:rPr>
              <w:t xml:space="preserve">  </w:t>
            </w:r>
            <w:r>
              <w:rPr>
                <w:rFonts w:hint="eastAsia" w:ascii="Times New Roman" w:hAnsi="Times New Roman" w:cs="Times New Roman"/>
                <w:color w:val="auto"/>
                <w:highlight w:val="none"/>
                <w:lang w:eastAsia="zh-CN"/>
              </w:rPr>
              <w:t>龄</w:t>
            </w:r>
          </w:p>
        </w:tc>
        <w:tc>
          <w:tcPr>
            <w:tcW w:w="2024" w:type="dxa"/>
            <w:gridSpan w:val="2"/>
            <w:vAlign w:val="center"/>
          </w:tcPr>
          <w:p>
            <w:pPr>
              <w:keepLines w:val="0"/>
              <w:snapToGrid w:val="0"/>
              <w:spacing w:before="120" w:beforeLines="50" w:after="120" w:afterLines="50"/>
              <w:jc w:val="center"/>
              <w:rPr>
                <w:rFonts w:ascii="Times New Roman" w:hAnsi="Times New Roman" w:cs="Times New Roman"/>
                <w:color w:val="auto"/>
                <w:highlight w:val="none"/>
                <w:lang w:eastAsia="zh-CN"/>
              </w:rPr>
            </w:pPr>
          </w:p>
        </w:tc>
        <w:tc>
          <w:tcPr>
            <w:tcW w:w="2043" w:type="dxa"/>
            <w:gridSpan w:val="2"/>
            <w:vAlign w:val="center"/>
          </w:tcPr>
          <w:p>
            <w:pPr>
              <w:keepLines w:val="0"/>
              <w:snapToGrid w:val="0"/>
              <w:spacing w:before="120" w:beforeLines="50" w:after="120" w:afterLines="50"/>
              <w:jc w:val="center"/>
              <w:rPr>
                <w:rFonts w:ascii="Times New Roman" w:hAnsi="Times New Roman" w:cs="Times New Roman"/>
                <w:color w:val="auto"/>
                <w:highlight w:val="none"/>
                <w:lang w:eastAsia="zh-CN"/>
              </w:rPr>
            </w:pPr>
            <w:r>
              <w:rPr>
                <w:rFonts w:hint="eastAsia" w:ascii="Times New Roman" w:hAnsi="Times New Roman" w:cs="Times New Roman"/>
                <w:color w:val="auto"/>
                <w:highlight w:val="none"/>
                <w:lang w:eastAsia="zh-CN"/>
              </w:rPr>
              <w:t>毕业学校和时间</w:t>
            </w:r>
          </w:p>
        </w:tc>
        <w:tc>
          <w:tcPr>
            <w:tcW w:w="2312" w:type="dxa"/>
            <w:gridSpan w:val="2"/>
            <w:vAlign w:val="center"/>
          </w:tcPr>
          <w:p>
            <w:pPr>
              <w:keepLines w:val="0"/>
              <w:snapToGrid w:val="0"/>
              <w:spacing w:before="120" w:beforeLines="50" w:after="120" w:afterLines="50"/>
              <w:jc w:val="center"/>
              <w:rPr>
                <w:rFonts w:ascii="Times New Roman" w:hAnsi="Times New Roman" w:cs="Times New Roman"/>
                <w:color w:val="auto"/>
                <w:highlight w:val="none"/>
                <w:lang w:eastAsia="zh-CN"/>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18" w:hRule="atLeast"/>
          <w:jc w:val="center"/>
        </w:trPr>
        <w:tc>
          <w:tcPr>
            <w:tcW w:w="2376" w:type="dxa"/>
            <w:vAlign w:val="center"/>
          </w:tcPr>
          <w:p>
            <w:pPr>
              <w:keepLines w:val="0"/>
              <w:snapToGrid w:val="0"/>
              <w:spacing w:before="120" w:beforeLines="50" w:after="120" w:afterLines="50"/>
              <w:jc w:val="center"/>
              <w:rPr>
                <w:rFonts w:ascii="Times New Roman" w:hAnsi="Times New Roman" w:cs="Times New Roman"/>
                <w:color w:val="auto"/>
                <w:highlight w:val="none"/>
                <w:lang w:eastAsia="zh-CN"/>
              </w:rPr>
            </w:pPr>
            <w:r>
              <w:rPr>
                <w:rFonts w:hint="eastAsia" w:ascii="Times New Roman" w:hAnsi="Times New Roman" w:cs="Times New Roman"/>
                <w:color w:val="auto"/>
                <w:highlight w:val="none"/>
                <w:lang w:eastAsia="zh-CN"/>
              </w:rPr>
              <w:t>注册建造师证书编号</w:t>
            </w:r>
          </w:p>
        </w:tc>
        <w:tc>
          <w:tcPr>
            <w:tcW w:w="2024" w:type="dxa"/>
            <w:gridSpan w:val="2"/>
            <w:vAlign w:val="center"/>
          </w:tcPr>
          <w:p>
            <w:pPr>
              <w:keepLines w:val="0"/>
              <w:snapToGrid w:val="0"/>
              <w:spacing w:before="120" w:beforeLines="50" w:after="120" w:afterLines="50"/>
              <w:jc w:val="center"/>
              <w:rPr>
                <w:rFonts w:ascii="Times New Roman" w:hAnsi="Times New Roman" w:cs="Times New Roman"/>
                <w:color w:val="auto"/>
                <w:highlight w:val="none"/>
                <w:lang w:eastAsia="zh-CN"/>
              </w:rPr>
            </w:pPr>
          </w:p>
        </w:tc>
        <w:tc>
          <w:tcPr>
            <w:tcW w:w="2043" w:type="dxa"/>
            <w:gridSpan w:val="2"/>
            <w:vAlign w:val="center"/>
          </w:tcPr>
          <w:p>
            <w:pPr>
              <w:keepLines w:val="0"/>
              <w:snapToGrid w:val="0"/>
              <w:spacing w:before="120" w:beforeLines="50" w:after="120" w:afterLines="50"/>
              <w:jc w:val="center"/>
              <w:rPr>
                <w:rFonts w:ascii="Times New Roman" w:hAnsi="Times New Roman" w:cs="Times New Roman"/>
                <w:color w:val="auto"/>
                <w:highlight w:val="none"/>
                <w:lang w:eastAsia="zh-CN"/>
              </w:rPr>
            </w:pPr>
            <w:r>
              <w:rPr>
                <w:rFonts w:hint="eastAsia" w:ascii="Times New Roman" w:hAnsi="Times New Roman" w:cs="Times New Roman"/>
                <w:color w:val="auto"/>
                <w:highlight w:val="none"/>
                <w:lang w:eastAsia="zh-CN"/>
              </w:rPr>
              <w:t>职</w:t>
            </w:r>
            <w:r>
              <w:rPr>
                <w:rFonts w:ascii="Times New Roman" w:hAnsi="Times New Roman" w:cs="Times New Roman"/>
                <w:color w:val="auto"/>
                <w:highlight w:val="none"/>
                <w:lang w:eastAsia="zh-CN"/>
              </w:rPr>
              <w:t xml:space="preserve">  </w:t>
            </w:r>
            <w:r>
              <w:rPr>
                <w:rFonts w:hint="eastAsia" w:ascii="Times New Roman" w:hAnsi="Times New Roman" w:cs="Times New Roman"/>
                <w:color w:val="auto"/>
                <w:highlight w:val="none"/>
                <w:lang w:eastAsia="zh-CN"/>
              </w:rPr>
              <w:t>称</w:t>
            </w:r>
          </w:p>
        </w:tc>
        <w:tc>
          <w:tcPr>
            <w:tcW w:w="2312" w:type="dxa"/>
            <w:gridSpan w:val="2"/>
            <w:vAlign w:val="center"/>
          </w:tcPr>
          <w:p>
            <w:pPr>
              <w:keepLines w:val="0"/>
              <w:snapToGrid w:val="0"/>
              <w:spacing w:before="120" w:beforeLines="50" w:after="120" w:afterLines="50"/>
              <w:jc w:val="center"/>
              <w:rPr>
                <w:rFonts w:ascii="Times New Roman" w:hAnsi="Times New Roman" w:cs="Times New Roman"/>
                <w:color w:val="auto"/>
                <w:highlight w:val="none"/>
                <w:lang w:eastAsia="zh-CN"/>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38" w:hRule="atLeast"/>
          <w:jc w:val="center"/>
        </w:trPr>
        <w:tc>
          <w:tcPr>
            <w:tcW w:w="2376" w:type="dxa"/>
            <w:vAlign w:val="center"/>
          </w:tcPr>
          <w:p>
            <w:pPr>
              <w:keepLines w:val="0"/>
              <w:snapToGrid w:val="0"/>
              <w:spacing w:before="120" w:beforeLines="50" w:after="120" w:afterLines="50"/>
              <w:jc w:val="center"/>
              <w:rPr>
                <w:rFonts w:ascii="Times New Roman" w:hAnsi="Times New Roman" w:cs="Times New Roman"/>
                <w:color w:val="auto"/>
                <w:highlight w:val="none"/>
                <w:lang w:eastAsia="zh-CN"/>
              </w:rPr>
            </w:pPr>
            <w:r>
              <w:rPr>
                <w:rFonts w:hint="eastAsia" w:ascii="Times New Roman" w:hAnsi="Times New Roman" w:cs="Times New Roman"/>
                <w:color w:val="auto"/>
                <w:highlight w:val="none"/>
                <w:lang w:eastAsia="zh-CN"/>
              </w:rPr>
              <w:t>工作年限</w:t>
            </w:r>
          </w:p>
        </w:tc>
        <w:tc>
          <w:tcPr>
            <w:tcW w:w="2024" w:type="dxa"/>
            <w:gridSpan w:val="2"/>
            <w:vAlign w:val="center"/>
          </w:tcPr>
          <w:p>
            <w:pPr>
              <w:keepLines w:val="0"/>
              <w:snapToGrid w:val="0"/>
              <w:spacing w:before="120" w:beforeLines="50" w:after="120" w:afterLines="50"/>
              <w:jc w:val="center"/>
              <w:rPr>
                <w:rFonts w:ascii="Times New Roman" w:hAnsi="Times New Roman" w:cs="Times New Roman"/>
                <w:color w:val="auto"/>
                <w:highlight w:val="none"/>
                <w:lang w:eastAsia="zh-CN"/>
              </w:rPr>
            </w:pPr>
          </w:p>
        </w:tc>
        <w:tc>
          <w:tcPr>
            <w:tcW w:w="2043" w:type="dxa"/>
            <w:gridSpan w:val="2"/>
            <w:vAlign w:val="center"/>
          </w:tcPr>
          <w:p>
            <w:pPr>
              <w:keepLines w:val="0"/>
              <w:snapToGrid w:val="0"/>
              <w:spacing w:before="120" w:beforeLines="50" w:after="120" w:afterLines="50"/>
              <w:jc w:val="center"/>
              <w:rPr>
                <w:rFonts w:ascii="Times New Roman" w:hAnsi="Times New Roman" w:cs="Times New Roman"/>
                <w:color w:val="auto"/>
                <w:highlight w:val="none"/>
                <w:lang w:eastAsia="zh-CN"/>
              </w:rPr>
            </w:pPr>
            <w:r>
              <w:rPr>
                <w:rFonts w:hint="eastAsia" w:ascii="Times New Roman" w:hAnsi="Times New Roman" w:cs="Times New Roman"/>
                <w:color w:val="auto"/>
                <w:highlight w:val="none"/>
                <w:lang w:eastAsia="zh-CN"/>
              </w:rPr>
              <w:t>职称证书编号</w:t>
            </w:r>
          </w:p>
        </w:tc>
        <w:tc>
          <w:tcPr>
            <w:tcW w:w="2312" w:type="dxa"/>
            <w:gridSpan w:val="2"/>
            <w:vAlign w:val="center"/>
          </w:tcPr>
          <w:p>
            <w:pPr>
              <w:keepLines w:val="0"/>
              <w:snapToGrid w:val="0"/>
              <w:spacing w:before="120" w:beforeLines="50" w:after="120" w:afterLines="50"/>
              <w:jc w:val="center"/>
              <w:rPr>
                <w:rFonts w:ascii="Times New Roman" w:hAnsi="Times New Roman" w:cs="Times New Roman"/>
                <w:color w:val="auto"/>
                <w:highlight w:val="none"/>
                <w:lang w:eastAsia="zh-CN"/>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638" w:hRule="atLeast"/>
          <w:jc w:val="center"/>
        </w:trPr>
        <w:tc>
          <w:tcPr>
            <w:tcW w:w="8755" w:type="dxa"/>
            <w:gridSpan w:val="7"/>
            <w:vAlign w:val="center"/>
          </w:tcPr>
          <w:p>
            <w:pPr>
              <w:keepLines w:val="0"/>
              <w:snapToGrid w:val="0"/>
              <w:spacing w:before="120" w:beforeLines="50" w:after="120" w:afterLines="50"/>
              <w:jc w:val="center"/>
              <w:rPr>
                <w:rFonts w:ascii="Times New Roman" w:hAnsi="Times New Roman" w:cs="Times New Roman"/>
                <w:color w:val="auto"/>
                <w:highlight w:val="none"/>
                <w:lang w:eastAsia="zh-CN"/>
              </w:rPr>
            </w:pPr>
            <w:r>
              <w:rPr>
                <w:rFonts w:hint="eastAsia" w:ascii="Times New Roman" w:hAnsi="Times New Roman" w:cs="Times New Roman"/>
                <w:color w:val="auto"/>
                <w:highlight w:val="none"/>
                <w:lang w:eastAsia="zh-CN"/>
              </w:rPr>
              <w:t>工作业绩</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029" w:hRule="atLeast"/>
          <w:jc w:val="center"/>
        </w:trPr>
        <w:tc>
          <w:tcPr>
            <w:tcW w:w="2376" w:type="dxa"/>
            <w:vAlign w:val="center"/>
          </w:tcPr>
          <w:p>
            <w:pPr>
              <w:keepLines w:val="0"/>
              <w:snapToGrid w:val="0"/>
              <w:spacing w:before="120" w:beforeLines="50" w:after="120" w:afterLines="50"/>
              <w:jc w:val="center"/>
              <w:rPr>
                <w:rFonts w:ascii="Times New Roman" w:hAnsi="Times New Roman" w:cs="Times New Roman"/>
                <w:color w:val="auto"/>
                <w:highlight w:val="none"/>
                <w:lang w:eastAsia="zh-CN"/>
              </w:rPr>
            </w:pPr>
            <w:r>
              <w:rPr>
                <w:rFonts w:hint="eastAsia" w:ascii="Times New Roman" w:hAnsi="Times New Roman" w:cs="Times New Roman"/>
                <w:color w:val="auto"/>
                <w:highlight w:val="none"/>
                <w:lang w:eastAsia="zh-CN"/>
              </w:rPr>
              <w:t>项目名称</w:t>
            </w:r>
          </w:p>
        </w:tc>
        <w:tc>
          <w:tcPr>
            <w:tcW w:w="1499" w:type="dxa"/>
            <w:vAlign w:val="center"/>
          </w:tcPr>
          <w:p>
            <w:pPr>
              <w:keepLines w:val="0"/>
              <w:snapToGrid w:val="0"/>
              <w:spacing w:before="120" w:beforeLines="50" w:after="120" w:afterLines="50"/>
              <w:jc w:val="center"/>
              <w:rPr>
                <w:rFonts w:ascii="Times New Roman" w:hAnsi="Times New Roman" w:cs="Times New Roman"/>
                <w:color w:val="auto"/>
                <w:highlight w:val="none"/>
                <w:lang w:eastAsia="zh-CN"/>
              </w:rPr>
            </w:pPr>
            <w:r>
              <w:rPr>
                <w:rFonts w:hint="eastAsia" w:ascii="Times New Roman" w:hAnsi="Times New Roman" w:cs="Times New Roman"/>
                <w:color w:val="auto"/>
                <w:highlight w:val="none"/>
                <w:lang w:eastAsia="zh-CN"/>
              </w:rPr>
              <w:t>建筑类型规模</w:t>
            </w:r>
          </w:p>
        </w:tc>
        <w:tc>
          <w:tcPr>
            <w:tcW w:w="1344" w:type="dxa"/>
            <w:gridSpan w:val="2"/>
            <w:vAlign w:val="center"/>
          </w:tcPr>
          <w:p>
            <w:pPr>
              <w:keepLines w:val="0"/>
              <w:snapToGrid w:val="0"/>
              <w:spacing w:before="120" w:beforeLines="50" w:after="120" w:afterLines="50"/>
              <w:jc w:val="center"/>
              <w:rPr>
                <w:rFonts w:ascii="Times New Roman" w:hAnsi="Times New Roman" w:cs="Times New Roman"/>
                <w:color w:val="auto"/>
                <w:highlight w:val="none"/>
                <w:lang w:eastAsia="zh-CN"/>
              </w:rPr>
            </w:pPr>
            <w:r>
              <w:rPr>
                <w:rFonts w:hint="eastAsia" w:ascii="Times New Roman" w:hAnsi="Times New Roman" w:cs="Times New Roman"/>
                <w:color w:val="auto"/>
                <w:highlight w:val="none"/>
                <w:lang w:eastAsia="zh-CN"/>
              </w:rPr>
              <w:t>开、竣工日期</w:t>
            </w:r>
          </w:p>
        </w:tc>
        <w:tc>
          <w:tcPr>
            <w:tcW w:w="1224" w:type="dxa"/>
            <w:vAlign w:val="center"/>
          </w:tcPr>
          <w:p>
            <w:pPr>
              <w:keepLines w:val="0"/>
              <w:snapToGrid w:val="0"/>
              <w:spacing w:before="120" w:beforeLines="50" w:after="120" w:afterLines="50"/>
              <w:jc w:val="center"/>
              <w:rPr>
                <w:rFonts w:ascii="Times New Roman" w:hAnsi="Times New Roman" w:cs="Times New Roman"/>
                <w:color w:val="auto"/>
                <w:highlight w:val="none"/>
                <w:lang w:eastAsia="zh-CN"/>
              </w:rPr>
            </w:pPr>
            <w:r>
              <w:rPr>
                <w:rFonts w:hint="eastAsia" w:ascii="Times New Roman" w:hAnsi="Times New Roman" w:cs="Times New Roman"/>
                <w:color w:val="auto"/>
                <w:highlight w:val="none"/>
                <w:lang w:eastAsia="zh-CN"/>
              </w:rPr>
              <w:t>获奖</w:t>
            </w:r>
          </w:p>
          <w:p>
            <w:pPr>
              <w:keepLines w:val="0"/>
              <w:snapToGrid w:val="0"/>
              <w:spacing w:before="120" w:beforeLines="50" w:after="120" w:afterLines="50"/>
              <w:jc w:val="center"/>
              <w:rPr>
                <w:rFonts w:ascii="Times New Roman" w:hAnsi="Times New Roman" w:cs="Times New Roman"/>
                <w:color w:val="auto"/>
                <w:highlight w:val="none"/>
                <w:lang w:eastAsia="zh-CN"/>
              </w:rPr>
            </w:pPr>
            <w:r>
              <w:rPr>
                <w:rFonts w:hint="eastAsia" w:ascii="Times New Roman" w:hAnsi="Times New Roman" w:cs="Times New Roman"/>
                <w:color w:val="auto"/>
                <w:highlight w:val="none"/>
                <w:lang w:eastAsia="zh-CN"/>
              </w:rPr>
              <w:t>情况</w:t>
            </w:r>
          </w:p>
        </w:tc>
        <w:tc>
          <w:tcPr>
            <w:tcW w:w="1319" w:type="dxa"/>
            <w:vAlign w:val="center"/>
          </w:tcPr>
          <w:p>
            <w:pPr>
              <w:keepLines w:val="0"/>
              <w:snapToGrid w:val="0"/>
              <w:spacing w:before="120" w:beforeLines="50" w:after="120" w:afterLines="50"/>
              <w:jc w:val="center"/>
              <w:rPr>
                <w:rFonts w:ascii="Times New Roman" w:hAnsi="Times New Roman" w:cs="Times New Roman"/>
                <w:color w:val="auto"/>
                <w:highlight w:val="none"/>
                <w:lang w:eastAsia="zh-CN"/>
              </w:rPr>
            </w:pPr>
            <w:r>
              <w:rPr>
                <w:rFonts w:hint="eastAsia" w:ascii="Times New Roman" w:hAnsi="Times New Roman" w:cs="Times New Roman"/>
                <w:color w:val="auto"/>
                <w:highlight w:val="none"/>
                <w:lang w:eastAsia="zh-CN"/>
              </w:rPr>
              <w:t>担任</w:t>
            </w:r>
          </w:p>
          <w:p>
            <w:pPr>
              <w:keepLines w:val="0"/>
              <w:snapToGrid w:val="0"/>
              <w:spacing w:before="120" w:beforeLines="50" w:after="120" w:afterLines="50"/>
              <w:jc w:val="center"/>
              <w:rPr>
                <w:rFonts w:ascii="Times New Roman" w:hAnsi="Times New Roman" w:cs="Times New Roman"/>
                <w:color w:val="auto"/>
                <w:highlight w:val="none"/>
                <w:lang w:eastAsia="zh-CN"/>
              </w:rPr>
            </w:pPr>
            <w:r>
              <w:rPr>
                <w:rFonts w:hint="eastAsia" w:ascii="Times New Roman" w:hAnsi="Times New Roman" w:cs="Times New Roman"/>
                <w:color w:val="auto"/>
                <w:highlight w:val="none"/>
                <w:lang w:eastAsia="zh-CN"/>
              </w:rPr>
              <w:t>职务</w:t>
            </w:r>
          </w:p>
        </w:tc>
        <w:tc>
          <w:tcPr>
            <w:tcW w:w="993" w:type="dxa"/>
            <w:vAlign w:val="center"/>
          </w:tcPr>
          <w:p>
            <w:pPr>
              <w:keepLines w:val="0"/>
              <w:snapToGrid w:val="0"/>
              <w:spacing w:before="120" w:beforeLines="50" w:after="120" w:afterLines="50"/>
              <w:jc w:val="center"/>
              <w:rPr>
                <w:rFonts w:ascii="Times New Roman" w:hAnsi="Times New Roman" w:cs="Times New Roman"/>
                <w:color w:val="auto"/>
                <w:highlight w:val="none"/>
                <w:lang w:eastAsia="zh-CN"/>
              </w:rPr>
            </w:pPr>
            <w:r>
              <w:rPr>
                <w:rFonts w:hint="eastAsia" w:ascii="Times New Roman" w:hAnsi="Times New Roman" w:cs="Times New Roman"/>
                <w:color w:val="auto"/>
                <w:highlight w:val="none"/>
                <w:lang w:eastAsia="zh-CN"/>
              </w:rPr>
              <w:t>项目工作期限</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40" w:hRule="atLeast"/>
          <w:jc w:val="center"/>
        </w:trPr>
        <w:tc>
          <w:tcPr>
            <w:tcW w:w="2376" w:type="dxa"/>
            <w:vAlign w:val="center"/>
          </w:tcPr>
          <w:p>
            <w:pPr>
              <w:keepLines w:val="0"/>
              <w:snapToGrid w:val="0"/>
              <w:spacing w:before="120" w:beforeLines="50" w:after="120" w:afterLines="50"/>
              <w:jc w:val="center"/>
              <w:rPr>
                <w:rFonts w:ascii="Times New Roman" w:hAnsi="Times New Roman" w:cs="Times New Roman"/>
                <w:color w:val="auto"/>
                <w:highlight w:val="none"/>
                <w:lang w:eastAsia="zh-CN"/>
              </w:rPr>
            </w:pPr>
          </w:p>
        </w:tc>
        <w:tc>
          <w:tcPr>
            <w:tcW w:w="1499" w:type="dxa"/>
            <w:vAlign w:val="center"/>
          </w:tcPr>
          <w:p>
            <w:pPr>
              <w:keepLines w:val="0"/>
              <w:snapToGrid w:val="0"/>
              <w:spacing w:before="120" w:beforeLines="50" w:after="120" w:afterLines="50"/>
              <w:jc w:val="center"/>
              <w:rPr>
                <w:rFonts w:ascii="Times New Roman" w:hAnsi="Times New Roman" w:cs="Times New Roman"/>
                <w:color w:val="auto"/>
                <w:highlight w:val="none"/>
                <w:lang w:eastAsia="zh-CN"/>
              </w:rPr>
            </w:pPr>
          </w:p>
        </w:tc>
        <w:tc>
          <w:tcPr>
            <w:tcW w:w="1344" w:type="dxa"/>
            <w:gridSpan w:val="2"/>
            <w:vAlign w:val="center"/>
          </w:tcPr>
          <w:p>
            <w:pPr>
              <w:keepLines w:val="0"/>
              <w:snapToGrid w:val="0"/>
              <w:spacing w:before="120" w:beforeLines="50" w:after="120" w:afterLines="50"/>
              <w:jc w:val="center"/>
              <w:rPr>
                <w:rFonts w:ascii="Times New Roman" w:hAnsi="Times New Roman" w:cs="Times New Roman"/>
                <w:color w:val="auto"/>
                <w:highlight w:val="none"/>
                <w:lang w:eastAsia="zh-CN"/>
              </w:rPr>
            </w:pPr>
          </w:p>
        </w:tc>
        <w:tc>
          <w:tcPr>
            <w:tcW w:w="1224" w:type="dxa"/>
            <w:vAlign w:val="center"/>
          </w:tcPr>
          <w:p>
            <w:pPr>
              <w:keepLines w:val="0"/>
              <w:snapToGrid w:val="0"/>
              <w:spacing w:before="120" w:beforeLines="50" w:after="120" w:afterLines="50"/>
              <w:jc w:val="center"/>
              <w:rPr>
                <w:rFonts w:ascii="Times New Roman" w:hAnsi="Times New Roman" w:cs="Times New Roman"/>
                <w:color w:val="auto"/>
                <w:highlight w:val="none"/>
                <w:lang w:eastAsia="zh-CN"/>
              </w:rPr>
            </w:pPr>
          </w:p>
        </w:tc>
        <w:tc>
          <w:tcPr>
            <w:tcW w:w="1319" w:type="dxa"/>
            <w:vAlign w:val="center"/>
          </w:tcPr>
          <w:p>
            <w:pPr>
              <w:keepLines w:val="0"/>
              <w:snapToGrid w:val="0"/>
              <w:spacing w:before="120" w:beforeLines="50" w:after="120" w:afterLines="50"/>
              <w:jc w:val="center"/>
              <w:rPr>
                <w:rFonts w:ascii="Times New Roman" w:hAnsi="Times New Roman" w:cs="Times New Roman"/>
                <w:color w:val="auto"/>
                <w:highlight w:val="none"/>
                <w:lang w:eastAsia="zh-CN"/>
              </w:rPr>
            </w:pPr>
          </w:p>
        </w:tc>
        <w:tc>
          <w:tcPr>
            <w:tcW w:w="993" w:type="dxa"/>
            <w:vAlign w:val="center"/>
          </w:tcPr>
          <w:p>
            <w:pPr>
              <w:keepLines w:val="0"/>
              <w:snapToGrid w:val="0"/>
              <w:spacing w:before="120" w:beforeLines="50" w:after="120" w:afterLines="50"/>
              <w:jc w:val="center"/>
              <w:rPr>
                <w:rFonts w:ascii="Times New Roman" w:hAnsi="Times New Roman" w:cs="Times New Roman"/>
                <w:color w:val="auto"/>
                <w:highlight w:val="none"/>
                <w:lang w:eastAsia="zh-CN"/>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2376" w:type="dxa"/>
            <w:vAlign w:val="center"/>
          </w:tcPr>
          <w:p>
            <w:pPr>
              <w:keepLines w:val="0"/>
              <w:snapToGrid w:val="0"/>
              <w:spacing w:before="120" w:beforeLines="50" w:after="120" w:afterLines="50"/>
              <w:jc w:val="center"/>
              <w:rPr>
                <w:rFonts w:ascii="Times New Roman" w:hAnsi="Times New Roman" w:cs="Times New Roman"/>
                <w:color w:val="auto"/>
                <w:highlight w:val="none"/>
                <w:lang w:eastAsia="zh-CN"/>
              </w:rPr>
            </w:pPr>
          </w:p>
        </w:tc>
        <w:tc>
          <w:tcPr>
            <w:tcW w:w="1499" w:type="dxa"/>
            <w:vAlign w:val="center"/>
          </w:tcPr>
          <w:p>
            <w:pPr>
              <w:keepLines w:val="0"/>
              <w:snapToGrid w:val="0"/>
              <w:spacing w:before="120" w:beforeLines="50" w:after="120" w:afterLines="50"/>
              <w:jc w:val="center"/>
              <w:rPr>
                <w:rFonts w:ascii="Times New Roman" w:hAnsi="Times New Roman" w:cs="Times New Roman"/>
                <w:color w:val="auto"/>
                <w:highlight w:val="none"/>
                <w:lang w:eastAsia="zh-CN"/>
              </w:rPr>
            </w:pPr>
          </w:p>
        </w:tc>
        <w:tc>
          <w:tcPr>
            <w:tcW w:w="1344" w:type="dxa"/>
            <w:gridSpan w:val="2"/>
            <w:vAlign w:val="center"/>
          </w:tcPr>
          <w:p>
            <w:pPr>
              <w:keepLines w:val="0"/>
              <w:snapToGrid w:val="0"/>
              <w:spacing w:before="120" w:beforeLines="50" w:after="120" w:afterLines="50"/>
              <w:jc w:val="center"/>
              <w:rPr>
                <w:rFonts w:ascii="Times New Roman" w:hAnsi="Times New Roman" w:cs="Times New Roman"/>
                <w:color w:val="auto"/>
                <w:highlight w:val="none"/>
                <w:lang w:eastAsia="zh-CN"/>
              </w:rPr>
            </w:pPr>
          </w:p>
        </w:tc>
        <w:tc>
          <w:tcPr>
            <w:tcW w:w="1224" w:type="dxa"/>
            <w:vAlign w:val="center"/>
          </w:tcPr>
          <w:p>
            <w:pPr>
              <w:keepLines w:val="0"/>
              <w:snapToGrid w:val="0"/>
              <w:spacing w:before="120" w:beforeLines="50" w:after="120" w:afterLines="50"/>
              <w:jc w:val="center"/>
              <w:rPr>
                <w:rFonts w:ascii="Times New Roman" w:hAnsi="Times New Roman" w:cs="Times New Roman"/>
                <w:color w:val="auto"/>
                <w:highlight w:val="none"/>
                <w:lang w:eastAsia="zh-CN"/>
              </w:rPr>
            </w:pPr>
          </w:p>
        </w:tc>
        <w:tc>
          <w:tcPr>
            <w:tcW w:w="1319" w:type="dxa"/>
            <w:vAlign w:val="center"/>
          </w:tcPr>
          <w:p>
            <w:pPr>
              <w:keepLines w:val="0"/>
              <w:snapToGrid w:val="0"/>
              <w:spacing w:before="120" w:beforeLines="50" w:after="120" w:afterLines="50"/>
              <w:jc w:val="center"/>
              <w:rPr>
                <w:rFonts w:ascii="Times New Roman" w:hAnsi="Times New Roman" w:cs="Times New Roman"/>
                <w:color w:val="auto"/>
                <w:highlight w:val="none"/>
                <w:lang w:eastAsia="zh-CN"/>
              </w:rPr>
            </w:pPr>
          </w:p>
        </w:tc>
        <w:tc>
          <w:tcPr>
            <w:tcW w:w="993" w:type="dxa"/>
            <w:vAlign w:val="center"/>
          </w:tcPr>
          <w:p>
            <w:pPr>
              <w:keepLines w:val="0"/>
              <w:snapToGrid w:val="0"/>
              <w:spacing w:before="120" w:beforeLines="50" w:after="120" w:afterLines="50"/>
              <w:jc w:val="center"/>
              <w:rPr>
                <w:rFonts w:ascii="Times New Roman" w:hAnsi="Times New Roman" w:cs="Times New Roman"/>
                <w:color w:val="auto"/>
                <w:highlight w:val="none"/>
                <w:lang w:eastAsia="zh-CN"/>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04" w:hRule="atLeast"/>
          <w:jc w:val="center"/>
        </w:trPr>
        <w:tc>
          <w:tcPr>
            <w:tcW w:w="2376" w:type="dxa"/>
            <w:vAlign w:val="center"/>
          </w:tcPr>
          <w:p>
            <w:pPr>
              <w:keepLines w:val="0"/>
              <w:snapToGrid w:val="0"/>
              <w:spacing w:before="120" w:beforeLines="50" w:after="120" w:afterLines="50"/>
              <w:jc w:val="center"/>
              <w:rPr>
                <w:rFonts w:ascii="Times New Roman" w:hAnsi="Times New Roman" w:cs="Times New Roman"/>
                <w:color w:val="auto"/>
                <w:highlight w:val="none"/>
                <w:lang w:eastAsia="zh-CN"/>
              </w:rPr>
            </w:pPr>
          </w:p>
        </w:tc>
        <w:tc>
          <w:tcPr>
            <w:tcW w:w="1499" w:type="dxa"/>
            <w:vAlign w:val="center"/>
          </w:tcPr>
          <w:p>
            <w:pPr>
              <w:keepLines w:val="0"/>
              <w:snapToGrid w:val="0"/>
              <w:spacing w:before="120" w:beforeLines="50" w:after="120" w:afterLines="50"/>
              <w:jc w:val="center"/>
              <w:rPr>
                <w:rFonts w:ascii="Times New Roman" w:hAnsi="Times New Roman" w:cs="Times New Roman"/>
                <w:color w:val="auto"/>
                <w:highlight w:val="none"/>
                <w:lang w:eastAsia="zh-CN"/>
              </w:rPr>
            </w:pPr>
          </w:p>
        </w:tc>
        <w:tc>
          <w:tcPr>
            <w:tcW w:w="1344" w:type="dxa"/>
            <w:gridSpan w:val="2"/>
            <w:vAlign w:val="center"/>
          </w:tcPr>
          <w:p>
            <w:pPr>
              <w:keepLines w:val="0"/>
              <w:snapToGrid w:val="0"/>
              <w:spacing w:before="120" w:beforeLines="50" w:after="120" w:afterLines="50"/>
              <w:jc w:val="center"/>
              <w:rPr>
                <w:rFonts w:ascii="Times New Roman" w:hAnsi="Times New Roman" w:cs="Times New Roman"/>
                <w:color w:val="auto"/>
                <w:highlight w:val="none"/>
                <w:lang w:eastAsia="zh-CN"/>
              </w:rPr>
            </w:pPr>
          </w:p>
        </w:tc>
        <w:tc>
          <w:tcPr>
            <w:tcW w:w="1224" w:type="dxa"/>
            <w:vAlign w:val="center"/>
          </w:tcPr>
          <w:p>
            <w:pPr>
              <w:keepLines w:val="0"/>
              <w:snapToGrid w:val="0"/>
              <w:spacing w:before="120" w:beforeLines="50" w:after="120" w:afterLines="50"/>
              <w:jc w:val="center"/>
              <w:rPr>
                <w:rFonts w:ascii="Times New Roman" w:hAnsi="Times New Roman" w:cs="Times New Roman"/>
                <w:color w:val="auto"/>
                <w:highlight w:val="none"/>
                <w:lang w:eastAsia="zh-CN"/>
              </w:rPr>
            </w:pPr>
          </w:p>
        </w:tc>
        <w:tc>
          <w:tcPr>
            <w:tcW w:w="1319" w:type="dxa"/>
            <w:vAlign w:val="center"/>
          </w:tcPr>
          <w:p>
            <w:pPr>
              <w:keepLines w:val="0"/>
              <w:snapToGrid w:val="0"/>
              <w:spacing w:before="120" w:beforeLines="50" w:after="120" w:afterLines="50"/>
              <w:jc w:val="center"/>
              <w:rPr>
                <w:rFonts w:ascii="Times New Roman" w:hAnsi="Times New Roman" w:cs="Times New Roman"/>
                <w:color w:val="auto"/>
                <w:highlight w:val="none"/>
                <w:lang w:eastAsia="zh-CN"/>
              </w:rPr>
            </w:pPr>
          </w:p>
        </w:tc>
        <w:tc>
          <w:tcPr>
            <w:tcW w:w="993" w:type="dxa"/>
            <w:vAlign w:val="center"/>
          </w:tcPr>
          <w:p>
            <w:pPr>
              <w:keepLines w:val="0"/>
              <w:snapToGrid w:val="0"/>
              <w:spacing w:before="120" w:beforeLines="50" w:after="120" w:afterLines="50"/>
              <w:jc w:val="center"/>
              <w:rPr>
                <w:rFonts w:ascii="Times New Roman" w:hAnsi="Times New Roman" w:cs="Times New Roman"/>
                <w:color w:val="auto"/>
                <w:highlight w:val="none"/>
                <w:lang w:eastAsia="zh-CN"/>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04" w:hRule="atLeast"/>
          <w:jc w:val="center"/>
        </w:trPr>
        <w:tc>
          <w:tcPr>
            <w:tcW w:w="2376" w:type="dxa"/>
            <w:vAlign w:val="center"/>
          </w:tcPr>
          <w:p>
            <w:pPr>
              <w:keepLines w:val="0"/>
              <w:snapToGrid w:val="0"/>
              <w:spacing w:before="120" w:beforeLines="50" w:after="120" w:afterLines="50"/>
              <w:jc w:val="center"/>
              <w:rPr>
                <w:rFonts w:ascii="Times New Roman" w:hAnsi="Times New Roman" w:cs="Times New Roman"/>
                <w:color w:val="auto"/>
                <w:highlight w:val="none"/>
                <w:lang w:eastAsia="zh-CN"/>
              </w:rPr>
            </w:pPr>
          </w:p>
        </w:tc>
        <w:tc>
          <w:tcPr>
            <w:tcW w:w="1499" w:type="dxa"/>
            <w:vAlign w:val="center"/>
          </w:tcPr>
          <w:p>
            <w:pPr>
              <w:keepLines w:val="0"/>
              <w:snapToGrid w:val="0"/>
              <w:spacing w:before="120" w:beforeLines="50" w:after="120" w:afterLines="50"/>
              <w:jc w:val="center"/>
              <w:rPr>
                <w:rFonts w:ascii="Times New Roman" w:hAnsi="Times New Roman" w:cs="Times New Roman"/>
                <w:color w:val="auto"/>
                <w:highlight w:val="none"/>
                <w:lang w:eastAsia="zh-CN"/>
              </w:rPr>
            </w:pPr>
          </w:p>
        </w:tc>
        <w:tc>
          <w:tcPr>
            <w:tcW w:w="1344" w:type="dxa"/>
            <w:gridSpan w:val="2"/>
            <w:vAlign w:val="center"/>
          </w:tcPr>
          <w:p>
            <w:pPr>
              <w:keepLines w:val="0"/>
              <w:snapToGrid w:val="0"/>
              <w:spacing w:before="120" w:beforeLines="50" w:after="120" w:afterLines="50"/>
              <w:jc w:val="center"/>
              <w:rPr>
                <w:rFonts w:ascii="Times New Roman" w:hAnsi="Times New Roman" w:cs="Times New Roman"/>
                <w:color w:val="auto"/>
                <w:highlight w:val="none"/>
                <w:lang w:eastAsia="zh-CN"/>
              </w:rPr>
            </w:pPr>
          </w:p>
        </w:tc>
        <w:tc>
          <w:tcPr>
            <w:tcW w:w="1224" w:type="dxa"/>
            <w:vAlign w:val="center"/>
          </w:tcPr>
          <w:p>
            <w:pPr>
              <w:keepLines w:val="0"/>
              <w:snapToGrid w:val="0"/>
              <w:spacing w:before="120" w:beforeLines="50" w:after="120" w:afterLines="50"/>
              <w:jc w:val="center"/>
              <w:rPr>
                <w:rFonts w:ascii="Times New Roman" w:hAnsi="Times New Roman" w:cs="Times New Roman"/>
                <w:color w:val="auto"/>
                <w:highlight w:val="none"/>
                <w:lang w:eastAsia="zh-CN"/>
              </w:rPr>
            </w:pPr>
          </w:p>
        </w:tc>
        <w:tc>
          <w:tcPr>
            <w:tcW w:w="1319" w:type="dxa"/>
            <w:vAlign w:val="center"/>
          </w:tcPr>
          <w:p>
            <w:pPr>
              <w:keepLines w:val="0"/>
              <w:snapToGrid w:val="0"/>
              <w:spacing w:before="120" w:beforeLines="50" w:after="120" w:afterLines="50"/>
              <w:jc w:val="center"/>
              <w:rPr>
                <w:rFonts w:ascii="Times New Roman" w:hAnsi="Times New Roman" w:cs="Times New Roman"/>
                <w:color w:val="auto"/>
                <w:highlight w:val="none"/>
                <w:lang w:eastAsia="zh-CN"/>
              </w:rPr>
            </w:pPr>
          </w:p>
        </w:tc>
        <w:tc>
          <w:tcPr>
            <w:tcW w:w="993" w:type="dxa"/>
            <w:vAlign w:val="center"/>
          </w:tcPr>
          <w:p>
            <w:pPr>
              <w:keepLines w:val="0"/>
              <w:snapToGrid w:val="0"/>
              <w:spacing w:before="120" w:beforeLines="50" w:after="120" w:afterLines="50"/>
              <w:jc w:val="center"/>
              <w:rPr>
                <w:rFonts w:ascii="Times New Roman" w:hAnsi="Times New Roman" w:cs="Times New Roman"/>
                <w:color w:val="auto"/>
                <w:highlight w:val="none"/>
                <w:lang w:eastAsia="zh-CN"/>
              </w:rPr>
            </w:pPr>
          </w:p>
        </w:tc>
      </w:tr>
    </w:tbl>
    <w:p>
      <w:pPr>
        <w:snapToGrid w:val="0"/>
        <w:spacing w:after="120" w:afterLines="50"/>
        <w:ind w:left="971" w:right="110" w:firstLine="581"/>
        <w:jc w:val="right"/>
        <w:rPr>
          <w:rFonts w:ascii="Times New Roman" w:hAnsi="Times New Roman" w:cs="Times New Roman"/>
          <w:color w:val="auto"/>
          <w:highlight w:val="none"/>
          <w:lang w:eastAsia="zh-CN"/>
        </w:rPr>
      </w:pPr>
      <w:r>
        <w:rPr>
          <w:rFonts w:hint="eastAsia" w:ascii="Times New Roman" w:hAnsi="Times New Roman" w:cs="Times New Roman"/>
          <w:color w:val="auto"/>
          <w:highlight w:val="none"/>
          <w:lang w:eastAsia="zh-CN"/>
        </w:rPr>
        <w:t>年</w:t>
      </w:r>
      <w:r>
        <w:rPr>
          <w:rFonts w:ascii="Times New Roman" w:hAnsi="Times New Roman" w:cs="Times New Roman"/>
          <w:color w:val="auto"/>
          <w:highlight w:val="none"/>
          <w:lang w:eastAsia="zh-CN"/>
        </w:rPr>
        <w:t xml:space="preserve">     </w:t>
      </w:r>
      <w:r>
        <w:rPr>
          <w:rFonts w:hint="eastAsia" w:ascii="Times New Roman" w:hAnsi="Times New Roman" w:cs="Times New Roman"/>
          <w:color w:val="auto"/>
          <w:highlight w:val="none"/>
          <w:lang w:eastAsia="zh-CN"/>
        </w:rPr>
        <w:t>月</w:t>
      </w:r>
      <w:r>
        <w:rPr>
          <w:rFonts w:ascii="Times New Roman" w:hAnsi="Times New Roman" w:cs="Times New Roman"/>
          <w:color w:val="auto"/>
          <w:highlight w:val="none"/>
          <w:lang w:eastAsia="zh-CN"/>
        </w:rPr>
        <w:t xml:space="preserve">     </w:t>
      </w:r>
      <w:r>
        <w:rPr>
          <w:rFonts w:hint="eastAsia" w:ascii="Times New Roman" w:hAnsi="Times New Roman" w:cs="Times New Roman"/>
          <w:color w:val="auto"/>
          <w:highlight w:val="none"/>
          <w:lang w:eastAsia="zh-CN"/>
        </w:rPr>
        <w:t>日</w:t>
      </w:r>
      <w:r>
        <w:rPr>
          <w:rFonts w:ascii="Times New Roman" w:hAnsi="Times New Roman" w:cs="Times New Roman"/>
          <w:color w:val="auto"/>
          <w:highlight w:val="none"/>
          <w:lang w:eastAsia="zh-CN"/>
        </w:rPr>
        <w:t xml:space="preserve">   (</w:t>
      </w:r>
      <w:r>
        <w:rPr>
          <w:rFonts w:hint="eastAsia" w:ascii="Times New Roman" w:hAnsi="Times New Roman" w:cs="Times New Roman"/>
          <w:color w:val="auto"/>
          <w:highlight w:val="none"/>
          <w:lang w:eastAsia="zh-CN"/>
        </w:rPr>
        <w:t>盖章</w:t>
      </w:r>
      <w:r>
        <w:rPr>
          <w:rFonts w:ascii="Times New Roman" w:hAnsi="Times New Roman" w:cs="Times New Roman"/>
          <w:color w:val="auto"/>
          <w:highlight w:val="none"/>
          <w:lang w:eastAsia="zh-CN"/>
        </w:rPr>
        <w:t>)</w:t>
      </w:r>
    </w:p>
    <w:p>
      <w:pPr>
        <w:pStyle w:val="8"/>
        <w:numPr>
          <w:ilvl w:val="0"/>
          <w:numId w:val="0"/>
        </w:numPr>
        <w:ind w:left="1044"/>
        <w:rPr>
          <w:color w:val="auto"/>
          <w:highlight w:val="none"/>
        </w:rPr>
      </w:pPr>
      <w:r>
        <w:rPr>
          <w:rFonts w:hint="eastAsia"/>
          <w:color w:val="auto"/>
          <w:highlight w:val="none"/>
        </w:rPr>
        <w:t>注</w:t>
      </w:r>
      <w:r>
        <w:rPr>
          <w:color w:val="auto"/>
          <w:highlight w:val="none"/>
        </w:rPr>
        <w:t>:</w:t>
      </w:r>
    </w:p>
    <w:p>
      <w:pPr>
        <w:pStyle w:val="8"/>
        <w:numPr>
          <w:ilvl w:val="0"/>
          <w:numId w:val="28"/>
        </w:numPr>
        <w:rPr>
          <w:color w:val="auto"/>
          <w:highlight w:val="none"/>
        </w:rPr>
      </w:pPr>
      <w:r>
        <w:rPr>
          <w:rFonts w:hint="eastAsia"/>
          <w:color w:val="auto"/>
          <w:highlight w:val="none"/>
        </w:rPr>
        <w:t>本表格不足够填写时可自制表格补充。</w:t>
      </w:r>
    </w:p>
    <w:p>
      <w:pPr>
        <w:pStyle w:val="8"/>
        <w:numPr>
          <w:ilvl w:val="0"/>
          <w:numId w:val="28"/>
        </w:numPr>
        <w:rPr>
          <w:color w:val="auto"/>
          <w:highlight w:val="none"/>
        </w:rPr>
      </w:pPr>
      <w:r>
        <w:rPr>
          <w:rFonts w:hint="eastAsia"/>
          <w:color w:val="auto"/>
          <w:highlight w:val="none"/>
        </w:rPr>
        <w:t>须提供职称、注册建造师、劳动合同、社保证明等相关证书复印件。</w:t>
      </w:r>
    </w:p>
    <w:p>
      <w:pPr>
        <w:pStyle w:val="8"/>
        <w:numPr>
          <w:ilvl w:val="0"/>
          <w:numId w:val="28"/>
        </w:numPr>
        <w:rPr>
          <w:color w:val="auto"/>
          <w:highlight w:val="none"/>
        </w:rPr>
      </w:pPr>
      <w:r>
        <w:rPr>
          <w:rFonts w:hint="eastAsia"/>
          <w:color w:val="auto"/>
          <w:highlight w:val="none"/>
        </w:rPr>
        <w:t>项目经理业绩要求提供合同关键页、中标通知书、验收证明、发包人证明、企业任命文件等任意能够有证明力的文件的复印件并加盖法人公章。</w:t>
      </w:r>
    </w:p>
    <w:p>
      <w:pPr>
        <w:pStyle w:val="4"/>
        <w:rPr>
          <w:color w:val="auto"/>
          <w:highlight w:val="none"/>
        </w:rPr>
      </w:pPr>
      <w:bookmarkStart w:id="30" w:name="_Toc122371823"/>
      <w:r>
        <w:rPr>
          <w:rFonts w:hint="eastAsia"/>
          <w:color w:val="auto"/>
          <w:highlight w:val="none"/>
        </w:rPr>
        <w:t>项目经理的要求</w:t>
      </w:r>
      <w:bookmarkEnd w:id="30"/>
    </w:p>
    <w:p>
      <w:pPr>
        <w:pStyle w:val="5"/>
        <w:rPr>
          <w:color w:val="auto"/>
          <w:highlight w:val="none"/>
        </w:rPr>
      </w:pPr>
      <w:r>
        <w:rPr>
          <w:rFonts w:hint="eastAsia"/>
          <w:color w:val="auto"/>
          <w:highlight w:val="none"/>
        </w:rPr>
        <w:t>拟派项目经理必须具有良好的职业道德，有良好的诚信记录。</w:t>
      </w:r>
    </w:p>
    <w:p>
      <w:pPr>
        <w:pStyle w:val="5"/>
        <w:rPr>
          <w:color w:val="auto"/>
          <w:highlight w:val="none"/>
        </w:rPr>
      </w:pPr>
      <w:r>
        <w:rPr>
          <w:rFonts w:hint="eastAsia"/>
          <w:color w:val="auto"/>
          <w:highlight w:val="none"/>
        </w:rPr>
        <w:t>专业工程承包人必须对拟派项目经理有明确的授权。项目经理在授权范围对项目进行全面管理，是项目经营、施工和管理的第一责任人。</w:t>
      </w:r>
    </w:p>
    <w:p>
      <w:pPr>
        <w:pStyle w:val="5"/>
        <w:rPr>
          <w:color w:val="auto"/>
          <w:highlight w:val="none"/>
        </w:rPr>
      </w:pPr>
      <w:r>
        <w:rPr>
          <w:rFonts w:hint="eastAsia"/>
          <w:color w:val="auto"/>
          <w:highlight w:val="none"/>
        </w:rPr>
        <w:t>拟派的项目经理必须具备良好的沟通、协调能力，能正确处理、协调与发包人、监理人、设计人、总承包人、其他专业专业工程承包人等之间的关系，确保项目能够顺利推进，项目整体管理目标能够按期、保质实现。</w:t>
      </w:r>
    </w:p>
    <w:p>
      <w:pPr>
        <w:pStyle w:val="5"/>
        <w:rPr>
          <w:color w:val="auto"/>
          <w:highlight w:val="none"/>
        </w:rPr>
      </w:pPr>
      <w:r>
        <w:rPr>
          <w:rFonts w:hint="eastAsia"/>
          <w:color w:val="auto"/>
          <w:highlight w:val="none"/>
        </w:rPr>
        <w:t>项目经理具备放射</w:t>
      </w:r>
      <w:r>
        <w:rPr>
          <w:color w:val="auto"/>
          <w:highlight w:val="none"/>
        </w:rPr>
        <w:tab/>
      </w:r>
      <w:r>
        <w:rPr>
          <w:rFonts w:hint="eastAsia"/>
          <w:color w:val="auto"/>
          <w:highlight w:val="none"/>
        </w:rPr>
        <w:t>防护及磁屏蔽项目管理的专业能力和管理能力，项目管理涉及的经济和法律、法规知识。具备对项目进度、质量、安全文明施工、成本、机械、材料等充分掌控的能力。</w:t>
      </w:r>
    </w:p>
    <w:p>
      <w:pPr>
        <w:pStyle w:val="4"/>
        <w:rPr>
          <w:color w:val="auto"/>
          <w:highlight w:val="none"/>
        </w:rPr>
      </w:pPr>
      <w:bookmarkStart w:id="31" w:name="_Toc122371824"/>
      <w:r>
        <w:rPr>
          <w:rFonts w:hint="eastAsia"/>
          <w:color w:val="auto"/>
          <w:highlight w:val="none"/>
        </w:rPr>
        <w:t>项目关键岗位人员的要求</w:t>
      </w:r>
      <w:bookmarkEnd w:id="31"/>
    </w:p>
    <w:p>
      <w:pPr>
        <w:ind w:left="426" w:firstLine="556" w:firstLineChars="240"/>
        <w:jc w:val="both"/>
        <w:rPr>
          <w:rFonts w:ascii="Times New Roman" w:hAnsi="Times New Roman" w:cs="Times New Roman"/>
          <w:color w:val="auto"/>
          <w:szCs w:val="24"/>
          <w:highlight w:val="none"/>
        </w:rPr>
      </w:pPr>
      <w:r>
        <w:rPr>
          <w:rFonts w:hint="eastAsia" w:ascii="Times New Roman" w:hAnsi="Times New Roman" w:cs="Times New Roman"/>
          <w:color w:val="auto"/>
          <w:spacing w:val="-4"/>
          <w:szCs w:val="24"/>
          <w:highlight w:val="none"/>
          <w:lang w:eastAsia="zh-CN"/>
        </w:rPr>
        <w:t>专业工程承包人应根据发包人对项目组织架构的要求配备项目管理人员，除项目总经理</w:t>
      </w:r>
      <w:r>
        <w:rPr>
          <w:rFonts w:hint="eastAsia" w:ascii="Times New Roman" w:hAnsi="Times New Roman" w:cs="Times New Roman"/>
          <w:color w:val="auto"/>
          <w:spacing w:val="-8"/>
          <w:szCs w:val="24"/>
          <w:highlight w:val="none"/>
          <w:lang w:eastAsia="zh-CN"/>
        </w:rPr>
        <w:t>外，项目管理团队关键岗位应经发包人面试。发包人对未达到要求之成员，要</w:t>
      </w:r>
      <w:r>
        <w:rPr>
          <w:rFonts w:hint="eastAsia" w:ascii="Times New Roman" w:hAnsi="Times New Roman" w:cs="Times New Roman"/>
          <w:color w:val="auto"/>
          <w:szCs w:val="24"/>
          <w:highlight w:val="none"/>
          <w:lang w:eastAsia="zh-CN"/>
        </w:rPr>
        <w:t>求专业工程承包人进行更换并重新面试。专业工程承包人管理架构需满足以下要求</w:t>
      </w:r>
      <w:r>
        <w:rPr>
          <w:rFonts w:ascii="Times New Roman" w:hAnsi="Times New Roman" w:cs="Times New Roman"/>
          <w:color w:val="auto"/>
          <w:szCs w:val="24"/>
          <w:highlight w:val="none"/>
          <w:lang w:eastAsia="zh-CN"/>
        </w:rPr>
        <w:t>:</w:t>
      </w:r>
    </w:p>
    <w:p>
      <w:pPr>
        <w:pStyle w:val="5"/>
        <w:rPr>
          <w:color w:val="auto"/>
          <w:highlight w:val="none"/>
        </w:rPr>
      </w:pPr>
      <w:r>
        <w:rPr>
          <w:rFonts w:hint="eastAsia"/>
          <w:color w:val="auto"/>
          <w:highlight w:val="none"/>
        </w:rPr>
        <w:t>专业工程承包人进场当天向发包人、监理人、总承包人提交完善的管理架构人员名单及联系方式，专业工程承包人管理架构中的人员必须在进场后</w:t>
      </w:r>
      <w:r>
        <w:rPr>
          <w:color w:val="auto"/>
          <w:highlight w:val="none"/>
        </w:rPr>
        <w:t xml:space="preserve"> 7 </w:t>
      </w:r>
      <w:r>
        <w:rPr>
          <w:rFonts w:hint="eastAsia"/>
          <w:color w:val="auto"/>
          <w:highlight w:val="none"/>
        </w:rPr>
        <w:t>天内全部到岗上班，否则视为违约。</w:t>
      </w:r>
    </w:p>
    <w:p>
      <w:pPr>
        <w:pStyle w:val="5"/>
        <w:rPr>
          <w:color w:val="auto"/>
          <w:highlight w:val="none"/>
        </w:rPr>
      </w:pPr>
      <w:r>
        <w:rPr>
          <w:rFonts w:hint="eastAsia"/>
          <w:color w:val="auto"/>
          <w:highlight w:val="none"/>
        </w:rPr>
        <w:t>专业工程承包人项目部关键岗位必须专职，不得跨项目兼职，从开工至交付过程全程参与项目实施。</w:t>
      </w:r>
    </w:p>
    <w:p>
      <w:pPr>
        <w:pStyle w:val="5"/>
        <w:rPr>
          <w:color w:val="auto"/>
          <w:highlight w:val="none"/>
        </w:rPr>
      </w:pPr>
      <w:r>
        <w:rPr>
          <w:rFonts w:hint="eastAsia"/>
          <w:color w:val="auto"/>
          <w:highlight w:val="none"/>
        </w:rPr>
        <w:t>专业工程承包人擅自更换关键岗位人员而未获发包人书面许可的，将承担违约责任。</w:t>
      </w:r>
    </w:p>
    <w:p>
      <w:pPr>
        <w:pStyle w:val="5"/>
        <w:rPr>
          <w:color w:val="auto"/>
          <w:highlight w:val="none"/>
        </w:rPr>
      </w:pPr>
      <w:r>
        <w:rPr>
          <w:rFonts w:hint="eastAsia"/>
          <w:color w:val="auto"/>
          <w:highlight w:val="none"/>
        </w:rPr>
        <w:t>如专业工程承包人确因无法控制的原因如刑拘、身亡、离开单位（但不含升职），需要更换关键人员，须书面通知发包人，经发包人同意后方可更换，但不因此免除专业工程承包人的违约责任，发包人视更换人员后期履约情况保留处罚权利。新拟派人员（至少提供</w:t>
      </w:r>
      <w:r>
        <w:rPr>
          <w:color w:val="auto"/>
          <w:highlight w:val="none"/>
        </w:rPr>
        <w:t xml:space="preserve"> 2 </w:t>
      </w:r>
      <w:r>
        <w:rPr>
          <w:rFonts w:hint="eastAsia"/>
          <w:color w:val="auto"/>
          <w:highlight w:val="none"/>
        </w:rPr>
        <w:t>名）须重新面试，面试通过后方可上岗。在发包人批准的新人员未到场且到场工作移交未完成前，均按照擅自离岗进行违约处理。</w:t>
      </w:r>
    </w:p>
    <w:p>
      <w:pPr>
        <w:pStyle w:val="5"/>
        <w:rPr>
          <w:color w:val="auto"/>
          <w:highlight w:val="none"/>
        </w:rPr>
      </w:pPr>
      <w:r>
        <w:rPr>
          <w:rFonts w:hint="eastAsia"/>
          <w:color w:val="auto"/>
          <w:highlight w:val="none"/>
        </w:rPr>
        <w:t>专业工程承包人关键岗位人员应保证在施工阶段常驻现场。</w:t>
      </w:r>
    </w:p>
    <w:p>
      <w:pPr>
        <w:pStyle w:val="5"/>
        <w:rPr>
          <w:color w:val="auto"/>
          <w:highlight w:val="none"/>
        </w:rPr>
      </w:pPr>
      <w:r>
        <w:rPr>
          <w:rFonts w:hint="eastAsia"/>
          <w:color w:val="auto"/>
          <w:highlight w:val="none"/>
        </w:rPr>
        <w:t>专业工程承包人中途更换项目经理和生产经理、技术负责人、安全员，需提前</w:t>
      </w:r>
      <w:r>
        <w:rPr>
          <w:color w:val="auto"/>
          <w:highlight w:val="none"/>
        </w:rPr>
        <w:t xml:space="preserve"> 7 </w:t>
      </w:r>
      <w:r>
        <w:rPr>
          <w:rFonts w:hint="eastAsia"/>
          <w:color w:val="auto"/>
          <w:highlight w:val="none"/>
        </w:rPr>
        <w:t>天以书面形式通知发包人并获得发包人书面同意后方可更换，但不因此免除专业工程承包人违约责任，发包人视更换人员后期履约情况保留处罚权利。</w:t>
      </w:r>
    </w:p>
    <w:p>
      <w:pPr>
        <w:pStyle w:val="5"/>
        <w:rPr>
          <w:color w:val="auto"/>
          <w:highlight w:val="none"/>
        </w:rPr>
      </w:pPr>
      <w:r>
        <w:rPr>
          <w:rFonts w:hint="eastAsia"/>
          <w:color w:val="auto"/>
          <w:highlight w:val="none"/>
        </w:rPr>
        <w:t>发包人有权对不适合的项目经理和生产经理、技术负责人向专业工程承包人提出更换，</w:t>
      </w:r>
      <w:r>
        <w:rPr>
          <w:color w:val="auto"/>
          <w:highlight w:val="none"/>
        </w:rPr>
        <w:t xml:space="preserve"> </w:t>
      </w:r>
      <w:r>
        <w:rPr>
          <w:rFonts w:hint="eastAsia"/>
          <w:color w:val="auto"/>
          <w:highlight w:val="none"/>
        </w:rPr>
        <w:t>面试后接发包人书面通知后新项目经理和新生产经理、项目技术负责人</w:t>
      </w:r>
      <w:r>
        <w:rPr>
          <w:color w:val="auto"/>
          <w:highlight w:val="none"/>
        </w:rPr>
        <w:t xml:space="preserve"> 7 </w:t>
      </w:r>
      <w:r>
        <w:rPr>
          <w:rFonts w:hint="eastAsia"/>
          <w:color w:val="auto"/>
          <w:highlight w:val="none"/>
        </w:rPr>
        <w:t>天内必须到岗。</w:t>
      </w:r>
    </w:p>
    <w:p>
      <w:pPr>
        <w:pStyle w:val="5"/>
        <w:rPr>
          <w:color w:val="auto"/>
          <w:highlight w:val="none"/>
        </w:rPr>
      </w:pPr>
      <w:r>
        <w:rPr>
          <w:rFonts w:hint="eastAsia"/>
          <w:color w:val="auto"/>
          <w:highlight w:val="none"/>
        </w:rPr>
        <w:t>专业工程承包人其他人员水平能力不能满足现场施工及发包人要求的，发包人有权要求专业工程承包人立即进行更换，专业工程承包人在接到发包人更换通知的</w:t>
      </w:r>
      <w:r>
        <w:rPr>
          <w:color w:val="auto"/>
          <w:highlight w:val="none"/>
        </w:rPr>
        <w:t xml:space="preserve"> 3 </w:t>
      </w:r>
      <w:r>
        <w:rPr>
          <w:rFonts w:hint="eastAsia"/>
          <w:color w:val="auto"/>
          <w:highlight w:val="none"/>
        </w:rPr>
        <w:t>天内完成人员更换并到岗。</w:t>
      </w:r>
    </w:p>
    <w:p>
      <w:pPr>
        <w:pStyle w:val="5"/>
        <w:rPr>
          <w:color w:val="auto"/>
          <w:highlight w:val="none"/>
        </w:rPr>
      </w:pPr>
      <w:r>
        <w:rPr>
          <w:rFonts w:hint="eastAsia"/>
          <w:color w:val="auto"/>
          <w:highlight w:val="none"/>
        </w:rPr>
        <w:t>专业工程承包人需签订关键岗位承诺函，一旦完成项目部人员的选择，专业工程承包人应做出书面承诺（详见附件《关键保修岗位承诺函》）。</w:t>
      </w:r>
    </w:p>
    <w:p>
      <w:pPr>
        <w:pStyle w:val="5"/>
        <w:rPr>
          <w:color w:val="auto"/>
          <w:highlight w:val="none"/>
        </w:rPr>
        <w:sectPr>
          <w:pgSz w:w="11910" w:h="16840"/>
          <w:pgMar w:top="1340" w:right="1000" w:bottom="1600" w:left="1320" w:header="538" w:footer="1394" w:gutter="0"/>
          <w:cols w:space="720" w:num="1"/>
        </w:sectPr>
      </w:pPr>
    </w:p>
    <w:p>
      <w:pPr>
        <w:pStyle w:val="3"/>
        <w:rPr>
          <w:color w:val="auto"/>
          <w:highlight w:val="none"/>
        </w:rPr>
      </w:pPr>
      <w:bookmarkStart w:id="32" w:name="_Toc122371825"/>
      <w:r>
        <w:rPr>
          <w:rFonts w:hint="eastAsia"/>
          <w:color w:val="auto"/>
          <w:highlight w:val="none"/>
        </w:rPr>
        <w:t>施工管理要求</w:t>
      </w:r>
      <w:bookmarkEnd w:id="32"/>
    </w:p>
    <w:p>
      <w:pPr>
        <w:pStyle w:val="4"/>
        <w:rPr>
          <w:color w:val="auto"/>
          <w:highlight w:val="none"/>
        </w:rPr>
      </w:pPr>
      <w:bookmarkStart w:id="33" w:name="_Toc122371826"/>
      <w:r>
        <w:rPr>
          <w:rFonts w:hint="eastAsia"/>
          <w:color w:val="auto"/>
          <w:highlight w:val="none"/>
        </w:rPr>
        <w:t>质量管理要求</w:t>
      </w:r>
      <w:bookmarkEnd w:id="33"/>
    </w:p>
    <w:p>
      <w:pPr>
        <w:pStyle w:val="5"/>
        <w:rPr>
          <w:color w:val="auto"/>
          <w:highlight w:val="none"/>
        </w:rPr>
      </w:pPr>
      <w:r>
        <w:rPr>
          <w:rFonts w:hint="eastAsia"/>
          <w:color w:val="auto"/>
          <w:highlight w:val="none"/>
        </w:rPr>
        <w:t>专业工程承包人质量管理的基本要求</w:t>
      </w:r>
    </w:p>
    <w:p>
      <w:pPr>
        <w:pStyle w:val="7"/>
        <w:rPr>
          <w:color w:val="auto"/>
          <w:highlight w:val="none"/>
        </w:rPr>
      </w:pPr>
      <w:r>
        <w:rPr>
          <w:rFonts w:hint="eastAsia"/>
          <w:color w:val="auto"/>
          <w:highlight w:val="none"/>
        </w:rPr>
        <w:t>专业工程承包人对合同约定的管理范围内的全部工程承担整体质量责任。</w:t>
      </w:r>
    </w:p>
    <w:p>
      <w:pPr>
        <w:pStyle w:val="7"/>
        <w:rPr>
          <w:color w:val="auto"/>
          <w:highlight w:val="none"/>
        </w:rPr>
      </w:pPr>
      <w:r>
        <w:rPr>
          <w:rFonts w:hint="eastAsia"/>
          <w:color w:val="auto"/>
          <w:highlight w:val="none"/>
        </w:rPr>
        <w:t>专业工程承包人应遵从发包人及总承包人的质量管理体系，严格执行材料管理、样板</w:t>
      </w:r>
      <w:r>
        <w:rPr>
          <w:rFonts w:hint="eastAsia"/>
          <w:color w:val="auto"/>
          <w:spacing w:val="-9"/>
          <w:highlight w:val="none"/>
        </w:rPr>
        <w:t>引路、工序交接、隐蔽验收、工作面移交、分批验收等质量管理制度，加强</w:t>
      </w:r>
      <w:r>
        <w:rPr>
          <w:rFonts w:hint="eastAsia"/>
          <w:color w:val="auto"/>
          <w:spacing w:val="-12"/>
          <w:highlight w:val="none"/>
        </w:rPr>
        <w:t>流程管控和过程管理，并接受总承包人、监理人、发包人的监督和检查，持</w:t>
      </w:r>
      <w:r>
        <w:rPr>
          <w:rFonts w:hint="eastAsia"/>
          <w:color w:val="auto"/>
          <w:spacing w:val="-17"/>
          <w:highlight w:val="none"/>
        </w:rPr>
        <w:t>续改进，满足发包人的质量要求，保证整体工程达到合同中规定的质量目标。</w:t>
      </w:r>
    </w:p>
    <w:p>
      <w:pPr>
        <w:pStyle w:val="7"/>
        <w:rPr>
          <w:color w:val="auto"/>
          <w:highlight w:val="none"/>
        </w:rPr>
      </w:pPr>
      <w:r>
        <w:rPr>
          <w:rFonts w:hint="eastAsia"/>
          <w:color w:val="auto"/>
          <w:highlight w:val="none"/>
        </w:rPr>
        <w:t>三检制验收程序</w:t>
      </w:r>
    </w:p>
    <w:p>
      <w:pPr>
        <w:pStyle w:val="7"/>
        <w:rPr>
          <w:color w:val="auto"/>
          <w:highlight w:val="none"/>
        </w:rPr>
      </w:pPr>
      <w:r>
        <w:rPr>
          <w:rFonts w:hint="eastAsia"/>
          <w:color w:val="auto"/>
          <w:highlight w:val="none"/>
        </w:rPr>
        <w:t>专业工程承包人每道工序都要坚持自检、互检、专检制度，隐蔽工程、关键工序经总承包人</w:t>
      </w:r>
      <w:r>
        <w:rPr>
          <w:rFonts w:hint="eastAsia"/>
          <w:color w:val="auto"/>
          <w:spacing w:val="-9"/>
          <w:highlight w:val="none"/>
        </w:rPr>
        <w:t>、监理人、发包人检查合格后方可后续施工，否则不得进行下道工序</w:t>
      </w:r>
      <w:r>
        <w:rPr>
          <w:rFonts w:hint="eastAsia"/>
          <w:color w:val="auto"/>
          <w:spacing w:val="-16"/>
          <w:highlight w:val="none"/>
        </w:rPr>
        <w:t>施工。自检要做文字记录，预检及隐蔽工程检查做好齐全的隐预检文字记录。</w:t>
      </w:r>
      <w:r>
        <w:rPr>
          <w:rFonts w:hint="eastAsia"/>
          <w:color w:val="auto"/>
          <w:spacing w:val="-5"/>
          <w:highlight w:val="none"/>
        </w:rPr>
        <w:t>各工序及最终工程质量，均需进行验收。子分部工程验收由专业工程承包人自检合格</w:t>
      </w:r>
      <w:r>
        <w:rPr>
          <w:rFonts w:hint="eastAsia"/>
          <w:color w:val="auto"/>
          <w:spacing w:val="-8"/>
          <w:highlight w:val="none"/>
        </w:rPr>
        <w:t>后报呈总承包人发起，监理人和发包人须参加，未经核定或不合格者不得交工。</w:t>
      </w:r>
    </w:p>
    <w:p>
      <w:pPr>
        <w:pStyle w:val="5"/>
        <w:rPr>
          <w:color w:val="auto"/>
          <w:highlight w:val="none"/>
        </w:rPr>
      </w:pPr>
      <w:r>
        <w:rPr>
          <w:rFonts w:hint="eastAsia"/>
          <w:color w:val="auto"/>
          <w:highlight w:val="none"/>
        </w:rPr>
        <w:t>专业工程承包人工程质量检查的基本要求</w:t>
      </w:r>
    </w:p>
    <w:p>
      <w:pPr>
        <w:pStyle w:val="7"/>
        <w:rPr>
          <w:color w:val="auto"/>
          <w:highlight w:val="none"/>
        </w:rPr>
      </w:pPr>
      <w:r>
        <w:rPr>
          <w:rFonts w:hint="eastAsia"/>
          <w:color w:val="auto"/>
          <w:highlight w:val="none"/>
        </w:rPr>
        <w:t>专业工程承包人质量评估体系以现行华润代建项目第三方评估体系为准。</w:t>
      </w:r>
    </w:p>
    <w:p>
      <w:pPr>
        <w:pStyle w:val="7"/>
        <w:rPr>
          <w:color w:val="auto"/>
          <w:highlight w:val="none"/>
        </w:rPr>
      </w:pPr>
      <w:r>
        <w:rPr>
          <w:rFonts w:hint="eastAsia"/>
          <w:color w:val="auto"/>
          <w:highlight w:val="none"/>
        </w:rPr>
        <w:t>专业工程承包人应配备专职人员负责项目管理系统的应用。</w:t>
      </w:r>
    </w:p>
    <w:p>
      <w:pPr>
        <w:pStyle w:val="4"/>
        <w:rPr>
          <w:color w:val="auto"/>
          <w:highlight w:val="none"/>
        </w:rPr>
      </w:pPr>
      <w:bookmarkStart w:id="34" w:name="_Toc122371827"/>
      <w:r>
        <w:rPr>
          <w:rFonts w:hint="eastAsia"/>
          <w:color w:val="auto"/>
          <w:highlight w:val="none"/>
        </w:rPr>
        <w:t>进度管理要求</w:t>
      </w:r>
      <w:bookmarkEnd w:id="34"/>
    </w:p>
    <w:p>
      <w:pPr>
        <w:ind w:left="426" w:firstLine="554" w:firstLineChars="241"/>
        <w:jc w:val="both"/>
        <w:rPr>
          <w:rFonts w:ascii="Times New Roman" w:hAnsi="Times New Roman" w:cs="Times New Roman"/>
          <w:color w:val="auto"/>
          <w:szCs w:val="24"/>
          <w:highlight w:val="none"/>
          <w:lang w:eastAsia="zh-CN"/>
        </w:rPr>
      </w:pPr>
      <w:r>
        <w:rPr>
          <w:rFonts w:hint="eastAsia" w:ascii="Times New Roman" w:hAnsi="Times New Roman" w:cs="Times New Roman"/>
          <w:color w:val="auto"/>
          <w:spacing w:val="-5"/>
          <w:szCs w:val="24"/>
          <w:highlight w:val="none"/>
          <w:lang w:eastAsia="zh-CN"/>
        </w:rPr>
        <w:t>专业工程承包人应依据总承包人提供的《总承包工程施工进度计划》编制《放射防护及磁屏蔽工程施</w:t>
      </w:r>
      <w:r>
        <w:rPr>
          <w:rFonts w:hint="eastAsia" w:ascii="Times New Roman" w:hAnsi="Times New Roman" w:cs="Times New Roman"/>
          <w:color w:val="auto"/>
          <w:spacing w:val="-12"/>
          <w:szCs w:val="24"/>
          <w:highlight w:val="none"/>
          <w:lang w:eastAsia="zh-CN"/>
        </w:rPr>
        <w:t>工进度计划》，把工程施工准备至竣工验收、移交为止期间的，专业工程承包人承</w:t>
      </w:r>
      <w:r>
        <w:rPr>
          <w:rFonts w:hint="eastAsia" w:ascii="Times New Roman" w:hAnsi="Times New Roman" w:cs="Times New Roman"/>
          <w:color w:val="auto"/>
          <w:spacing w:val="-15"/>
          <w:szCs w:val="24"/>
          <w:highlight w:val="none"/>
          <w:lang w:eastAsia="zh-CN"/>
        </w:rPr>
        <w:t>建部分以及与专业工程承包人管理相关的所有工作以计划的形式合理地组织起来。专业工程承包人</w:t>
      </w:r>
      <w:r>
        <w:rPr>
          <w:rFonts w:hint="eastAsia" w:ascii="Times New Roman" w:hAnsi="Times New Roman" w:cs="Times New Roman"/>
          <w:color w:val="auto"/>
          <w:szCs w:val="24"/>
          <w:highlight w:val="none"/>
          <w:lang w:eastAsia="zh-CN"/>
        </w:rPr>
        <w:t>以此为依据进行放射防护及磁屏蔽</w:t>
      </w:r>
      <w:r>
        <w:rPr>
          <w:rFonts w:hint="eastAsia" w:ascii="Times New Roman" w:hAnsi="Times New Roman" w:cs="Times New Roman"/>
          <w:color w:val="auto"/>
          <w:spacing w:val="-9"/>
          <w:szCs w:val="24"/>
          <w:highlight w:val="none"/>
          <w:lang w:eastAsia="zh-CN"/>
        </w:rPr>
        <w:t>工程施工、及时检查项目施工进度、分析计划执行的偏</w:t>
      </w:r>
      <w:r>
        <w:rPr>
          <w:rFonts w:hint="eastAsia" w:ascii="Times New Roman" w:hAnsi="Times New Roman" w:cs="Times New Roman"/>
          <w:color w:val="auto"/>
          <w:spacing w:val="-7"/>
          <w:szCs w:val="24"/>
          <w:highlight w:val="none"/>
          <w:lang w:eastAsia="zh-CN"/>
        </w:rPr>
        <w:t>差并进行调整或修正，服从总承包人的进度要求以及管理安排，以保证实现合</w:t>
      </w:r>
      <w:r>
        <w:rPr>
          <w:rFonts w:hint="eastAsia" w:ascii="Times New Roman" w:hAnsi="Times New Roman" w:cs="Times New Roman"/>
          <w:color w:val="auto"/>
          <w:szCs w:val="24"/>
          <w:highlight w:val="none"/>
          <w:lang w:eastAsia="zh-CN"/>
        </w:rPr>
        <w:t>同约定的目标工期。</w:t>
      </w:r>
    </w:p>
    <w:p>
      <w:pPr>
        <w:pStyle w:val="5"/>
        <w:rPr>
          <w:color w:val="auto"/>
          <w:highlight w:val="none"/>
        </w:rPr>
      </w:pPr>
      <w:r>
        <w:rPr>
          <w:rFonts w:hint="eastAsia"/>
          <w:color w:val="auto"/>
          <w:highlight w:val="none"/>
        </w:rPr>
        <w:t>工程进度计划的分类</w:t>
      </w:r>
    </w:p>
    <w:p>
      <w:pPr>
        <w:pStyle w:val="7"/>
        <w:rPr>
          <w:color w:val="auto"/>
          <w:highlight w:val="none"/>
        </w:rPr>
      </w:pPr>
      <w:r>
        <w:rPr>
          <w:rFonts w:hint="eastAsia"/>
          <w:color w:val="auto"/>
          <w:highlight w:val="none"/>
        </w:rPr>
        <w:t>按计划内容分</w:t>
      </w:r>
    </w:p>
    <w:p>
      <w:pPr>
        <w:pStyle w:val="8"/>
        <w:numPr>
          <w:ilvl w:val="0"/>
          <w:numId w:val="29"/>
        </w:numPr>
        <w:rPr>
          <w:color w:val="auto"/>
          <w:highlight w:val="none"/>
        </w:rPr>
      </w:pPr>
      <w:r>
        <w:rPr>
          <w:rFonts w:hint="eastAsia"/>
          <w:color w:val="auto"/>
          <w:highlight w:val="none"/>
        </w:rPr>
        <w:t>《施工进度计划》</w:t>
      </w:r>
    </w:p>
    <w:p>
      <w:pPr>
        <w:pStyle w:val="8"/>
        <w:numPr>
          <w:ilvl w:val="0"/>
          <w:numId w:val="28"/>
        </w:numPr>
        <w:rPr>
          <w:color w:val="auto"/>
          <w:highlight w:val="none"/>
        </w:rPr>
      </w:pPr>
      <w:r>
        <w:rPr>
          <w:rFonts w:hint="eastAsia"/>
          <w:color w:val="auto"/>
          <w:highlight w:val="none"/>
        </w:rPr>
        <w:t>《劳动力计划》</w:t>
      </w:r>
    </w:p>
    <w:p>
      <w:pPr>
        <w:pStyle w:val="8"/>
        <w:numPr>
          <w:ilvl w:val="0"/>
          <w:numId w:val="28"/>
        </w:numPr>
        <w:rPr>
          <w:color w:val="auto"/>
          <w:highlight w:val="none"/>
        </w:rPr>
      </w:pPr>
      <w:r>
        <w:rPr>
          <w:rFonts w:hint="eastAsia"/>
          <w:color w:val="auto"/>
          <w:highlight w:val="none"/>
        </w:rPr>
        <w:t>《机械设备进退场计划》</w:t>
      </w:r>
    </w:p>
    <w:p>
      <w:pPr>
        <w:pStyle w:val="8"/>
        <w:numPr>
          <w:ilvl w:val="0"/>
          <w:numId w:val="28"/>
        </w:numPr>
        <w:rPr>
          <w:color w:val="auto"/>
          <w:highlight w:val="none"/>
        </w:rPr>
      </w:pPr>
      <w:r>
        <w:rPr>
          <w:rFonts w:hint="eastAsia"/>
          <w:color w:val="auto"/>
          <w:highlight w:val="none"/>
        </w:rPr>
        <w:t>《材料设备采购供应计划》（含甲供材料进场计划）</w:t>
      </w:r>
    </w:p>
    <w:p>
      <w:pPr>
        <w:pStyle w:val="8"/>
        <w:numPr>
          <w:ilvl w:val="0"/>
          <w:numId w:val="28"/>
        </w:numPr>
        <w:rPr>
          <w:color w:val="auto"/>
          <w:highlight w:val="none"/>
        </w:rPr>
      </w:pPr>
      <w:r>
        <w:rPr>
          <w:rFonts w:hint="eastAsia"/>
          <w:color w:val="auto"/>
          <w:highlight w:val="none"/>
        </w:rPr>
        <w:t>《深化设计计划》</w:t>
      </w:r>
    </w:p>
    <w:p>
      <w:pPr>
        <w:pStyle w:val="8"/>
        <w:numPr>
          <w:ilvl w:val="0"/>
          <w:numId w:val="28"/>
        </w:numPr>
        <w:rPr>
          <w:color w:val="auto"/>
          <w:highlight w:val="none"/>
        </w:rPr>
      </w:pPr>
      <w:r>
        <w:rPr>
          <w:rFonts w:hint="eastAsia"/>
          <w:color w:val="auto"/>
          <w:highlight w:val="none"/>
        </w:rPr>
        <w:t>《施工工艺样板计划》</w:t>
      </w:r>
    </w:p>
    <w:p>
      <w:pPr>
        <w:pStyle w:val="8"/>
        <w:numPr>
          <w:ilvl w:val="0"/>
          <w:numId w:val="28"/>
        </w:numPr>
        <w:rPr>
          <w:color w:val="auto"/>
          <w:highlight w:val="none"/>
        </w:rPr>
      </w:pPr>
      <w:r>
        <w:rPr>
          <w:rFonts w:hint="eastAsia"/>
          <w:color w:val="auto"/>
          <w:highlight w:val="none"/>
        </w:rPr>
        <w:t>《工作面移交计划》</w:t>
      </w:r>
    </w:p>
    <w:p>
      <w:pPr>
        <w:pStyle w:val="8"/>
        <w:numPr>
          <w:ilvl w:val="0"/>
          <w:numId w:val="28"/>
        </w:numPr>
        <w:rPr>
          <w:color w:val="auto"/>
          <w:highlight w:val="none"/>
        </w:rPr>
      </w:pPr>
      <w:r>
        <w:rPr>
          <w:rFonts w:hint="eastAsia"/>
          <w:color w:val="auto"/>
          <w:highlight w:val="none"/>
        </w:rPr>
        <w:t>《竣工验收计划》</w:t>
      </w:r>
    </w:p>
    <w:p>
      <w:pPr>
        <w:pStyle w:val="8"/>
        <w:numPr>
          <w:ilvl w:val="0"/>
          <w:numId w:val="28"/>
        </w:numPr>
        <w:rPr>
          <w:color w:val="auto"/>
          <w:highlight w:val="none"/>
        </w:rPr>
      </w:pPr>
      <w:r>
        <w:rPr>
          <w:rFonts w:hint="eastAsia"/>
          <w:color w:val="auto"/>
          <w:highlight w:val="none"/>
        </w:rPr>
        <w:t>《工程移交计划》</w:t>
      </w:r>
    </w:p>
    <w:p>
      <w:pPr>
        <w:pStyle w:val="7"/>
        <w:rPr>
          <w:color w:val="auto"/>
          <w:highlight w:val="none"/>
        </w:rPr>
      </w:pPr>
      <w:r>
        <w:rPr>
          <w:rFonts w:hint="eastAsia"/>
          <w:color w:val="auto"/>
          <w:highlight w:val="none"/>
        </w:rPr>
        <w:t>按时间跨度分</w:t>
      </w:r>
    </w:p>
    <w:p>
      <w:pPr>
        <w:pStyle w:val="8"/>
        <w:numPr>
          <w:ilvl w:val="0"/>
          <w:numId w:val="30"/>
        </w:numPr>
        <w:rPr>
          <w:color w:val="auto"/>
          <w:highlight w:val="none"/>
        </w:rPr>
      </w:pPr>
      <w:r>
        <w:rPr>
          <w:rFonts w:hint="eastAsia"/>
          <w:color w:val="auto"/>
          <w:highlight w:val="none"/>
        </w:rPr>
        <w:t>放射防护及磁屏蔽工程总进度计划</w:t>
      </w:r>
    </w:p>
    <w:p>
      <w:pPr>
        <w:pStyle w:val="8"/>
        <w:numPr>
          <w:ilvl w:val="0"/>
          <w:numId w:val="28"/>
        </w:numPr>
        <w:rPr>
          <w:color w:val="auto"/>
          <w:highlight w:val="none"/>
        </w:rPr>
      </w:pPr>
      <w:r>
        <w:rPr>
          <w:rFonts w:hint="eastAsia"/>
          <w:color w:val="auto"/>
          <w:highlight w:val="none"/>
        </w:rPr>
        <w:t>季度工程进度计划</w:t>
      </w:r>
      <w:r>
        <w:rPr>
          <w:color w:val="auto"/>
          <w:highlight w:val="none"/>
        </w:rPr>
        <w:t>(</w:t>
      </w:r>
      <w:r>
        <w:rPr>
          <w:rFonts w:hint="eastAsia"/>
          <w:color w:val="auto"/>
          <w:highlight w:val="none"/>
        </w:rPr>
        <w:t>每季度计划及人、机、料清单</w:t>
      </w:r>
      <w:r>
        <w:rPr>
          <w:color w:val="auto"/>
          <w:highlight w:val="none"/>
        </w:rPr>
        <w:t>)</w:t>
      </w:r>
    </w:p>
    <w:p>
      <w:pPr>
        <w:pStyle w:val="8"/>
        <w:numPr>
          <w:ilvl w:val="0"/>
          <w:numId w:val="28"/>
        </w:numPr>
        <w:rPr>
          <w:color w:val="auto"/>
          <w:highlight w:val="none"/>
        </w:rPr>
      </w:pPr>
      <w:r>
        <w:rPr>
          <w:rFonts w:hint="eastAsia"/>
          <w:color w:val="auto"/>
          <w:highlight w:val="none"/>
        </w:rPr>
        <w:t>月工程进度计划</w:t>
      </w:r>
      <w:r>
        <w:rPr>
          <w:color w:val="auto"/>
          <w:highlight w:val="none"/>
        </w:rPr>
        <w:t>(</w:t>
      </w:r>
      <w:r>
        <w:rPr>
          <w:rFonts w:hint="eastAsia"/>
          <w:color w:val="auto"/>
          <w:highlight w:val="none"/>
        </w:rPr>
        <w:t>每月度计划及人、机、料清单</w:t>
      </w:r>
      <w:r>
        <w:rPr>
          <w:color w:val="auto"/>
          <w:highlight w:val="none"/>
        </w:rPr>
        <w:t>)</w:t>
      </w:r>
    </w:p>
    <w:p>
      <w:pPr>
        <w:pStyle w:val="8"/>
        <w:numPr>
          <w:ilvl w:val="0"/>
          <w:numId w:val="28"/>
        </w:numPr>
        <w:rPr>
          <w:color w:val="auto"/>
          <w:highlight w:val="none"/>
        </w:rPr>
      </w:pPr>
      <w:r>
        <w:rPr>
          <w:rFonts w:hint="eastAsia"/>
          <w:color w:val="auto"/>
          <w:highlight w:val="none"/>
        </w:rPr>
        <w:t>周工程进度计划</w:t>
      </w:r>
      <w:r>
        <w:rPr>
          <w:color w:val="auto"/>
          <w:highlight w:val="none"/>
        </w:rPr>
        <w:t>(</w:t>
      </w:r>
      <w:r>
        <w:rPr>
          <w:rFonts w:hint="eastAsia"/>
          <w:color w:val="auto"/>
          <w:highlight w:val="none"/>
        </w:rPr>
        <w:t>每周度计划及人、机、料清单</w:t>
      </w:r>
      <w:r>
        <w:rPr>
          <w:color w:val="auto"/>
          <w:highlight w:val="none"/>
        </w:rPr>
        <w:t>)</w:t>
      </w:r>
    </w:p>
    <w:p>
      <w:pPr>
        <w:pStyle w:val="5"/>
        <w:rPr>
          <w:color w:val="auto"/>
          <w:highlight w:val="none"/>
        </w:rPr>
      </w:pPr>
      <w:r>
        <w:rPr>
          <w:rFonts w:hint="eastAsia"/>
          <w:color w:val="auto"/>
          <w:highlight w:val="none"/>
        </w:rPr>
        <w:t>工程进度计划的编制依据</w:t>
      </w:r>
    </w:p>
    <w:p>
      <w:pPr>
        <w:pStyle w:val="7"/>
        <w:rPr>
          <w:color w:val="auto"/>
          <w:highlight w:val="none"/>
        </w:rPr>
      </w:pPr>
      <w:r>
        <w:rPr>
          <w:rFonts w:hint="eastAsia"/>
          <w:color w:val="auto"/>
          <w:highlight w:val="none"/>
        </w:rPr>
        <w:t>总承包人提供的《总承包工程施工进度计划》。</w:t>
      </w:r>
    </w:p>
    <w:p>
      <w:pPr>
        <w:pStyle w:val="7"/>
        <w:rPr>
          <w:color w:val="auto"/>
          <w:highlight w:val="none"/>
        </w:rPr>
      </w:pPr>
      <w:r>
        <w:rPr>
          <w:rFonts w:hint="eastAsia"/>
          <w:color w:val="auto"/>
          <w:highlight w:val="none"/>
        </w:rPr>
        <w:t>发包人提供的招标文件。</w:t>
      </w:r>
    </w:p>
    <w:p>
      <w:pPr>
        <w:pStyle w:val="7"/>
        <w:rPr>
          <w:color w:val="auto"/>
          <w:highlight w:val="none"/>
        </w:rPr>
      </w:pPr>
      <w:r>
        <w:rPr>
          <w:rFonts w:hint="eastAsia"/>
          <w:color w:val="auto"/>
          <w:highlight w:val="none"/>
        </w:rPr>
        <w:t>发包人提供的项目合约界面划分明细。</w:t>
      </w:r>
    </w:p>
    <w:p>
      <w:pPr>
        <w:pStyle w:val="7"/>
        <w:rPr>
          <w:color w:val="auto"/>
          <w:highlight w:val="none"/>
        </w:rPr>
      </w:pPr>
      <w:r>
        <w:rPr>
          <w:rFonts w:hint="eastAsia"/>
          <w:color w:val="auto"/>
          <w:highlight w:val="none"/>
        </w:rPr>
        <w:t>项目主要施工合约、技术文件</w:t>
      </w:r>
      <w:r>
        <w:rPr>
          <w:color w:val="auto"/>
          <w:highlight w:val="none"/>
        </w:rPr>
        <w:t>:</w:t>
      </w:r>
      <w:r>
        <w:rPr>
          <w:rFonts w:hint="eastAsia"/>
          <w:color w:val="auto"/>
          <w:highlight w:val="none"/>
        </w:rPr>
        <w:t>包括但不限于放射防护及磁屏蔽工程施工合同、施工图纸、总体施工组织设计以及处于关键线路的重要分部分项工程的施工方案。</w:t>
      </w:r>
    </w:p>
    <w:p>
      <w:pPr>
        <w:pStyle w:val="7"/>
        <w:rPr>
          <w:color w:val="auto"/>
          <w:highlight w:val="none"/>
        </w:rPr>
      </w:pPr>
      <w:r>
        <w:rPr>
          <w:rFonts w:hint="eastAsia"/>
          <w:color w:val="auto"/>
          <w:highlight w:val="none"/>
        </w:rPr>
        <w:t>往来函件及会议纪要。</w:t>
      </w:r>
    </w:p>
    <w:p>
      <w:pPr>
        <w:pStyle w:val="5"/>
        <w:rPr>
          <w:color w:val="auto"/>
          <w:highlight w:val="none"/>
        </w:rPr>
      </w:pPr>
      <w:r>
        <w:rPr>
          <w:rFonts w:hint="eastAsia"/>
          <w:color w:val="auto"/>
          <w:highlight w:val="none"/>
        </w:rPr>
        <w:t>工程进度计划的编制要求</w:t>
      </w:r>
    </w:p>
    <w:p>
      <w:pPr>
        <w:pStyle w:val="7"/>
        <w:rPr>
          <w:color w:val="auto"/>
          <w:highlight w:val="none"/>
        </w:rPr>
      </w:pPr>
      <w:r>
        <w:rPr>
          <w:rFonts w:hint="eastAsia"/>
          <w:color w:val="auto"/>
          <w:highlight w:val="none"/>
        </w:rPr>
        <w:t>编制工具</w:t>
      </w:r>
    </w:p>
    <w:p>
      <w:pPr>
        <w:tabs>
          <w:tab w:val="left" w:pos="1225"/>
        </w:tabs>
        <w:ind w:left="1224" w:firstLine="581"/>
        <w:rPr>
          <w:rFonts w:ascii="Times New Roman" w:hAnsi="Times New Roman" w:cs="Times New Roman"/>
          <w:color w:val="auto"/>
          <w:highlight w:val="none"/>
          <w:lang w:eastAsia="zh-CN"/>
        </w:rPr>
      </w:pPr>
      <w:r>
        <w:rPr>
          <w:rFonts w:hint="eastAsia" w:ascii="Times New Roman" w:hAnsi="Times New Roman" w:cs="Times New Roman"/>
          <w:color w:val="auto"/>
          <w:highlight w:val="none"/>
          <w:lang w:eastAsia="zh-CN"/>
        </w:rPr>
        <w:t>应使用</w:t>
      </w:r>
      <w:r>
        <w:rPr>
          <w:rFonts w:ascii="Times New Roman" w:hAnsi="Times New Roman" w:cs="Times New Roman"/>
          <w:color w:val="auto"/>
          <w:highlight w:val="none"/>
          <w:lang w:eastAsia="zh-CN"/>
        </w:rPr>
        <w:t xml:space="preserve"> Project</w:t>
      </w:r>
      <w:r>
        <w:rPr>
          <w:rFonts w:hint="eastAsia" w:ascii="Times New Roman" w:hAnsi="Times New Roman" w:cs="Times New Roman"/>
          <w:color w:val="auto"/>
          <w:highlight w:val="none"/>
          <w:lang w:eastAsia="zh-CN"/>
        </w:rPr>
        <w:t>、</w:t>
      </w:r>
      <w:r>
        <w:rPr>
          <w:rFonts w:ascii="Times New Roman" w:hAnsi="Times New Roman" w:cs="Times New Roman"/>
          <w:color w:val="auto"/>
          <w:highlight w:val="none"/>
          <w:lang w:eastAsia="zh-CN"/>
        </w:rPr>
        <w:t xml:space="preserve">P6 </w:t>
      </w:r>
      <w:r>
        <w:rPr>
          <w:rFonts w:hint="eastAsia" w:ascii="Times New Roman" w:hAnsi="Times New Roman" w:cs="Times New Roman"/>
          <w:color w:val="auto"/>
          <w:highlight w:val="none"/>
          <w:lang w:eastAsia="zh-CN"/>
        </w:rPr>
        <w:t>等专业软件编制。</w:t>
      </w:r>
    </w:p>
    <w:p>
      <w:pPr>
        <w:pStyle w:val="7"/>
        <w:rPr>
          <w:color w:val="auto"/>
          <w:highlight w:val="none"/>
        </w:rPr>
      </w:pPr>
      <w:r>
        <w:rPr>
          <w:rFonts w:hint="eastAsia"/>
          <w:color w:val="auto"/>
          <w:highlight w:val="none"/>
        </w:rPr>
        <w:t>编制要求</w:t>
      </w:r>
    </w:p>
    <w:p>
      <w:pPr>
        <w:pStyle w:val="8"/>
        <w:numPr>
          <w:ilvl w:val="0"/>
          <w:numId w:val="31"/>
        </w:numPr>
        <w:rPr>
          <w:color w:val="auto"/>
          <w:highlight w:val="none"/>
        </w:rPr>
      </w:pPr>
      <w:r>
        <w:rPr>
          <w:rFonts w:hint="eastAsia"/>
          <w:color w:val="auto"/>
          <w:highlight w:val="none"/>
        </w:rPr>
        <w:t>放射防护及磁屏蔽工程进度计划组成应包含设计、采购、加工、施工等四个方面，施工方面分为施工准备、现场施工、竣工验收（包括移交）三个阶段</w:t>
      </w:r>
      <w:r>
        <w:rPr>
          <w:color w:val="auto"/>
          <w:highlight w:val="none"/>
        </w:rPr>
        <w:t>:</w:t>
      </w:r>
    </w:p>
    <w:p>
      <w:pPr>
        <w:pStyle w:val="9"/>
        <w:numPr>
          <w:ilvl w:val="1"/>
          <w:numId w:val="32"/>
        </w:numPr>
        <w:ind w:firstLine="581"/>
        <w:rPr>
          <w:color w:val="auto"/>
          <w:highlight w:val="none"/>
        </w:rPr>
      </w:pPr>
      <w:r>
        <w:rPr>
          <w:rFonts w:hint="eastAsia"/>
          <w:color w:val="auto"/>
          <w:highlight w:val="none"/>
        </w:rPr>
        <w:t>施工准备</w:t>
      </w:r>
      <w:r>
        <w:rPr>
          <w:color w:val="auto"/>
          <w:highlight w:val="none"/>
        </w:rPr>
        <w:t>:</w:t>
      </w:r>
      <w:r>
        <w:rPr>
          <w:rFonts w:hint="eastAsia"/>
          <w:color w:val="auto"/>
          <w:highlight w:val="none"/>
        </w:rPr>
        <w:t>图纸深化审核、施组方案编制报审报批、交底培训等。</w:t>
      </w:r>
    </w:p>
    <w:p>
      <w:pPr>
        <w:pStyle w:val="9"/>
        <w:ind w:firstLine="581"/>
        <w:rPr>
          <w:color w:val="auto"/>
          <w:highlight w:val="none"/>
        </w:rPr>
      </w:pPr>
      <w:r>
        <w:rPr>
          <w:rFonts w:hint="eastAsia"/>
          <w:color w:val="auto"/>
          <w:highlight w:val="none"/>
        </w:rPr>
        <w:t>现场施工</w:t>
      </w:r>
      <w:r>
        <w:rPr>
          <w:color w:val="auto"/>
          <w:highlight w:val="none"/>
        </w:rPr>
        <w:t>:</w:t>
      </w:r>
      <w:r>
        <w:rPr>
          <w:rFonts w:hint="eastAsia"/>
          <w:color w:val="auto"/>
          <w:highlight w:val="none"/>
        </w:rPr>
        <w:t>天棚工程、墙面工程、地面工程、涂饰工程等。</w:t>
      </w:r>
    </w:p>
    <w:p>
      <w:pPr>
        <w:pStyle w:val="9"/>
        <w:ind w:firstLine="581"/>
        <w:rPr>
          <w:color w:val="auto"/>
          <w:highlight w:val="none"/>
        </w:rPr>
      </w:pPr>
      <w:r>
        <w:rPr>
          <w:rFonts w:hint="eastAsia"/>
          <w:color w:val="auto"/>
          <w:highlight w:val="none"/>
        </w:rPr>
        <w:t>竣工验收及移交</w:t>
      </w:r>
      <w:r>
        <w:rPr>
          <w:color w:val="auto"/>
          <w:highlight w:val="none"/>
        </w:rPr>
        <w:t>:</w:t>
      </w:r>
      <w:r>
        <w:rPr>
          <w:rFonts w:hint="eastAsia"/>
          <w:color w:val="auto"/>
          <w:highlight w:val="none"/>
        </w:rPr>
        <w:t>规划验收、消防验收、竣工验收及备案、移交使用方</w:t>
      </w:r>
      <w:r>
        <w:rPr>
          <w:color w:val="auto"/>
          <w:highlight w:val="none"/>
        </w:rPr>
        <w:t>/</w:t>
      </w:r>
      <w:r>
        <w:rPr>
          <w:rFonts w:hint="eastAsia"/>
          <w:color w:val="auto"/>
          <w:highlight w:val="none"/>
        </w:rPr>
        <w:t>委托方、移交发包人。</w:t>
      </w:r>
    </w:p>
    <w:p>
      <w:pPr>
        <w:pStyle w:val="8"/>
        <w:numPr>
          <w:ilvl w:val="0"/>
          <w:numId w:val="28"/>
        </w:numPr>
        <w:rPr>
          <w:color w:val="auto"/>
          <w:highlight w:val="none"/>
        </w:rPr>
      </w:pPr>
      <w:r>
        <w:rPr>
          <w:rFonts w:hint="eastAsia"/>
          <w:color w:val="auto"/>
          <w:highlight w:val="none"/>
        </w:rPr>
        <w:t>应在工程进度计划中体现关键节点、关键线路的逻辑关系、任务工期、重要性、资源名称，在关键线路上的任务项受到其他专业任务限制而采取无逻辑的输入时，应给予说明。</w:t>
      </w:r>
    </w:p>
    <w:p>
      <w:pPr>
        <w:pStyle w:val="8"/>
        <w:numPr>
          <w:ilvl w:val="0"/>
          <w:numId w:val="28"/>
        </w:numPr>
        <w:rPr>
          <w:color w:val="auto"/>
          <w:highlight w:val="none"/>
        </w:rPr>
      </w:pPr>
      <w:r>
        <w:rPr>
          <w:rFonts w:hint="eastAsia"/>
          <w:color w:val="auto"/>
          <w:highlight w:val="none"/>
        </w:rPr>
        <w:t>放射防护及磁屏蔽工程施工进度计划应深入至专业工程承包人施工界面内的具体工序的组织，时间刻度不应大于周。</w:t>
      </w:r>
    </w:p>
    <w:p>
      <w:pPr>
        <w:pStyle w:val="8"/>
        <w:numPr>
          <w:ilvl w:val="0"/>
          <w:numId w:val="28"/>
        </w:numPr>
        <w:rPr>
          <w:color w:val="auto"/>
          <w:highlight w:val="none"/>
        </w:rPr>
      </w:pPr>
      <w:r>
        <w:rPr>
          <w:rFonts w:hint="eastAsia"/>
          <w:color w:val="auto"/>
          <w:highlight w:val="none"/>
        </w:rPr>
        <w:t>专业工程承包人须向总承包人报送《施工进度计划》，并由总承包人负责协调和审批，</w:t>
      </w:r>
      <w:r>
        <w:rPr>
          <w:color w:val="auto"/>
          <w:highlight w:val="none"/>
        </w:rPr>
        <w:t xml:space="preserve"> </w:t>
      </w:r>
      <w:r>
        <w:rPr>
          <w:rFonts w:hint="eastAsia"/>
          <w:color w:val="auto"/>
          <w:highlight w:val="none"/>
        </w:rPr>
        <w:t>并逐级报送至监理人、发包人审批确定。</w:t>
      </w:r>
    </w:p>
    <w:p>
      <w:pPr>
        <w:pStyle w:val="8"/>
        <w:numPr>
          <w:ilvl w:val="0"/>
          <w:numId w:val="28"/>
        </w:numPr>
        <w:rPr>
          <w:color w:val="auto"/>
          <w:highlight w:val="none"/>
        </w:rPr>
      </w:pPr>
      <w:r>
        <w:rPr>
          <w:rFonts w:hint="eastAsia"/>
          <w:color w:val="auto"/>
          <w:highlight w:val="none"/>
        </w:rPr>
        <w:t>编制计划时应充分考虑施工工艺、周边环境、季节影响、农忙、重大庆典和传统节日、重要政府会议、环保督查、中高考等因素的影响。</w:t>
      </w:r>
    </w:p>
    <w:p>
      <w:pPr>
        <w:pStyle w:val="7"/>
        <w:rPr>
          <w:color w:val="auto"/>
          <w:highlight w:val="none"/>
        </w:rPr>
      </w:pPr>
      <w:r>
        <w:rPr>
          <w:rFonts w:hint="eastAsia"/>
          <w:color w:val="auto"/>
          <w:highlight w:val="none"/>
        </w:rPr>
        <w:t>编制过程协调</w:t>
      </w:r>
    </w:p>
    <w:p>
      <w:pPr>
        <w:pStyle w:val="8"/>
        <w:numPr>
          <w:ilvl w:val="0"/>
          <w:numId w:val="33"/>
        </w:numPr>
        <w:rPr>
          <w:color w:val="auto"/>
          <w:highlight w:val="none"/>
        </w:rPr>
      </w:pPr>
      <w:r>
        <w:rPr>
          <w:rFonts w:hint="eastAsia"/>
          <w:color w:val="auto"/>
          <w:highlight w:val="none"/>
        </w:rPr>
        <w:t>放射防护及磁屏蔽工程施工进度计划是防护工程施工阶段实施的主要依据，专业工程承包人在编制专业工程施工进度计划时，应与总承包人和其他专业的任务搭接合理。</w:t>
      </w:r>
    </w:p>
    <w:p>
      <w:pPr>
        <w:pStyle w:val="8"/>
        <w:numPr>
          <w:ilvl w:val="0"/>
          <w:numId w:val="28"/>
        </w:numPr>
        <w:rPr>
          <w:color w:val="auto"/>
          <w:highlight w:val="none"/>
        </w:rPr>
      </w:pPr>
      <w:r>
        <w:rPr>
          <w:rFonts w:hint="eastAsia"/>
          <w:color w:val="auto"/>
          <w:highlight w:val="none"/>
        </w:rPr>
        <w:t>放射防护及磁屏蔽工程施工进度计划应由项目经理组织编制、协调。</w:t>
      </w:r>
    </w:p>
    <w:p>
      <w:pPr>
        <w:pStyle w:val="8"/>
        <w:numPr>
          <w:ilvl w:val="0"/>
          <w:numId w:val="28"/>
        </w:numPr>
        <w:rPr>
          <w:color w:val="auto"/>
          <w:highlight w:val="none"/>
        </w:rPr>
      </w:pPr>
      <w:r>
        <w:rPr>
          <w:rFonts w:hint="eastAsia"/>
          <w:color w:val="auto"/>
          <w:highlight w:val="none"/>
        </w:rPr>
        <w:t>放射防护及磁屏蔽工程施工进度计划经审核通过后，由专业工程承包人项目经理签发，报总承包人、监理人、发包人，作为项目施工阶段各项工作开展依据，专业工程承包人应在进场后</w:t>
      </w:r>
      <w:r>
        <w:rPr>
          <w:color w:val="auto"/>
          <w:highlight w:val="none"/>
        </w:rPr>
        <w:t xml:space="preserve"> 14 </w:t>
      </w:r>
      <w:r>
        <w:rPr>
          <w:rFonts w:hint="eastAsia"/>
          <w:color w:val="auto"/>
          <w:highlight w:val="none"/>
        </w:rPr>
        <w:t>天内完成计划编制。</w:t>
      </w:r>
    </w:p>
    <w:p>
      <w:pPr>
        <w:pStyle w:val="5"/>
        <w:rPr>
          <w:color w:val="auto"/>
          <w:highlight w:val="none"/>
        </w:rPr>
      </w:pPr>
      <w:r>
        <w:rPr>
          <w:rFonts w:hint="eastAsia"/>
          <w:color w:val="auto"/>
          <w:highlight w:val="none"/>
        </w:rPr>
        <w:t>工程进度计划的管理要求</w:t>
      </w:r>
    </w:p>
    <w:p>
      <w:pPr>
        <w:pStyle w:val="7"/>
        <w:rPr>
          <w:color w:val="auto"/>
          <w:highlight w:val="none"/>
        </w:rPr>
      </w:pPr>
      <w:r>
        <w:rPr>
          <w:rFonts w:hint="eastAsia"/>
          <w:color w:val="auto"/>
          <w:highlight w:val="none"/>
        </w:rPr>
        <w:t>工程进度计划的实施</w:t>
      </w:r>
    </w:p>
    <w:p>
      <w:pPr>
        <w:pStyle w:val="8"/>
        <w:numPr>
          <w:ilvl w:val="0"/>
          <w:numId w:val="34"/>
        </w:numPr>
        <w:rPr>
          <w:color w:val="auto"/>
          <w:highlight w:val="none"/>
        </w:rPr>
      </w:pPr>
      <w:r>
        <w:rPr>
          <w:rFonts w:hint="eastAsia"/>
          <w:color w:val="auto"/>
          <w:highlight w:val="none"/>
        </w:rPr>
        <w:t>专业工程承包人按照经发包人审批确认工程施工进度计划组织施工。</w:t>
      </w:r>
    </w:p>
    <w:p>
      <w:pPr>
        <w:pStyle w:val="8"/>
        <w:numPr>
          <w:ilvl w:val="0"/>
          <w:numId w:val="28"/>
        </w:numPr>
        <w:rPr>
          <w:color w:val="auto"/>
          <w:highlight w:val="none"/>
        </w:rPr>
      </w:pPr>
      <w:r>
        <w:rPr>
          <w:rFonts w:hint="eastAsia"/>
          <w:color w:val="auto"/>
          <w:highlight w:val="none"/>
        </w:rPr>
        <w:t>总承包人负责监督、协调自有工作界面和照管专业承包工作界面内的施工进度。</w:t>
      </w:r>
    </w:p>
    <w:p>
      <w:pPr>
        <w:pStyle w:val="8"/>
        <w:numPr>
          <w:ilvl w:val="0"/>
          <w:numId w:val="28"/>
        </w:numPr>
        <w:rPr>
          <w:color w:val="auto"/>
          <w:highlight w:val="none"/>
        </w:rPr>
      </w:pPr>
      <w:r>
        <w:rPr>
          <w:rFonts w:hint="eastAsia"/>
          <w:color w:val="auto"/>
          <w:highlight w:val="none"/>
        </w:rPr>
        <w:t>专业工程承包人每周需按照总承包人要求按时提供周报告和下周施工计划。每月需按照总承包人要求提交本月月报及下月月施工计划。</w:t>
      </w:r>
    </w:p>
    <w:p>
      <w:pPr>
        <w:pStyle w:val="7"/>
        <w:rPr>
          <w:color w:val="auto"/>
          <w:highlight w:val="none"/>
        </w:rPr>
      </w:pPr>
      <w:r>
        <w:rPr>
          <w:rFonts w:hint="eastAsia"/>
          <w:color w:val="auto"/>
          <w:highlight w:val="none"/>
        </w:rPr>
        <w:t>工程进度计划的检查和纠偏</w:t>
      </w:r>
    </w:p>
    <w:p>
      <w:pPr>
        <w:pStyle w:val="8"/>
        <w:numPr>
          <w:ilvl w:val="0"/>
          <w:numId w:val="35"/>
        </w:numPr>
        <w:rPr>
          <w:color w:val="auto"/>
          <w:highlight w:val="none"/>
        </w:rPr>
      </w:pPr>
      <w:r>
        <w:rPr>
          <w:rFonts w:hint="eastAsia"/>
          <w:color w:val="auto"/>
          <w:highlight w:val="none"/>
        </w:rPr>
        <w:t>总承包人、监理人、发包人对专业工程承包人的施工组织、进度、资源投入进行检查，</w:t>
      </w:r>
      <w:r>
        <w:rPr>
          <w:color w:val="auto"/>
          <w:highlight w:val="none"/>
        </w:rPr>
        <w:t xml:space="preserve"> </w:t>
      </w:r>
      <w:r>
        <w:rPr>
          <w:rFonts w:hint="eastAsia"/>
          <w:color w:val="auto"/>
          <w:highlight w:val="none"/>
        </w:rPr>
        <w:t>发现不符合施工组织设计和计划的施工组织方法、工作面管理，或者施工投入不足、效率低下，影响计划时，专业工程承包人应积极配合调整。</w:t>
      </w:r>
    </w:p>
    <w:p>
      <w:pPr>
        <w:pStyle w:val="8"/>
        <w:numPr>
          <w:ilvl w:val="0"/>
          <w:numId w:val="28"/>
        </w:numPr>
        <w:rPr>
          <w:color w:val="auto"/>
          <w:highlight w:val="none"/>
        </w:rPr>
      </w:pPr>
      <w:r>
        <w:rPr>
          <w:rFonts w:hint="eastAsia"/>
          <w:color w:val="auto"/>
          <w:highlight w:val="none"/>
        </w:rPr>
        <w:t>纠偏措施审批</w:t>
      </w:r>
      <w:r>
        <w:rPr>
          <w:color w:val="auto"/>
          <w:highlight w:val="none"/>
        </w:rPr>
        <w:t>:</w:t>
      </w:r>
    </w:p>
    <w:p>
      <w:pPr>
        <w:pStyle w:val="9"/>
        <w:numPr>
          <w:ilvl w:val="1"/>
          <w:numId w:val="36"/>
        </w:numPr>
        <w:rPr>
          <w:color w:val="auto"/>
          <w:highlight w:val="none"/>
        </w:rPr>
      </w:pPr>
      <w:r>
        <w:rPr>
          <w:rFonts w:hint="eastAsia"/>
          <w:color w:val="auto"/>
          <w:highlight w:val="none"/>
        </w:rPr>
        <w:t>周进度偏差</w:t>
      </w:r>
      <w:r>
        <w:rPr>
          <w:color w:val="auto"/>
          <w:highlight w:val="none"/>
        </w:rPr>
        <w:t>:</w:t>
      </w:r>
      <w:r>
        <w:rPr>
          <w:rFonts w:hint="eastAsia"/>
          <w:color w:val="auto"/>
          <w:highlight w:val="none"/>
        </w:rPr>
        <w:t>针对周进度偏差，分析偏差原因，专业工程承包人应根据总承包人、监理人、发包人意见提出纠偏措施，由总承包人、监理人、发包人确认并督促执行。</w:t>
      </w:r>
    </w:p>
    <w:p>
      <w:pPr>
        <w:pStyle w:val="9"/>
        <w:numPr>
          <w:ilvl w:val="1"/>
          <w:numId w:val="36"/>
        </w:numPr>
        <w:rPr>
          <w:color w:val="auto"/>
          <w:highlight w:val="none"/>
        </w:rPr>
      </w:pPr>
      <w:r>
        <w:rPr>
          <w:rFonts w:hint="eastAsia"/>
          <w:color w:val="auto"/>
          <w:highlight w:val="none"/>
        </w:rPr>
        <w:t>累积偏差</w:t>
      </w:r>
      <w:r>
        <w:rPr>
          <w:color w:val="auto"/>
          <w:highlight w:val="none"/>
        </w:rPr>
        <w:t>:</w:t>
      </w:r>
      <w:r>
        <w:rPr>
          <w:rFonts w:hint="eastAsia"/>
          <w:color w:val="auto"/>
          <w:highlight w:val="none"/>
        </w:rPr>
        <w:t>当实际进度与放射防护及磁屏蔽工程施工计划累计偏差超过两周时，总承包人、监理人应向发包人提交专项报告，并责令专业工程承包人提交进度纠偏方案，四方共同就专业工程承包人的进度纠偏方案确认，专业工程承包人必须按纠偏方案执行。</w:t>
      </w:r>
    </w:p>
    <w:p>
      <w:pPr>
        <w:pStyle w:val="7"/>
        <w:rPr>
          <w:color w:val="auto"/>
          <w:highlight w:val="none"/>
        </w:rPr>
      </w:pPr>
      <w:r>
        <w:rPr>
          <w:rFonts w:hint="eastAsia"/>
          <w:color w:val="auto"/>
          <w:highlight w:val="none"/>
        </w:rPr>
        <w:t>进度管理报表</w:t>
      </w:r>
    </w:p>
    <w:p>
      <w:pPr>
        <w:tabs>
          <w:tab w:val="left" w:pos="1225"/>
        </w:tabs>
        <w:ind w:left="1224" w:firstLine="581"/>
        <w:rPr>
          <w:rFonts w:ascii="Times New Roman" w:hAnsi="Times New Roman" w:cs="Times New Roman"/>
          <w:color w:val="auto"/>
          <w:highlight w:val="none"/>
          <w:lang w:eastAsia="zh-CN"/>
        </w:rPr>
      </w:pPr>
      <w:r>
        <w:rPr>
          <w:rFonts w:hint="eastAsia" w:ascii="Times New Roman" w:hAnsi="Times New Roman" w:cs="Times New Roman"/>
          <w:color w:val="auto"/>
          <w:highlight w:val="none"/>
          <w:lang w:eastAsia="zh-CN"/>
        </w:rPr>
        <w:t>专业工程承包人应向总承包人、监理人和发包人按时提交《周工作报告》、《月工作报告》，在《周工作报告》、《月工作报告》中应包含周、月度工作计划。专业工程承包人进度报表的内容</w:t>
      </w:r>
      <w:r>
        <w:rPr>
          <w:rFonts w:ascii="Times New Roman" w:hAnsi="Times New Roman" w:cs="Times New Roman"/>
          <w:color w:val="auto"/>
          <w:highlight w:val="none"/>
          <w:lang w:eastAsia="zh-CN"/>
        </w:rPr>
        <w:t>:</w:t>
      </w:r>
    </w:p>
    <w:p>
      <w:pPr>
        <w:pStyle w:val="8"/>
        <w:numPr>
          <w:ilvl w:val="0"/>
          <w:numId w:val="37"/>
        </w:numPr>
        <w:rPr>
          <w:color w:val="auto"/>
          <w:highlight w:val="none"/>
        </w:rPr>
      </w:pPr>
      <w:r>
        <w:rPr>
          <w:rFonts w:hint="eastAsia"/>
          <w:color w:val="auto"/>
          <w:highlight w:val="none"/>
        </w:rPr>
        <w:t>在现场工作的技术管理人员数量、技术工人和非技术工人数量。</w:t>
      </w:r>
    </w:p>
    <w:p>
      <w:pPr>
        <w:pStyle w:val="8"/>
        <w:numPr>
          <w:ilvl w:val="0"/>
          <w:numId w:val="28"/>
        </w:numPr>
        <w:rPr>
          <w:color w:val="auto"/>
          <w:highlight w:val="none"/>
        </w:rPr>
      </w:pPr>
      <w:r>
        <w:rPr>
          <w:rFonts w:hint="eastAsia"/>
          <w:color w:val="auto"/>
          <w:highlight w:val="none"/>
        </w:rPr>
        <w:t>现场所使用的各种主要机械设备和车辆的型号、数量和台班，工作区段，工程进度情况，天气情况记录，诸如停工、事故等特别事项说明。</w:t>
      </w:r>
    </w:p>
    <w:p>
      <w:pPr>
        <w:pStyle w:val="8"/>
        <w:numPr>
          <w:ilvl w:val="0"/>
          <w:numId w:val="28"/>
        </w:numPr>
        <w:rPr>
          <w:color w:val="auto"/>
          <w:highlight w:val="none"/>
        </w:rPr>
      </w:pPr>
      <w:r>
        <w:rPr>
          <w:rFonts w:hint="eastAsia"/>
          <w:color w:val="auto"/>
          <w:highlight w:val="none"/>
        </w:rPr>
        <w:t>进场材料、物品或设备分类汇总表、用于次周或下月的工程进度计划。</w:t>
      </w:r>
    </w:p>
    <w:p>
      <w:pPr>
        <w:pStyle w:val="7"/>
        <w:rPr>
          <w:color w:val="auto"/>
          <w:highlight w:val="none"/>
        </w:rPr>
      </w:pPr>
      <w:r>
        <w:rPr>
          <w:rFonts w:hint="eastAsia"/>
          <w:color w:val="auto"/>
          <w:highlight w:val="none"/>
        </w:rPr>
        <w:t>工程进度计划考核</w:t>
      </w:r>
    </w:p>
    <w:p>
      <w:pPr>
        <w:pStyle w:val="8"/>
        <w:numPr>
          <w:ilvl w:val="0"/>
          <w:numId w:val="38"/>
        </w:numPr>
        <w:rPr>
          <w:color w:val="auto"/>
          <w:highlight w:val="none"/>
        </w:rPr>
      </w:pPr>
      <w:r>
        <w:rPr>
          <w:rFonts w:hint="eastAsia"/>
          <w:color w:val="auto"/>
          <w:highlight w:val="none"/>
        </w:rPr>
        <w:t>不符合计划进度，进度拖延累计超过</w:t>
      </w:r>
      <w:r>
        <w:rPr>
          <w:color w:val="auto"/>
          <w:highlight w:val="none"/>
        </w:rPr>
        <w:t xml:space="preserve"> 3 </w:t>
      </w:r>
      <w:r>
        <w:rPr>
          <w:rFonts w:hint="eastAsia"/>
          <w:color w:val="auto"/>
          <w:highlight w:val="none"/>
        </w:rPr>
        <w:t>天，由专业工程承包人项目经理汇报原因并制定措施。</w:t>
      </w:r>
    </w:p>
    <w:p>
      <w:pPr>
        <w:pStyle w:val="8"/>
        <w:numPr>
          <w:ilvl w:val="0"/>
          <w:numId w:val="28"/>
        </w:numPr>
        <w:rPr>
          <w:color w:val="auto"/>
          <w:highlight w:val="none"/>
        </w:rPr>
      </w:pPr>
      <w:r>
        <w:rPr>
          <w:rFonts w:hint="eastAsia"/>
          <w:color w:val="auto"/>
          <w:highlight w:val="none"/>
        </w:rPr>
        <w:t>如果进度计划累计</w:t>
      </w:r>
      <w:r>
        <w:rPr>
          <w:color w:val="auto"/>
          <w:highlight w:val="none"/>
        </w:rPr>
        <w:t xml:space="preserve"> 7 </w:t>
      </w:r>
      <w:r>
        <w:rPr>
          <w:rFonts w:hint="eastAsia"/>
          <w:color w:val="auto"/>
          <w:highlight w:val="none"/>
        </w:rPr>
        <w:t>天以上或</w:t>
      </w:r>
      <w:r>
        <w:rPr>
          <w:color w:val="auto"/>
          <w:highlight w:val="none"/>
        </w:rPr>
        <w:t xml:space="preserve"> 10 </w:t>
      </w:r>
      <w:r>
        <w:rPr>
          <w:rFonts w:hint="eastAsia"/>
          <w:color w:val="auto"/>
          <w:highlight w:val="none"/>
        </w:rPr>
        <w:t>天内未抢回拖后的</w:t>
      </w:r>
      <w:r>
        <w:rPr>
          <w:color w:val="auto"/>
          <w:highlight w:val="none"/>
        </w:rPr>
        <w:t xml:space="preserve"> 7 </w:t>
      </w:r>
      <w:r>
        <w:rPr>
          <w:rFonts w:hint="eastAsia"/>
          <w:color w:val="auto"/>
          <w:highlight w:val="none"/>
        </w:rPr>
        <w:t>天工期，专业工程承包人项目总经理驻场制定措施，并直至赶回工期。</w:t>
      </w:r>
    </w:p>
    <w:p>
      <w:pPr>
        <w:pStyle w:val="7"/>
        <w:rPr>
          <w:color w:val="auto"/>
          <w:highlight w:val="none"/>
        </w:rPr>
      </w:pPr>
      <w:r>
        <w:rPr>
          <w:rFonts w:hint="eastAsia"/>
          <w:color w:val="auto"/>
          <w:highlight w:val="none"/>
        </w:rPr>
        <w:t>其他</w:t>
      </w:r>
    </w:p>
    <w:p>
      <w:pPr>
        <w:pStyle w:val="8"/>
        <w:numPr>
          <w:ilvl w:val="0"/>
          <w:numId w:val="39"/>
        </w:numPr>
        <w:rPr>
          <w:color w:val="auto"/>
          <w:highlight w:val="none"/>
        </w:rPr>
      </w:pPr>
      <w:r>
        <w:rPr>
          <w:rFonts w:hint="eastAsia"/>
          <w:color w:val="auto"/>
          <w:highlight w:val="none"/>
        </w:rPr>
        <w:t>现场施工人员数量必须满足施工进度要求，当发现施工人员数量无法满足施工进度要求时，总承包人、监理人、发包人均有权要求放射防护及磁屏蔽工程专业工程承包人增加施工人员和管理人员，放射防护及磁屏蔽工程专业工程承包人需在</w:t>
      </w:r>
      <w:r>
        <w:rPr>
          <w:color w:val="auto"/>
          <w:highlight w:val="none"/>
        </w:rPr>
        <w:t xml:space="preserve"> 48 </w:t>
      </w:r>
      <w:r>
        <w:rPr>
          <w:rFonts w:hint="eastAsia"/>
          <w:color w:val="auto"/>
          <w:highlight w:val="none"/>
        </w:rPr>
        <w:t>小时内按发包人要求将人员补充到位。</w:t>
      </w:r>
    </w:p>
    <w:p>
      <w:pPr>
        <w:pStyle w:val="8"/>
        <w:numPr>
          <w:ilvl w:val="0"/>
          <w:numId w:val="28"/>
        </w:numPr>
        <w:rPr>
          <w:color w:val="auto"/>
          <w:highlight w:val="none"/>
        </w:rPr>
      </w:pPr>
      <w:r>
        <w:rPr>
          <w:rFonts w:hint="eastAsia"/>
          <w:color w:val="auto"/>
          <w:highlight w:val="none"/>
        </w:rPr>
        <w:t>对一些关键节点、工序或发包人有特殊要求必须在某个时间段完成的工作，专业工程承包人必须在人员、材料、机械方面全力予以配合，确保在要求的时间内完成。</w:t>
      </w:r>
    </w:p>
    <w:p>
      <w:pPr>
        <w:pStyle w:val="4"/>
        <w:rPr>
          <w:color w:val="auto"/>
          <w:highlight w:val="none"/>
        </w:rPr>
      </w:pPr>
      <w:bookmarkStart w:id="35" w:name="_Toc122371828"/>
      <w:r>
        <w:rPr>
          <w:rFonts w:hint="eastAsia"/>
          <w:color w:val="auto"/>
          <w:highlight w:val="none"/>
        </w:rPr>
        <w:t>深化设计要求</w:t>
      </w:r>
      <w:bookmarkEnd w:id="35"/>
    </w:p>
    <w:p>
      <w:pPr>
        <w:ind w:left="426" w:firstLine="551" w:firstLineChars="242"/>
        <w:jc w:val="both"/>
        <w:rPr>
          <w:rFonts w:ascii="Times New Roman" w:hAnsi="Times New Roman" w:cs="Times New Roman"/>
          <w:color w:val="auto"/>
          <w:szCs w:val="24"/>
          <w:highlight w:val="none"/>
          <w:lang w:eastAsia="zh-CN"/>
        </w:rPr>
      </w:pPr>
      <w:r>
        <w:rPr>
          <w:rFonts w:hint="eastAsia" w:ascii="Times New Roman" w:hAnsi="Times New Roman" w:cs="Times New Roman"/>
          <w:color w:val="auto"/>
          <w:spacing w:val="-6"/>
          <w:szCs w:val="24"/>
          <w:highlight w:val="none"/>
          <w:lang w:eastAsia="zh-CN"/>
        </w:rPr>
        <w:t>专业工程承包人进场后，在原材料订货、加工、运输以及现场开工以前，需按照现场移</w:t>
      </w:r>
      <w:r>
        <w:rPr>
          <w:rFonts w:hint="eastAsia" w:ascii="Times New Roman" w:hAnsi="Times New Roman" w:cs="Times New Roman"/>
          <w:color w:val="auto"/>
          <w:spacing w:val="-7"/>
          <w:szCs w:val="24"/>
          <w:highlight w:val="none"/>
          <w:lang w:eastAsia="zh-CN"/>
        </w:rPr>
        <w:t>交条件，复核设计图纸尺寸并深化图纸，使之满足设计意图及相关规范要求。</w:t>
      </w:r>
      <w:r>
        <w:rPr>
          <w:rFonts w:hint="eastAsia" w:ascii="Times New Roman" w:hAnsi="Times New Roman" w:cs="Times New Roman"/>
          <w:color w:val="auto"/>
          <w:szCs w:val="24"/>
          <w:highlight w:val="none"/>
          <w:lang w:eastAsia="zh-CN"/>
        </w:rPr>
        <w:t>如未进行现场复核尺寸即进行加工定做，由此造成的损失由专业工程承包人承担。</w:t>
      </w:r>
    </w:p>
    <w:p>
      <w:pPr>
        <w:ind w:left="426" w:firstLine="561" w:firstLineChars="242"/>
        <w:jc w:val="both"/>
        <w:rPr>
          <w:rFonts w:ascii="Times New Roman" w:hAnsi="Times New Roman" w:cs="Times New Roman"/>
          <w:color w:val="auto"/>
          <w:szCs w:val="24"/>
          <w:highlight w:val="none"/>
          <w:lang w:eastAsia="zh-CN"/>
        </w:rPr>
      </w:pPr>
      <w:r>
        <w:rPr>
          <w:rFonts w:hint="eastAsia" w:ascii="Times New Roman" w:hAnsi="Times New Roman" w:cs="Times New Roman"/>
          <w:color w:val="auto"/>
          <w:spacing w:val="-4"/>
          <w:szCs w:val="24"/>
          <w:highlight w:val="none"/>
          <w:lang w:eastAsia="zh-CN"/>
        </w:rPr>
        <w:t>放射防护及磁屏蔽深化设计图纸应严格遵循防护工程施工蓝图，在蓝图基础上进行深化设计。深</w:t>
      </w:r>
      <w:r>
        <w:rPr>
          <w:rFonts w:hint="eastAsia" w:ascii="Times New Roman" w:hAnsi="Times New Roman" w:cs="Times New Roman"/>
          <w:color w:val="auto"/>
          <w:spacing w:val="4"/>
          <w:szCs w:val="24"/>
          <w:highlight w:val="none"/>
          <w:lang w:eastAsia="zh-CN"/>
        </w:rPr>
        <w:t>化设计图纸必须有一定的全面性，应该包含整个招标范围内所涉及的全部内</w:t>
      </w:r>
      <w:r>
        <w:rPr>
          <w:rFonts w:hint="eastAsia" w:ascii="Times New Roman" w:hAnsi="Times New Roman" w:cs="Times New Roman"/>
          <w:color w:val="auto"/>
          <w:spacing w:val="-9"/>
          <w:szCs w:val="24"/>
          <w:highlight w:val="none"/>
          <w:lang w:eastAsia="zh-CN"/>
        </w:rPr>
        <w:t>容。如有任何疑问，专业工程承包人须在回标时以书面方式提出。深化设计范围包括工</w:t>
      </w:r>
      <w:r>
        <w:rPr>
          <w:rFonts w:hint="eastAsia" w:ascii="Times New Roman" w:hAnsi="Times New Roman" w:cs="Times New Roman"/>
          <w:color w:val="auto"/>
          <w:spacing w:val="-5"/>
          <w:szCs w:val="24"/>
          <w:highlight w:val="none"/>
          <w:lang w:eastAsia="zh-CN"/>
        </w:rPr>
        <w:t>程全过程与全部相关专业，专业工程承包人应对深化设计工作量有充分预计。深化设计</w:t>
      </w:r>
      <w:r>
        <w:rPr>
          <w:rFonts w:hint="eastAsia" w:ascii="Times New Roman" w:hAnsi="Times New Roman" w:cs="Times New Roman"/>
          <w:color w:val="auto"/>
          <w:szCs w:val="24"/>
          <w:highlight w:val="none"/>
          <w:lang w:eastAsia="zh-CN"/>
        </w:rPr>
        <w:t>所需费用除非单独约定外，均视为包含在报价中。</w:t>
      </w:r>
    </w:p>
    <w:p>
      <w:pPr>
        <w:ind w:left="426" w:firstLine="566" w:firstLineChars="242"/>
        <w:jc w:val="both"/>
        <w:rPr>
          <w:rFonts w:ascii="Times New Roman" w:hAnsi="Times New Roman" w:cs="Times New Roman"/>
          <w:color w:val="auto"/>
          <w:szCs w:val="24"/>
          <w:highlight w:val="none"/>
        </w:rPr>
      </w:pPr>
      <w:r>
        <w:rPr>
          <w:rFonts w:hint="eastAsia" w:ascii="Times New Roman" w:hAnsi="Times New Roman" w:cs="Times New Roman"/>
          <w:color w:val="auto"/>
          <w:spacing w:val="-3"/>
          <w:szCs w:val="24"/>
          <w:highlight w:val="none"/>
          <w:lang w:eastAsia="zh-CN"/>
        </w:rPr>
        <w:t>专业工程承包人应按照施工蓝图设计要求进行深化补充设计，深化设计图纸需经发包人及设计人</w:t>
      </w:r>
      <w:r>
        <w:rPr>
          <w:rFonts w:hint="eastAsia" w:ascii="Times New Roman" w:hAnsi="Times New Roman" w:cs="Times New Roman"/>
          <w:color w:val="auto"/>
          <w:spacing w:val="-9"/>
          <w:szCs w:val="24"/>
          <w:highlight w:val="none"/>
          <w:lang w:eastAsia="zh-CN"/>
        </w:rPr>
        <w:t>审核确认。深化设计时应充分考虑现场实际条件，熟悉预评价、建筑、结构、机电、给</w:t>
      </w:r>
      <w:r>
        <w:rPr>
          <w:rFonts w:hint="eastAsia" w:ascii="Times New Roman" w:hAnsi="Times New Roman" w:cs="Times New Roman"/>
          <w:color w:val="auto"/>
          <w:spacing w:val="-10"/>
          <w:szCs w:val="24"/>
          <w:highlight w:val="none"/>
          <w:lang w:eastAsia="zh-CN"/>
        </w:rPr>
        <w:t>排水、消防、幕墙、精装等各专业施工图纸，完成所有预评价图纸</w:t>
      </w:r>
      <w:r>
        <w:rPr>
          <w:rFonts w:hint="eastAsia" w:ascii="Times New Roman" w:hAnsi="Times New Roman" w:cs="Times New Roman"/>
          <w:color w:val="auto"/>
          <w:spacing w:val="-8"/>
          <w:szCs w:val="24"/>
          <w:highlight w:val="none"/>
          <w:lang w:eastAsia="zh-CN"/>
        </w:rPr>
        <w:t>和防护施工图纸的叠图、复核工作，并提</w:t>
      </w:r>
      <w:r>
        <w:rPr>
          <w:rFonts w:hint="eastAsia" w:ascii="Times New Roman" w:hAnsi="Times New Roman" w:cs="Times New Roman"/>
          <w:color w:val="auto"/>
          <w:spacing w:val="-12"/>
          <w:szCs w:val="24"/>
          <w:highlight w:val="none"/>
          <w:lang w:eastAsia="zh-CN"/>
        </w:rPr>
        <w:t>出完整的深化解决方案。专业工程承包人应按照发包人要求提供相应电子文件，经发包人确认。具体要求如下</w:t>
      </w:r>
      <w:r>
        <w:rPr>
          <w:rFonts w:ascii="Times New Roman" w:hAnsi="Times New Roman" w:cs="Times New Roman"/>
          <w:color w:val="auto"/>
          <w:spacing w:val="-12"/>
          <w:szCs w:val="24"/>
          <w:highlight w:val="none"/>
          <w:lang w:eastAsia="zh-CN"/>
        </w:rPr>
        <w:t>:</w:t>
      </w:r>
    </w:p>
    <w:p>
      <w:pPr>
        <w:pStyle w:val="5"/>
        <w:rPr>
          <w:color w:val="auto"/>
          <w:highlight w:val="none"/>
        </w:rPr>
      </w:pPr>
      <w:r>
        <w:rPr>
          <w:rFonts w:hint="eastAsia"/>
          <w:color w:val="auto"/>
          <w:highlight w:val="none"/>
        </w:rPr>
        <w:t>深化设计进度要求</w:t>
      </w:r>
    </w:p>
    <w:p>
      <w:pPr>
        <w:ind w:left="1037" w:firstLine="581"/>
        <w:jc w:val="both"/>
        <w:rPr>
          <w:rFonts w:ascii="Times New Roman" w:hAnsi="Times New Roman" w:cs="Times New Roman"/>
          <w:color w:val="auto"/>
          <w:szCs w:val="24"/>
          <w:highlight w:val="none"/>
          <w:lang w:eastAsia="zh-CN"/>
        </w:rPr>
      </w:pPr>
      <w:r>
        <w:rPr>
          <w:rFonts w:hint="eastAsia" w:ascii="Times New Roman" w:hAnsi="Times New Roman" w:cs="Times New Roman"/>
          <w:color w:val="auto"/>
          <w:szCs w:val="24"/>
          <w:highlight w:val="none"/>
          <w:lang w:eastAsia="zh-CN"/>
        </w:rPr>
        <w:t>施工图深化设计应在中标通知书发出后</w:t>
      </w:r>
      <w:r>
        <w:rPr>
          <w:rFonts w:ascii="Times New Roman" w:hAnsi="Times New Roman" w:cs="Times New Roman"/>
          <w:color w:val="auto"/>
          <w:szCs w:val="24"/>
          <w:highlight w:val="none"/>
          <w:u w:val="single"/>
          <w:lang w:eastAsia="zh-CN"/>
        </w:rPr>
        <w:t>_15</w:t>
      </w:r>
      <w:r>
        <w:rPr>
          <w:rFonts w:hint="eastAsia" w:ascii="Times New Roman" w:hAnsi="Times New Roman" w:cs="Times New Roman"/>
          <w:color w:val="auto"/>
          <w:szCs w:val="24"/>
          <w:highlight w:val="none"/>
          <w:u w:val="single"/>
          <w:lang w:eastAsia="zh-CN"/>
        </w:rPr>
        <w:t>日历天内</w:t>
      </w:r>
      <w:r>
        <w:rPr>
          <w:rFonts w:ascii="Times New Roman" w:hAnsi="Times New Roman" w:cs="Times New Roman"/>
          <w:color w:val="auto"/>
          <w:szCs w:val="24"/>
          <w:highlight w:val="none"/>
          <w:lang w:eastAsia="zh-CN"/>
        </w:rPr>
        <w:t>_</w:t>
      </w:r>
      <w:r>
        <w:rPr>
          <w:rFonts w:hint="eastAsia" w:ascii="Times New Roman" w:hAnsi="Times New Roman" w:cs="Times New Roman"/>
          <w:color w:val="auto"/>
          <w:szCs w:val="24"/>
          <w:highlight w:val="none"/>
          <w:lang w:eastAsia="zh-CN"/>
        </w:rPr>
        <w:t>全部完成，专业工程承包人</w:t>
      </w:r>
      <w:r>
        <w:rPr>
          <w:rFonts w:ascii="Times New Roman" w:hAnsi="Times New Roman" w:cs="Times New Roman"/>
          <w:color w:val="auto"/>
          <w:szCs w:val="24"/>
          <w:highlight w:val="none"/>
          <w:u w:val="single"/>
          <w:lang w:eastAsia="zh-CN"/>
        </w:rPr>
        <w:t xml:space="preserve"> </w:t>
      </w:r>
      <w:r>
        <w:rPr>
          <w:rFonts w:hint="eastAsia" w:ascii="Times New Roman" w:hAnsi="Times New Roman" w:cs="Times New Roman"/>
          <w:color w:val="auto"/>
          <w:szCs w:val="24"/>
          <w:highlight w:val="none"/>
          <w:u w:val="single"/>
          <w:lang w:eastAsia="zh-CN"/>
        </w:rPr>
        <w:t>中标后应</w:t>
      </w:r>
      <w:r>
        <w:rPr>
          <w:rFonts w:ascii="Times New Roman" w:hAnsi="Times New Roman" w:cs="Times New Roman"/>
          <w:color w:val="auto"/>
          <w:szCs w:val="24"/>
          <w:highlight w:val="none"/>
          <w:u w:val="single"/>
          <w:lang w:eastAsia="zh-CN"/>
        </w:rPr>
        <w:t>5</w:t>
      </w:r>
      <w:r>
        <w:rPr>
          <w:rFonts w:hint="eastAsia" w:ascii="Times New Roman" w:hAnsi="Times New Roman" w:cs="Times New Roman"/>
          <w:color w:val="auto"/>
          <w:szCs w:val="24"/>
          <w:highlight w:val="none"/>
          <w:u w:val="single"/>
          <w:lang w:eastAsia="zh-CN"/>
        </w:rPr>
        <w:t>天内</w:t>
      </w:r>
      <w:r>
        <w:rPr>
          <w:rFonts w:ascii="Times New Roman" w:hAnsi="Times New Roman" w:cs="Times New Roman"/>
          <w:color w:val="auto"/>
          <w:szCs w:val="24"/>
          <w:highlight w:val="none"/>
          <w:u w:val="single"/>
          <w:lang w:eastAsia="zh-CN"/>
        </w:rPr>
        <w:t xml:space="preserve">  </w:t>
      </w:r>
      <w:r>
        <w:rPr>
          <w:rFonts w:hint="eastAsia" w:ascii="Times New Roman" w:hAnsi="Times New Roman" w:cs="Times New Roman"/>
          <w:color w:val="auto"/>
          <w:szCs w:val="24"/>
          <w:highlight w:val="none"/>
          <w:lang w:eastAsia="zh-CN"/>
        </w:rPr>
        <w:t>上报施工图深化的进度计划。</w:t>
      </w:r>
    </w:p>
    <w:p>
      <w:pPr>
        <w:pStyle w:val="5"/>
        <w:rPr>
          <w:color w:val="auto"/>
          <w:highlight w:val="none"/>
        </w:rPr>
      </w:pPr>
      <w:r>
        <w:rPr>
          <w:rFonts w:hint="eastAsia"/>
          <w:color w:val="auto"/>
          <w:highlight w:val="none"/>
        </w:rPr>
        <w:t>人员配置及要求</w:t>
      </w:r>
    </w:p>
    <w:p>
      <w:pPr>
        <w:tabs>
          <w:tab w:val="left" w:pos="1045"/>
        </w:tabs>
        <w:ind w:left="1044" w:firstLine="581"/>
        <w:rPr>
          <w:rFonts w:ascii="Times New Roman" w:hAnsi="Times New Roman" w:cs="Times New Roman"/>
          <w:color w:val="auto"/>
          <w:highlight w:val="none"/>
          <w:lang w:eastAsia="zh-CN"/>
        </w:rPr>
      </w:pPr>
      <w:r>
        <w:rPr>
          <w:rFonts w:hint="eastAsia" w:ascii="Times New Roman" w:hAnsi="Times New Roman" w:cs="Times New Roman"/>
          <w:color w:val="auto"/>
          <w:highlight w:val="none"/>
          <w:lang w:eastAsia="zh-CN"/>
        </w:rPr>
        <w:t>在专业工程承包人技术负责人的带领下，按合同约定配置有经验的深化技术人员驻场，</w:t>
      </w:r>
      <w:r>
        <w:rPr>
          <w:rFonts w:ascii="Times New Roman" w:hAnsi="Times New Roman" w:cs="Times New Roman"/>
          <w:color w:val="auto"/>
          <w:highlight w:val="none"/>
          <w:lang w:eastAsia="zh-CN"/>
        </w:rPr>
        <w:t xml:space="preserve"> </w:t>
      </w:r>
      <w:r>
        <w:rPr>
          <w:rFonts w:hint="eastAsia" w:ascii="Times New Roman" w:hAnsi="Times New Roman" w:cs="Times New Roman"/>
          <w:color w:val="auto"/>
          <w:highlight w:val="none"/>
          <w:lang w:eastAsia="zh-CN"/>
        </w:rPr>
        <w:t>开展深化设计工作。</w:t>
      </w:r>
    </w:p>
    <w:p>
      <w:pPr>
        <w:pStyle w:val="5"/>
        <w:rPr>
          <w:color w:val="auto"/>
          <w:sz w:val="28"/>
          <w:highlight w:val="none"/>
        </w:rPr>
      </w:pPr>
      <w:r>
        <w:rPr>
          <w:rFonts w:hint="eastAsia"/>
          <w:color w:val="auto"/>
          <w:highlight w:val="none"/>
        </w:rPr>
        <w:t>深化设计工作内容包括但不限于</w:t>
      </w:r>
      <w:r>
        <w:rPr>
          <w:color w:val="auto"/>
          <w:highlight w:val="none"/>
        </w:rPr>
        <w:t>:</w:t>
      </w:r>
      <w:r>
        <w:rPr>
          <w:rFonts w:hint="eastAsia"/>
          <w:color w:val="auto"/>
          <w:highlight w:val="none"/>
        </w:rPr>
        <w:t>（各项目根据项目实际情况增减相关内容）</w:t>
      </w:r>
    </w:p>
    <w:p>
      <w:pPr>
        <w:numPr>
          <w:ilvl w:val="0"/>
          <w:numId w:val="40"/>
        </w:numPr>
        <w:ind w:left="1037" w:firstLine="581"/>
        <w:rPr>
          <w:rFonts w:ascii="Times New Roman" w:hAnsi="Times New Roman" w:cs="Times New Roman"/>
          <w:color w:val="auto"/>
          <w:szCs w:val="24"/>
          <w:highlight w:val="none"/>
          <w:lang w:eastAsia="zh-CN"/>
        </w:rPr>
      </w:pPr>
      <w:r>
        <w:rPr>
          <w:rFonts w:hint="eastAsia" w:ascii="Times New Roman" w:hAnsi="Times New Roman" w:cs="Times New Roman"/>
          <w:color w:val="auto"/>
          <w:szCs w:val="24"/>
          <w:highlight w:val="none"/>
          <w:lang w:eastAsia="zh-CN"/>
        </w:rPr>
        <w:t>承包范围内的专业深化设计、装修深化设计、管线深化设计及</w:t>
      </w:r>
      <w:r>
        <w:rPr>
          <w:rFonts w:ascii="Times New Roman" w:hAnsi="Times New Roman" w:cs="Times New Roman"/>
          <w:color w:val="auto"/>
          <w:szCs w:val="24"/>
          <w:highlight w:val="none"/>
          <w:lang w:eastAsia="zh-CN"/>
        </w:rPr>
        <w:t>BIM</w:t>
      </w:r>
      <w:r>
        <w:rPr>
          <w:rFonts w:hint="eastAsia" w:ascii="Times New Roman" w:hAnsi="Times New Roman" w:cs="Times New Roman"/>
          <w:color w:val="auto"/>
          <w:szCs w:val="24"/>
          <w:highlight w:val="none"/>
          <w:lang w:eastAsia="zh-CN"/>
        </w:rPr>
        <w:t>设计等。</w:t>
      </w:r>
    </w:p>
    <w:p>
      <w:pPr>
        <w:numPr>
          <w:ilvl w:val="0"/>
          <w:numId w:val="40"/>
        </w:numPr>
        <w:ind w:left="1037" w:firstLine="581"/>
        <w:rPr>
          <w:rFonts w:ascii="Times New Roman" w:hAnsi="Times New Roman" w:cs="Times New Roman"/>
          <w:color w:val="auto"/>
          <w:szCs w:val="24"/>
          <w:highlight w:val="none"/>
          <w:lang w:eastAsia="zh-CN"/>
        </w:rPr>
      </w:pPr>
      <w:r>
        <w:rPr>
          <w:rFonts w:hint="eastAsia" w:ascii="Times New Roman" w:hAnsi="Times New Roman" w:cs="Times New Roman"/>
          <w:color w:val="auto"/>
          <w:szCs w:val="24"/>
          <w:highlight w:val="none"/>
          <w:lang w:eastAsia="zh-CN"/>
        </w:rPr>
        <w:t>配合总承包及其他承包商完成防护区域的各专业（包含但不限于：空调风管、水管，排风管，强电，弱电等）管线深化设计及</w:t>
      </w:r>
      <w:r>
        <w:rPr>
          <w:rFonts w:ascii="Times New Roman" w:hAnsi="Times New Roman" w:cs="Times New Roman"/>
          <w:color w:val="auto"/>
          <w:szCs w:val="24"/>
          <w:highlight w:val="none"/>
          <w:lang w:eastAsia="zh-CN"/>
        </w:rPr>
        <w:t>BIM</w:t>
      </w:r>
      <w:r>
        <w:rPr>
          <w:rFonts w:hint="eastAsia" w:ascii="Times New Roman" w:hAnsi="Times New Roman" w:cs="Times New Roman"/>
          <w:color w:val="auto"/>
          <w:szCs w:val="24"/>
          <w:highlight w:val="none"/>
          <w:lang w:eastAsia="zh-CN"/>
        </w:rPr>
        <w:t>设计。</w:t>
      </w:r>
    </w:p>
    <w:p>
      <w:pPr>
        <w:numPr>
          <w:ilvl w:val="0"/>
          <w:numId w:val="40"/>
        </w:numPr>
        <w:ind w:left="1037" w:firstLine="581"/>
        <w:rPr>
          <w:rFonts w:ascii="Times New Roman" w:hAnsi="Times New Roman" w:cs="Times New Roman"/>
          <w:color w:val="auto"/>
          <w:szCs w:val="24"/>
          <w:highlight w:val="none"/>
          <w:lang w:eastAsia="zh-CN"/>
        </w:rPr>
      </w:pPr>
      <w:r>
        <w:rPr>
          <w:rFonts w:hint="eastAsia" w:ascii="Times New Roman" w:hAnsi="Times New Roman" w:cs="Times New Roman"/>
          <w:color w:val="auto"/>
          <w:szCs w:val="24"/>
          <w:highlight w:val="none"/>
          <w:lang w:eastAsia="zh-CN"/>
        </w:rPr>
        <w:t>应对最终管线综合设计提出防护屏蔽相关的专业性意见，确保设计符合所有标准和要求。</w:t>
      </w:r>
    </w:p>
    <w:p>
      <w:pPr>
        <w:pStyle w:val="5"/>
        <w:rPr>
          <w:color w:val="auto"/>
          <w:highlight w:val="none"/>
        </w:rPr>
      </w:pPr>
      <w:r>
        <w:rPr>
          <w:rFonts w:hint="eastAsia"/>
          <w:color w:val="auto"/>
          <w:highlight w:val="none"/>
        </w:rPr>
        <w:t>深化设计图纸要求及制图规范</w:t>
      </w:r>
    </w:p>
    <w:p>
      <w:pPr>
        <w:numPr>
          <w:ilvl w:val="0"/>
          <w:numId w:val="41"/>
        </w:numPr>
        <w:ind w:left="1037" w:firstLine="581"/>
        <w:rPr>
          <w:rFonts w:ascii="Times New Roman" w:hAnsi="Times New Roman" w:cs="Times New Roman"/>
          <w:color w:val="auto"/>
          <w:szCs w:val="24"/>
          <w:highlight w:val="none"/>
          <w:lang w:eastAsia="zh-CN"/>
        </w:rPr>
      </w:pPr>
      <w:r>
        <w:rPr>
          <w:rFonts w:hint="eastAsia" w:ascii="Times New Roman" w:hAnsi="Times New Roman" w:cs="Times New Roman"/>
          <w:color w:val="auto"/>
          <w:szCs w:val="24"/>
          <w:highlight w:val="none"/>
          <w:lang w:eastAsia="zh-CN"/>
        </w:rPr>
        <w:t>必须以施工图纸为依据，并现场勘查，测量仔细，须标注给排水管、暖通、消防、电气及特殊建筑构件（梁、柱、门垛等）的准确位置及尺寸，并现场与相关单位复核、书面确认，彻底清除设计盲区。并对现场拍照，留影像资料。</w:t>
      </w:r>
    </w:p>
    <w:p>
      <w:pPr>
        <w:numPr>
          <w:ilvl w:val="0"/>
          <w:numId w:val="41"/>
        </w:numPr>
        <w:ind w:left="1037" w:firstLine="581"/>
        <w:rPr>
          <w:rFonts w:ascii="Times New Roman" w:hAnsi="Times New Roman" w:cs="Times New Roman"/>
          <w:color w:val="auto"/>
          <w:szCs w:val="24"/>
          <w:highlight w:val="none"/>
          <w:lang w:eastAsia="zh-CN"/>
        </w:rPr>
      </w:pPr>
      <w:r>
        <w:rPr>
          <w:rFonts w:hint="eastAsia" w:ascii="Times New Roman" w:hAnsi="Times New Roman" w:cs="Times New Roman"/>
          <w:color w:val="auto"/>
          <w:szCs w:val="24"/>
          <w:highlight w:val="none"/>
          <w:lang w:eastAsia="zh-CN"/>
        </w:rPr>
        <w:t>特别要求对吊顶图纸的深化，如吊杆布置图、吊顶龙骨排版图、综合天花图的绘制。</w:t>
      </w:r>
    </w:p>
    <w:p>
      <w:pPr>
        <w:numPr>
          <w:ilvl w:val="0"/>
          <w:numId w:val="41"/>
        </w:numPr>
        <w:ind w:left="1037" w:firstLine="581"/>
        <w:rPr>
          <w:rFonts w:ascii="Times New Roman" w:hAnsi="Times New Roman" w:cs="Times New Roman"/>
          <w:color w:val="auto"/>
          <w:szCs w:val="24"/>
          <w:highlight w:val="none"/>
          <w:lang w:eastAsia="zh-CN"/>
        </w:rPr>
      </w:pPr>
      <w:r>
        <w:rPr>
          <w:rFonts w:hint="eastAsia" w:ascii="Times New Roman" w:hAnsi="Times New Roman" w:cs="Times New Roman"/>
          <w:color w:val="auto"/>
          <w:szCs w:val="24"/>
          <w:highlight w:val="none"/>
          <w:lang w:eastAsia="zh-CN"/>
        </w:rPr>
        <w:t>对饰面材料安装排版的深化。</w:t>
      </w:r>
    </w:p>
    <w:p>
      <w:pPr>
        <w:numPr>
          <w:ilvl w:val="0"/>
          <w:numId w:val="41"/>
        </w:numPr>
        <w:ind w:left="1037" w:firstLine="581"/>
        <w:rPr>
          <w:rFonts w:ascii="Times New Roman" w:hAnsi="Times New Roman" w:cs="Times New Roman"/>
          <w:color w:val="auto"/>
          <w:szCs w:val="24"/>
          <w:highlight w:val="none"/>
          <w:lang w:eastAsia="zh-CN"/>
        </w:rPr>
      </w:pPr>
      <w:r>
        <w:rPr>
          <w:rFonts w:hint="eastAsia" w:ascii="Times New Roman" w:hAnsi="Times New Roman" w:cs="Times New Roman"/>
          <w:color w:val="auto"/>
          <w:szCs w:val="24"/>
          <w:highlight w:val="none"/>
          <w:lang w:eastAsia="zh-CN"/>
        </w:rPr>
        <w:t>洁具、灯具、电气等均须以最终所选款式、尺寸大小在深化图中表示。</w:t>
      </w:r>
    </w:p>
    <w:p>
      <w:pPr>
        <w:numPr>
          <w:ilvl w:val="0"/>
          <w:numId w:val="41"/>
        </w:numPr>
        <w:ind w:left="1037" w:firstLine="581"/>
        <w:rPr>
          <w:rFonts w:ascii="Times New Roman" w:hAnsi="Times New Roman" w:cs="Times New Roman"/>
          <w:color w:val="auto"/>
          <w:szCs w:val="24"/>
          <w:highlight w:val="none"/>
          <w:lang w:eastAsia="zh-CN"/>
        </w:rPr>
      </w:pPr>
      <w:r>
        <w:rPr>
          <w:rFonts w:hint="eastAsia" w:ascii="Times New Roman" w:hAnsi="Times New Roman" w:cs="Times New Roman"/>
          <w:color w:val="auto"/>
          <w:szCs w:val="24"/>
          <w:highlight w:val="none"/>
          <w:lang w:eastAsia="zh-CN"/>
        </w:rPr>
        <w:t>开关插座等位置的深化。</w:t>
      </w:r>
    </w:p>
    <w:p>
      <w:pPr>
        <w:numPr>
          <w:ilvl w:val="0"/>
          <w:numId w:val="41"/>
        </w:numPr>
        <w:ind w:left="1037" w:firstLine="581"/>
        <w:rPr>
          <w:rFonts w:ascii="Times New Roman" w:hAnsi="Times New Roman" w:cs="Times New Roman"/>
          <w:color w:val="auto"/>
          <w:szCs w:val="24"/>
          <w:highlight w:val="none"/>
          <w:lang w:eastAsia="zh-CN"/>
        </w:rPr>
      </w:pPr>
      <w:r>
        <w:rPr>
          <w:rFonts w:hint="eastAsia" w:ascii="Times New Roman" w:hAnsi="Times New Roman" w:cs="Times New Roman"/>
          <w:color w:val="auto"/>
          <w:szCs w:val="24"/>
          <w:highlight w:val="none"/>
          <w:lang w:eastAsia="zh-CN"/>
        </w:rPr>
        <w:t>不同材质之间或者不同施工面之间须出构造节点深化图。</w:t>
      </w:r>
    </w:p>
    <w:p>
      <w:pPr>
        <w:numPr>
          <w:ilvl w:val="0"/>
          <w:numId w:val="41"/>
        </w:numPr>
        <w:ind w:left="1037" w:firstLine="581"/>
        <w:rPr>
          <w:rFonts w:ascii="Times New Roman" w:hAnsi="Times New Roman" w:cs="Times New Roman"/>
          <w:color w:val="auto"/>
          <w:szCs w:val="24"/>
          <w:highlight w:val="none"/>
          <w:lang w:eastAsia="zh-CN"/>
        </w:rPr>
      </w:pPr>
      <w:r>
        <w:rPr>
          <w:rFonts w:ascii="Times New Roman" w:hAnsi="Times New Roman" w:cs="Times New Roman"/>
          <w:color w:val="auto"/>
          <w:szCs w:val="24"/>
          <w:highlight w:val="none"/>
          <w:lang w:eastAsia="zh-CN"/>
        </w:rPr>
        <w:t xml:space="preserve">  </w:t>
      </w:r>
      <w:r>
        <w:rPr>
          <w:rFonts w:hint="eastAsia" w:ascii="Times New Roman" w:hAnsi="Times New Roman" w:cs="Times New Roman"/>
          <w:color w:val="auto"/>
          <w:szCs w:val="24"/>
          <w:highlight w:val="none"/>
          <w:lang w:eastAsia="zh-CN"/>
        </w:rPr>
        <w:t>天花吊顶、各种防护板墙、楼地面及天花板防护等需要龙骨的所有部位投标人必须根据招标图纸、设计技术条件、材料要求、和现行的标准、规范进行深化设计、结构分析计算，必须满足承受防护铅板和吊顶等的荷载要求。所有深化设计详图、计算书等文件，须经设计院及发包人批准后方可作为施工和验收依据，深化设计费和深化设计导致承包人增加的工程费用包含在投标报价里，结算时不作调整。</w:t>
      </w:r>
    </w:p>
    <w:p>
      <w:pPr>
        <w:numPr>
          <w:ilvl w:val="0"/>
          <w:numId w:val="41"/>
        </w:numPr>
        <w:ind w:left="1037" w:firstLine="581"/>
        <w:rPr>
          <w:rFonts w:ascii="Times New Roman" w:hAnsi="Times New Roman" w:cs="Times New Roman"/>
          <w:color w:val="auto"/>
          <w:szCs w:val="24"/>
          <w:highlight w:val="none"/>
          <w:lang w:eastAsia="zh-CN"/>
        </w:rPr>
      </w:pPr>
      <w:r>
        <w:rPr>
          <w:rFonts w:hint="eastAsia" w:ascii="Times New Roman" w:hAnsi="Times New Roman" w:cs="Times New Roman"/>
          <w:color w:val="auto"/>
          <w:szCs w:val="24"/>
          <w:highlight w:val="none"/>
          <w:lang w:eastAsia="zh-CN"/>
        </w:rPr>
        <w:t>图纸应分册深化，按不同专业、不同区域划分成册。</w:t>
      </w:r>
    </w:p>
    <w:p>
      <w:pPr>
        <w:numPr>
          <w:ilvl w:val="0"/>
          <w:numId w:val="41"/>
        </w:numPr>
        <w:ind w:left="1037" w:firstLine="581"/>
        <w:rPr>
          <w:rFonts w:ascii="Times New Roman" w:hAnsi="Times New Roman" w:cs="Times New Roman"/>
          <w:color w:val="auto"/>
          <w:szCs w:val="24"/>
          <w:highlight w:val="none"/>
          <w:lang w:eastAsia="zh-CN"/>
        </w:rPr>
      </w:pPr>
      <w:r>
        <w:rPr>
          <w:rFonts w:hint="eastAsia" w:ascii="Times New Roman" w:hAnsi="Times New Roman" w:cs="Times New Roman"/>
          <w:color w:val="auto"/>
          <w:szCs w:val="24"/>
          <w:highlight w:val="none"/>
          <w:lang w:eastAsia="zh-CN"/>
        </w:rPr>
        <w:t>节点大样深化</w:t>
      </w:r>
      <w:r>
        <w:rPr>
          <w:rFonts w:ascii="Times New Roman" w:hAnsi="Times New Roman" w:cs="Times New Roman"/>
          <w:color w:val="auto"/>
          <w:szCs w:val="24"/>
          <w:highlight w:val="none"/>
          <w:lang w:eastAsia="zh-CN"/>
        </w:rPr>
        <w:t>:</w:t>
      </w:r>
      <w:r>
        <w:rPr>
          <w:rFonts w:hint="eastAsia" w:ascii="Times New Roman" w:hAnsi="Times New Roman" w:cs="Times New Roman"/>
          <w:color w:val="auto"/>
          <w:szCs w:val="24"/>
          <w:highlight w:val="none"/>
          <w:lang w:eastAsia="zh-CN"/>
        </w:rPr>
        <w:t>深化技术人员应首先对设计人提供的施工图节点中未交待清楚的部位及有疑问的地方进行梳理、标注，并以书面形式反馈给发包人。发包人组织深化技术人员、设计人进行讨论沟通后，由设计人补充设计图纸及答疑。各个节点做法详图须详细、完善的交代清楚每个节点的材料、施工工艺，同时能够体现设计师的设计意图。节点大样深化完成后，提交发包人进行审核通过后方可实施。</w:t>
      </w:r>
    </w:p>
    <w:p>
      <w:pPr>
        <w:pStyle w:val="5"/>
        <w:rPr>
          <w:color w:val="auto"/>
          <w:highlight w:val="none"/>
        </w:rPr>
      </w:pPr>
      <w:r>
        <w:rPr>
          <w:rFonts w:hint="eastAsia"/>
          <w:color w:val="auto"/>
          <w:highlight w:val="none"/>
        </w:rPr>
        <w:t>深化设计审核要求</w:t>
      </w:r>
    </w:p>
    <w:p>
      <w:pPr>
        <w:numPr>
          <w:ilvl w:val="0"/>
          <w:numId w:val="42"/>
        </w:numPr>
        <w:ind w:left="1037" w:firstLine="581"/>
        <w:rPr>
          <w:rFonts w:ascii="Times New Roman" w:hAnsi="Times New Roman" w:cs="Times New Roman"/>
          <w:color w:val="auto"/>
          <w:szCs w:val="24"/>
          <w:highlight w:val="none"/>
          <w:lang w:eastAsia="zh-CN"/>
        </w:rPr>
      </w:pPr>
      <w:r>
        <w:rPr>
          <w:rFonts w:hint="eastAsia" w:ascii="Times New Roman" w:hAnsi="Times New Roman" w:cs="Times New Roman"/>
          <w:color w:val="auto"/>
          <w:szCs w:val="24"/>
          <w:highlight w:val="none"/>
          <w:lang w:eastAsia="zh-CN"/>
        </w:rPr>
        <w:t>图纸深化工作由专业工程承包人中标后立即进行，深化设计图纸应提交监理人、设计人、发包人，由监理人、设计人、发包人组织相关单位进行审定。深化设计审批单位主要包括专业顾问、设计人、发包人。</w:t>
      </w:r>
    </w:p>
    <w:p>
      <w:pPr>
        <w:numPr>
          <w:ilvl w:val="0"/>
          <w:numId w:val="42"/>
        </w:numPr>
        <w:ind w:left="1037" w:firstLine="581"/>
        <w:rPr>
          <w:rFonts w:ascii="Times New Roman" w:hAnsi="Times New Roman" w:cs="Times New Roman"/>
          <w:color w:val="auto"/>
          <w:szCs w:val="24"/>
          <w:highlight w:val="none"/>
          <w:lang w:eastAsia="zh-CN"/>
        </w:rPr>
      </w:pPr>
      <w:r>
        <w:rPr>
          <w:rFonts w:hint="eastAsia" w:ascii="Times New Roman" w:hAnsi="Times New Roman" w:cs="Times New Roman"/>
          <w:color w:val="auto"/>
          <w:szCs w:val="24"/>
          <w:highlight w:val="none"/>
          <w:lang w:eastAsia="zh-CN"/>
        </w:rPr>
        <w:t>深化设计成果应分阶段报批，审批单位应根据分阶段报批计划审查专业工程承包人提交的任何深化设计成果，并在规定时间内给予审查意见。</w:t>
      </w:r>
    </w:p>
    <w:p>
      <w:pPr>
        <w:numPr>
          <w:ilvl w:val="0"/>
          <w:numId w:val="42"/>
        </w:numPr>
        <w:ind w:left="1037" w:firstLine="581"/>
        <w:rPr>
          <w:rFonts w:ascii="Times New Roman" w:hAnsi="Times New Roman" w:cs="Times New Roman"/>
          <w:color w:val="auto"/>
          <w:szCs w:val="24"/>
          <w:highlight w:val="none"/>
          <w:lang w:eastAsia="zh-CN"/>
        </w:rPr>
      </w:pPr>
      <w:r>
        <w:rPr>
          <w:rFonts w:hint="eastAsia" w:ascii="Times New Roman" w:hAnsi="Times New Roman" w:cs="Times New Roman"/>
          <w:color w:val="auto"/>
          <w:szCs w:val="24"/>
          <w:highlight w:val="none"/>
          <w:lang w:eastAsia="zh-CN"/>
        </w:rPr>
        <w:t>专业工程承包人应认真对待审批单位的审查意见，及时修订重报，同时积极跟踪审查进度，不得因审批进度为由追加工程费用和工期。</w:t>
      </w:r>
    </w:p>
    <w:p>
      <w:pPr>
        <w:numPr>
          <w:ilvl w:val="0"/>
          <w:numId w:val="42"/>
        </w:numPr>
        <w:ind w:left="1037" w:firstLine="581"/>
        <w:rPr>
          <w:rFonts w:ascii="Times New Roman" w:hAnsi="Times New Roman" w:cs="Times New Roman"/>
          <w:color w:val="auto"/>
          <w:szCs w:val="24"/>
          <w:highlight w:val="none"/>
          <w:lang w:eastAsia="zh-CN"/>
        </w:rPr>
      </w:pPr>
      <w:r>
        <w:rPr>
          <w:rFonts w:hint="eastAsia" w:ascii="Times New Roman" w:hAnsi="Times New Roman" w:cs="Times New Roman"/>
          <w:color w:val="auto"/>
          <w:szCs w:val="24"/>
          <w:highlight w:val="none"/>
          <w:lang w:eastAsia="zh-CN"/>
        </w:rPr>
        <w:t>深化设计获得批准后，由专业工程承包人根据各自负责内容分别向相关单位和人员交底。</w:t>
      </w:r>
    </w:p>
    <w:p>
      <w:pPr>
        <w:pStyle w:val="5"/>
        <w:rPr>
          <w:color w:val="auto"/>
          <w:highlight w:val="none"/>
        </w:rPr>
      </w:pPr>
      <w:r>
        <w:rPr>
          <w:rFonts w:hint="eastAsia"/>
          <w:color w:val="auto"/>
          <w:highlight w:val="none"/>
        </w:rPr>
        <w:t>施工组织深化设计</w:t>
      </w:r>
    </w:p>
    <w:p>
      <w:pPr>
        <w:ind w:left="1037" w:firstLine="581"/>
        <w:jc w:val="both"/>
        <w:rPr>
          <w:rFonts w:ascii="Times New Roman" w:hAnsi="Times New Roman" w:cs="Times New Roman"/>
          <w:color w:val="auto"/>
          <w:szCs w:val="24"/>
          <w:highlight w:val="none"/>
          <w:lang w:eastAsia="zh-CN"/>
        </w:rPr>
      </w:pPr>
      <w:r>
        <w:rPr>
          <w:rFonts w:hint="eastAsia" w:ascii="Times New Roman" w:hAnsi="Times New Roman" w:cs="Times New Roman"/>
          <w:color w:val="auto"/>
          <w:szCs w:val="24"/>
          <w:highlight w:val="none"/>
          <w:lang w:eastAsia="zh-CN"/>
        </w:rPr>
        <w:t>应充分考虑承包范围内的各项工作的施工组织设计，还应充分考虑总包及其他各参建单位（包含但不限于：医用气体、医院弱电系统等专业施工）在承包区域内、外的交叉施工；工地范围内的道路及垂直运输等问题，工程施工的施工组织设计应取得发包人、监理、总包及其他各相关参建单位的认可。</w:t>
      </w:r>
    </w:p>
    <w:p>
      <w:pPr>
        <w:ind w:firstLine="581"/>
        <w:rPr>
          <w:rFonts w:ascii="Times New Roman" w:hAnsi="Times New Roman" w:cs="Times New Roman"/>
          <w:color w:val="auto"/>
          <w:szCs w:val="24"/>
          <w:highlight w:val="none"/>
          <w:lang w:eastAsia="zh-CN"/>
        </w:rPr>
      </w:pPr>
    </w:p>
    <w:p>
      <w:pPr>
        <w:pStyle w:val="4"/>
        <w:rPr>
          <w:color w:val="auto"/>
          <w:highlight w:val="none"/>
        </w:rPr>
      </w:pPr>
      <w:bookmarkStart w:id="36" w:name="_Toc122371829"/>
      <w:r>
        <w:rPr>
          <w:rFonts w:hint="eastAsia"/>
          <w:color w:val="auto"/>
          <w:highlight w:val="none"/>
        </w:rPr>
        <w:t>样板管理要求</w:t>
      </w:r>
      <w:bookmarkEnd w:id="36"/>
    </w:p>
    <w:p>
      <w:pPr>
        <w:pStyle w:val="5"/>
        <w:rPr>
          <w:color w:val="auto"/>
          <w:highlight w:val="none"/>
        </w:rPr>
      </w:pPr>
      <w:r>
        <w:rPr>
          <w:rFonts w:hint="eastAsia"/>
          <w:color w:val="auto"/>
          <w:highlight w:val="none"/>
        </w:rPr>
        <w:t>样板实施要求</w:t>
      </w:r>
    </w:p>
    <w:p>
      <w:pPr>
        <w:pStyle w:val="7"/>
        <w:rPr>
          <w:color w:val="auto"/>
          <w:highlight w:val="none"/>
        </w:rPr>
      </w:pPr>
      <w:r>
        <w:rPr>
          <w:rFonts w:hint="eastAsia"/>
          <w:color w:val="auto"/>
          <w:highlight w:val="none"/>
        </w:rPr>
        <w:t>专业工程承包人应在现场安排专门的材料样板存放区域，用于存放设计材料样板及施工材料样板。承包人应妥善保管发包人提供的设计材料样板，并根据设计材料样板在中标后</w:t>
      </w:r>
      <w:r>
        <w:rPr>
          <w:color w:val="auto"/>
          <w:highlight w:val="none"/>
        </w:rPr>
        <w:t>1</w:t>
      </w:r>
      <w:r>
        <w:rPr>
          <w:rFonts w:hint="eastAsia"/>
          <w:color w:val="auto"/>
          <w:highlight w:val="none"/>
        </w:rPr>
        <w:t>个月内提供完整的施工材料样板并通过发包人审批及完成封样（涉及后续施工的分包工程需在相应分包人进场后</w:t>
      </w:r>
      <w:r>
        <w:rPr>
          <w:color w:val="auto"/>
          <w:highlight w:val="none"/>
        </w:rPr>
        <w:t>1</w:t>
      </w:r>
      <w:r>
        <w:rPr>
          <w:rFonts w:hint="eastAsia"/>
          <w:color w:val="auto"/>
          <w:highlight w:val="none"/>
        </w:rPr>
        <w:t>个月内且在应在相应分包工程施工前</w:t>
      </w:r>
      <w:r>
        <w:rPr>
          <w:color w:val="auto"/>
          <w:highlight w:val="none"/>
        </w:rPr>
        <w:t>1</w:t>
      </w:r>
      <w:r>
        <w:rPr>
          <w:rFonts w:hint="eastAsia"/>
          <w:color w:val="auto"/>
          <w:highlight w:val="none"/>
        </w:rPr>
        <w:t>个月内完成）。</w:t>
      </w:r>
    </w:p>
    <w:p>
      <w:pPr>
        <w:pStyle w:val="7"/>
        <w:rPr>
          <w:color w:val="auto"/>
          <w:highlight w:val="none"/>
        </w:rPr>
      </w:pPr>
      <w:r>
        <w:rPr>
          <w:rFonts w:hint="eastAsia"/>
          <w:color w:val="auto"/>
          <w:spacing w:val="-6"/>
          <w:highlight w:val="none"/>
        </w:rPr>
        <w:t>样板选用的原材料、构配件、设备等必须符合设计要求、国家和地方规范标</w:t>
      </w:r>
      <w:r>
        <w:rPr>
          <w:rFonts w:hint="eastAsia"/>
          <w:color w:val="auto"/>
          <w:highlight w:val="none"/>
        </w:rPr>
        <w:t>准及合同约定。材料、构配件、设备进场应履行申报制度，提供产品合格证、材料质量检测报告及产品说明书，由监理人按有关规范要求见证取样。</w:t>
      </w:r>
    </w:p>
    <w:p>
      <w:pPr>
        <w:pStyle w:val="7"/>
        <w:rPr>
          <w:color w:val="auto"/>
          <w:highlight w:val="none"/>
        </w:rPr>
      </w:pPr>
      <w:r>
        <w:rPr>
          <w:rFonts w:hint="eastAsia"/>
          <w:color w:val="auto"/>
          <w:spacing w:val="-5"/>
          <w:highlight w:val="none"/>
        </w:rPr>
        <w:t>样板施工质量应体现施工队伍的综合技术水平，经确定的样板施工人员应为</w:t>
      </w:r>
      <w:r>
        <w:rPr>
          <w:rFonts w:hint="eastAsia"/>
          <w:color w:val="auto"/>
          <w:highlight w:val="none"/>
        </w:rPr>
        <w:t>该分项工程固定的施工人员，不得随意更换。监理人</w:t>
      </w:r>
      <w:r>
        <w:rPr>
          <w:color w:val="auto"/>
          <w:highlight w:val="none"/>
        </w:rPr>
        <w:t>/</w:t>
      </w:r>
      <w:r>
        <w:rPr>
          <w:rFonts w:hint="eastAsia"/>
          <w:color w:val="auto"/>
          <w:highlight w:val="none"/>
        </w:rPr>
        <w:t>发包人对样板操作过程进行监控，对关键点、关键部位进行旁站监督。</w:t>
      </w:r>
    </w:p>
    <w:p>
      <w:pPr>
        <w:pStyle w:val="7"/>
        <w:rPr>
          <w:color w:val="auto"/>
          <w:highlight w:val="none"/>
        </w:rPr>
      </w:pPr>
      <w:r>
        <w:rPr>
          <w:rFonts w:hint="eastAsia"/>
          <w:color w:val="auto"/>
          <w:highlight w:val="none"/>
        </w:rPr>
        <w:t>样板完成后由专业工程承包人进行自检，做好记录，报监理人、发包人验收，验收合格后方可开始现场的全面施工。</w:t>
      </w:r>
    </w:p>
    <w:p>
      <w:pPr>
        <w:pStyle w:val="5"/>
        <w:rPr>
          <w:color w:val="auto"/>
          <w:highlight w:val="none"/>
        </w:rPr>
      </w:pPr>
      <w:r>
        <w:rPr>
          <w:rFonts w:hint="eastAsia"/>
          <w:color w:val="auto"/>
          <w:highlight w:val="none"/>
        </w:rPr>
        <w:t>材料样板要求</w:t>
      </w:r>
    </w:p>
    <w:p>
      <w:pPr>
        <w:pStyle w:val="7"/>
        <w:rPr>
          <w:color w:val="auto"/>
          <w:highlight w:val="none"/>
        </w:rPr>
      </w:pPr>
      <w:r>
        <w:rPr>
          <w:rFonts w:hint="eastAsia"/>
          <w:color w:val="auto"/>
          <w:highlight w:val="none"/>
        </w:rPr>
        <w:t>材料样板</w:t>
      </w:r>
      <w:r>
        <w:rPr>
          <w:color w:val="auto"/>
          <w:highlight w:val="none"/>
        </w:rPr>
        <w:t>:</w:t>
      </w:r>
      <w:r>
        <w:rPr>
          <w:rFonts w:hint="eastAsia"/>
          <w:color w:val="auto"/>
          <w:highlight w:val="none"/>
        </w:rPr>
        <w:t xml:space="preserve"> </w:t>
      </w:r>
      <w:r>
        <w:rPr>
          <w:rFonts w:hint="eastAsia"/>
          <w:color w:val="auto"/>
          <w:highlight w:val="none"/>
          <w:u w:val="single"/>
        </w:rPr>
        <w:t>粒状材料可协商确定，其他可报送整个样品，亦可协商方式确定。</w:t>
      </w:r>
    </w:p>
    <w:p>
      <w:pPr>
        <w:pStyle w:val="7"/>
        <w:rPr>
          <w:color w:val="auto"/>
          <w:highlight w:val="none"/>
        </w:rPr>
      </w:pPr>
      <w:r>
        <w:rPr>
          <w:rFonts w:hint="eastAsia"/>
          <w:color w:val="auto"/>
          <w:highlight w:val="none"/>
        </w:rPr>
        <w:t>发包人确认的所有样板需制作成展板，交于发包人封存，留作后续施工及材</w:t>
      </w:r>
      <w:r>
        <w:rPr>
          <w:rFonts w:hint="eastAsia"/>
          <w:color w:val="auto"/>
          <w:spacing w:val="-7"/>
          <w:highlight w:val="none"/>
        </w:rPr>
        <w:t>料进场验收依据。展板要求尺寸为</w:t>
      </w:r>
      <w:r>
        <w:rPr>
          <w:color w:val="auto"/>
          <w:spacing w:val="-7"/>
          <w:highlight w:val="none"/>
        </w:rPr>
        <w:t xml:space="preserve"> </w:t>
      </w:r>
      <w:r>
        <w:rPr>
          <w:color w:val="auto"/>
          <w:highlight w:val="none"/>
        </w:rPr>
        <w:t>800*600</w:t>
      </w:r>
      <w:r>
        <w:rPr>
          <w:color w:val="auto"/>
          <w:spacing w:val="-11"/>
          <w:highlight w:val="none"/>
        </w:rPr>
        <w:t xml:space="preserve"> </w:t>
      </w:r>
      <w:r>
        <w:rPr>
          <w:rFonts w:hint="eastAsia"/>
          <w:color w:val="auto"/>
          <w:spacing w:val="-11"/>
          <w:highlight w:val="none"/>
        </w:rPr>
        <w:t>底色为黑色或白色，白色说明标</w:t>
      </w:r>
      <w:r>
        <w:rPr>
          <w:rFonts w:hint="eastAsia"/>
          <w:color w:val="auto"/>
          <w:spacing w:val="-8"/>
          <w:highlight w:val="none"/>
        </w:rPr>
        <w:t>签，其它辅材样板规格自定义排列；但各种材料资料说明书及彩色图片需另</w:t>
      </w:r>
      <w:r>
        <w:rPr>
          <w:rFonts w:hint="eastAsia"/>
          <w:color w:val="auto"/>
          <w:spacing w:val="-6"/>
          <w:highlight w:val="none"/>
        </w:rPr>
        <w:t>行装订成册一同提交。样板中小样要求标明材料编号、品牌、规格、各项技</w:t>
      </w:r>
      <w:r>
        <w:rPr>
          <w:rFonts w:hint="eastAsia"/>
          <w:color w:val="auto"/>
          <w:highlight w:val="none"/>
        </w:rPr>
        <w:t>术参数及使用部位。</w:t>
      </w:r>
    </w:p>
    <w:p>
      <w:pPr>
        <w:pStyle w:val="5"/>
        <w:rPr>
          <w:color w:val="auto"/>
          <w:highlight w:val="none"/>
        </w:rPr>
      </w:pPr>
      <w:r>
        <w:rPr>
          <w:rFonts w:hint="eastAsia"/>
          <w:color w:val="auto"/>
          <w:highlight w:val="none"/>
        </w:rPr>
        <w:t>工艺样板的实施及管理要求</w:t>
      </w:r>
    </w:p>
    <w:p>
      <w:pPr>
        <w:pStyle w:val="7"/>
        <w:rPr>
          <w:color w:val="auto"/>
          <w:highlight w:val="none"/>
        </w:rPr>
      </w:pPr>
      <w:r>
        <w:rPr>
          <w:rFonts w:hint="eastAsia"/>
          <w:color w:val="auto"/>
          <w:highlight w:val="none"/>
        </w:rPr>
        <w:t>工艺样板</w:t>
      </w:r>
    </w:p>
    <w:p>
      <w:pPr>
        <w:pStyle w:val="22"/>
        <w:rPr>
          <w:color w:val="auto"/>
          <w:highlight w:val="none"/>
          <w:lang w:eastAsia="zh-CN"/>
        </w:rPr>
      </w:pPr>
      <w:r>
        <w:rPr>
          <w:color w:val="auto"/>
          <w:highlight w:val="none"/>
          <w:lang w:eastAsia="zh-CN"/>
        </w:rPr>
        <w:t xml:space="preserve">表 </w:t>
      </w:r>
      <w:r>
        <w:rPr>
          <w:color w:val="auto"/>
          <w:highlight w:val="none"/>
        </w:rPr>
        <w:fldChar w:fldCharType="begin"/>
      </w:r>
      <w:r>
        <w:rPr>
          <w:color w:val="auto"/>
          <w:highlight w:val="none"/>
          <w:lang w:eastAsia="zh-CN"/>
        </w:rPr>
        <w:instrText xml:space="preserve"> STYLEREF 1 \s </w:instrText>
      </w:r>
      <w:r>
        <w:rPr>
          <w:color w:val="auto"/>
          <w:highlight w:val="none"/>
        </w:rPr>
        <w:fldChar w:fldCharType="separate"/>
      </w:r>
      <w:r>
        <w:rPr>
          <w:color w:val="auto"/>
          <w:highlight w:val="none"/>
          <w:lang w:eastAsia="zh-CN"/>
        </w:rPr>
        <w:t>6</w:t>
      </w:r>
      <w:r>
        <w:rPr>
          <w:color w:val="auto"/>
          <w:highlight w:val="none"/>
        </w:rPr>
        <w:fldChar w:fldCharType="end"/>
      </w:r>
      <w:r>
        <w:rPr>
          <w:rFonts w:hint="eastAsia"/>
          <w:color w:val="auto"/>
          <w:highlight w:val="none"/>
          <w:lang w:eastAsia="zh-CN"/>
        </w:rPr>
        <w:t>-</w:t>
      </w:r>
      <w:r>
        <w:rPr>
          <w:color w:val="auto"/>
          <w:highlight w:val="none"/>
        </w:rPr>
        <w:fldChar w:fldCharType="begin"/>
      </w:r>
      <w:r>
        <w:rPr>
          <w:color w:val="auto"/>
          <w:highlight w:val="none"/>
          <w:lang w:eastAsia="zh-CN"/>
        </w:rPr>
        <w:instrText xml:space="preserve"> SEQ 表 \* ARABIC \s 1 </w:instrText>
      </w:r>
      <w:r>
        <w:rPr>
          <w:color w:val="auto"/>
          <w:highlight w:val="none"/>
        </w:rPr>
        <w:fldChar w:fldCharType="separate"/>
      </w:r>
      <w:r>
        <w:rPr>
          <w:color w:val="auto"/>
          <w:highlight w:val="none"/>
          <w:lang w:eastAsia="zh-CN"/>
        </w:rPr>
        <w:t>1</w:t>
      </w:r>
      <w:r>
        <w:rPr>
          <w:color w:val="auto"/>
          <w:highlight w:val="none"/>
        </w:rPr>
        <w:fldChar w:fldCharType="end"/>
      </w:r>
      <w:r>
        <w:rPr>
          <w:rFonts w:hint="eastAsia"/>
          <w:color w:val="auto"/>
          <w:highlight w:val="none"/>
          <w:lang w:eastAsia="zh-CN"/>
        </w:rPr>
        <w:t xml:space="preserve"> 本项目需要施工的样板清单</w:t>
      </w:r>
    </w:p>
    <w:tbl>
      <w:tblPr>
        <w:tblStyle w:val="85"/>
        <w:tblW w:w="4132"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3"/>
        <w:gridCol w:w="1242"/>
        <w:gridCol w:w="1786"/>
        <w:gridCol w:w="960"/>
        <w:gridCol w:w="2473"/>
        <w:gridCol w:w="9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2" w:hRule="atLeast"/>
          <w:jc w:val="center"/>
        </w:trPr>
        <w:tc>
          <w:tcPr>
            <w:tcW w:w="422" w:type="pct"/>
            <w:shd w:val="clear" w:color="auto" w:fill="auto"/>
            <w:vAlign w:val="center"/>
          </w:tcPr>
          <w:p>
            <w:pPr>
              <w:adjustRightInd w:val="0"/>
              <w:jc w:val="center"/>
              <w:rPr>
                <w:rFonts w:cs="华文细黑"/>
                <w:b/>
                <w:color w:val="auto"/>
                <w:szCs w:val="21"/>
                <w:highlight w:val="none"/>
              </w:rPr>
            </w:pPr>
            <w:r>
              <w:rPr>
                <w:rFonts w:hint="eastAsia" w:cs="华文细黑"/>
                <w:b/>
                <w:color w:val="auto"/>
                <w:szCs w:val="21"/>
                <w:highlight w:val="none"/>
              </w:rPr>
              <w:t>序号</w:t>
            </w:r>
          </w:p>
        </w:tc>
        <w:tc>
          <w:tcPr>
            <w:tcW w:w="766" w:type="pct"/>
            <w:shd w:val="clear" w:color="auto" w:fill="auto"/>
            <w:vAlign w:val="center"/>
          </w:tcPr>
          <w:p>
            <w:pPr>
              <w:adjustRightInd w:val="0"/>
              <w:jc w:val="center"/>
              <w:rPr>
                <w:rFonts w:cs="华文细黑"/>
                <w:b/>
                <w:color w:val="auto"/>
                <w:szCs w:val="21"/>
                <w:highlight w:val="none"/>
              </w:rPr>
            </w:pPr>
            <w:r>
              <w:rPr>
                <w:rFonts w:hint="eastAsia" w:cs="华文细黑"/>
                <w:b/>
                <w:color w:val="auto"/>
                <w:szCs w:val="21"/>
                <w:highlight w:val="none"/>
              </w:rPr>
              <w:t>样品名称及</w:t>
            </w:r>
          </w:p>
          <w:p>
            <w:pPr>
              <w:adjustRightInd w:val="0"/>
              <w:jc w:val="center"/>
              <w:rPr>
                <w:rFonts w:cs="华文细黑"/>
                <w:b/>
                <w:color w:val="auto"/>
                <w:szCs w:val="21"/>
                <w:highlight w:val="none"/>
              </w:rPr>
            </w:pPr>
            <w:r>
              <w:rPr>
                <w:rFonts w:hint="eastAsia" w:cs="华文细黑"/>
                <w:b/>
                <w:color w:val="auto"/>
                <w:szCs w:val="21"/>
                <w:highlight w:val="none"/>
              </w:rPr>
              <w:t>封样清单</w:t>
            </w:r>
          </w:p>
        </w:tc>
        <w:tc>
          <w:tcPr>
            <w:tcW w:w="1102" w:type="pct"/>
            <w:shd w:val="clear" w:color="auto" w:fill="auto"/>
            <w:vAlign w:val="center"/>
          </w:tcPr>
          <w:p>
            <w:pPr>
              <w:adjustRightInd w:val="0"/>
              <w:jc w:val="center"/>
              <w:rPr>
                <w:rFonts w:cs="华文细黑"/>
                <w:b/>
                <w:color w:val="auto"/>
                <w:szCs w:val="21"/>
                <w:highlight w:val="none"/>
              </w:rPr>
            </w:pPr>
            <w:r>
              <w:rPr>
                <w:rFonts w:hint="eastAsia" w:cs="华文细黑"/>
                <w:b/>
                <w:color w:val="auto"/>
                <w:szCs w:val="21"/>
                <w:highlight w:val="none"/>
              </w:rPr>
              <w:t>样品规格</w:t>
            </w:r>
          </w:p>
        </w:tc>
        <w:tc>
          <w:tcPr>
            <w:tcW w:w="592" w:type="pct"/>
            <w:shd w:val="clear" w:color="auto" w:fill="auto"/>
            <w:vAlign w:val="center"/>
          </w:tcPr>
          <w:p>
            <w:pPr>
              <w:adjustRightInd w:val="0"/>
              <w:jc w:val="center"/>
              <w:rPr>
                <w:rFonts w:cs="华文细黑"/>
                <w:b/>
                <w:color w:val="auto"/>
                <w:szCs w:val="21"/>
                <w:highlight w:val="none"/>
              </w:rPr>
            </w:pPr>
            <w:r>
              <w:rPr>
                <w:rFonts w:hint="eastAsia" w:cs="华文细黑"/>
                <w:b/>
                <w:color w:val="auto"/>
                <w:szCs w:val="21"/>
                <w:highlight w:val="none"/>
              </w:rPr>
              <w:t>数量</w:t>
            </w:r>
          </w:p>
        </w:tc>
        <w:tc>
          <w:tcPr>
            <w:tcW w:w="1526" w:type="pct"/>
            <w:shd w:val="clear" w:color="auto" w:fill="auto"/>
            <w:vAlign w:val="center"/>
          </w:tcPr>
          <w:p>
            <w:pPr>
              <w:adjustRightInd w:val="0"/>
              <w:jc w:val="center"/>
              <w:rPr>
                <w:rFonts w:cs="华文细黑"/>
                <w:b/>
                <w:color w:val="auto"/>
                <w:szCs w:val="21"/>
                <w:highlight w:val="none"/>
              </w:rPr>
            </w:pPr>
            <w:r>
              <w:rPr>
                <w:rFonts w:hint="eastAsia" w:cs="华文细黑"/>
                <w:b/>
                <w:color w:val="auto"/>
                <w:szCs w:val="21"/>
                <w:highlight w:val="none"/>
              </w:rPr>
              <w:t>参数要求</w:t>
            </w:r>
          </w:p>
        </w:tc>
        <w:tc>
          <w:tcPr>
            <w:tcW w:w="593" w:type="pct"/>
            <w:shd w:val="clear" w:color="auto" w:fill="auto"/>
            <w:vAlign w:val="center"/>
          </w:tcPr>
          <w:p>
            <w:pPr>
              <w:adjustRightInd w:val="0"/>
              <w:jc w:val="center"/>
              <w:rPr>
                <w:rFonts w:cs="华文细黑"/>
                <w:b/>
                <w:color w:val="auto"/>
                <w:szCs w:val="21"/>
                <w:highlight w:val="none"/>
              </w:rPr>
            </w:pPr>
            <w:r>
              <w:rPr>
                <w:rFonts w:hint="eastAsia" w:cs="华文细黑"/>
                <w:b/>
                <w:color w:val="auto"/>
                <w:szCs w:val="21"/>
                <w:highlight w:val="none"/>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2" w:hRule="atLeast"/>
          <w:jc w:val="center"/>
        </w:trPr>
        <w:tc>
          <w:tcPr>
            <w:tcW w:w="422" w:type="pct"/>
            <w:shd w:val="clear" w:color="auto" w:fill="auto"/>
            <w:vAlign w:val="center"/>
          </w:tcPr>
          <w:p>
            <w:pPr>
              <w:adjustRightInd w:val="0"/>
              <w:jc w:val="center"/>
              <w:rPr>
                <w:rFonts w:cs="华文细黑"/>
                <w:color w:val="auto"/>
                <w:szCs w:val="21"/>
                <w:highlight w:val="none"/>
              </w:rPr>
            </w:pPr>
            <w:r>
              <w:rPr>
                <w:rFonts w:hint="eastAsia" w:cs="华文细黑"/>
                <w:color w:val="auto"/>
                <w:szCs w:val="21"/>
                <w:highlight w:val="none"/>
              </w:rPr>
              <w:t>1</w:t>
            </w:r>
          </w:p>
        </w:tc>
        <w:tc>
          <w:tcPr>
            <w:tcW w:w="766" w:type="pct"/>
            <w:shd w:val="clear" w:color="auto" w:fill="auto"/>
            <w:vAlign w:val="center"/>
          </w:tcPr>
          <w:p>
            <w:pPr>
              <w:adjustRightInd w:val="0"/>
              <w:jc w:val="center"/>
              <w:rPr>
                <w:color w:val="auto"/>
                <w:szCs w:val="21"/>
                <w:highlight w:val="none"/>
              </w:rPr>
            </w:pPr>
            <w:r>
              <w:rPr>
                <w:rFonts w:hint="eastAsia"/>
                <w:color w:val="auto"/>
                <w:szCs w:val="21"/>
                <w:highlight w:val="none"/>
              </w:rPr>
              <w:t>轻钢龙骨</w:t>
            </w:r>
          </w:p>
        </w:tc>
        <w:tc>
          <w:tcPr>
            <w:tcW w:w="1102" w:type="pct"/>
            <w:shd w:val="clear" w:color="auto" w:fill="auto"/>
            <w:vAlign w:val="center"/>
          </w:tcPr>
          <w:p>
            <w:pPr>
              <w:adjustRightInd w:val="0"/>
              <w:jc w:val="center"/>
              <w:rPr>
                <w:rFonts w:cs="华文细黑"/>
                <w:color w:val="auto"/>
                <w:szCs w:val="21"/>
                <w:highlight w:val="none"/>
                <w:lang w:eastAsia="zh-CN"/>
              </w:rPr>
            </w:pPr>
            <w:r>
              <w:rPr>
                <w:rFonts w:hint="eastAsia" w:cs="华文细黑"/>
                <w:color w:val="auto"/>
                <w:szCs w:val="21"/>
                <w:highlight w:val="none"/>
                <w:lang w:eastAsia="zh-CN"/>
              </w:rPr>
              <w:t>200mm长/每种规</w:t>
            </w:r>
          </w:p>
          <w:p>
            <w:pPr>
              <w:adjustRightInd w:val="0"/>
              <w:jc w:val="center"/>
              <w:rPr>
                <w:rFonts w:cs="华文细黑"/>
                <w:color w:val="auto"/>
                <w:szCs w:val="21"/>
                <w:highlight w:val="none"/>
                <w:lang w:eastAsia="zh-CN"/>
              </w:rPr>
            </w:pPr>
            <w:r>
              <w:rPr>
                <w:rFonts w:hint="eastAsia" w:cs="华文细黑"/>
                <w:color w:val="auto"/>
                <w:szCs w:val="21"/>
                <w:highlight w:val="none"/>
                <w:lang w:eastAsia="zh-CN"/>
              </w:rPr>
              <w:t>格（含龙骨连接件及配件）</w:t>
            </w:r>
          </w:p>
        </w:tc>
        <w:tc>
          <w:tcPr>
            <w:tcW w:w="592" w:type="pct"/>
            <w:shd w:val="clear" w:color="auto" w:fill="auto"/>
            <w:vAlign w:val="center"/>
          </w:tcPr>
          <w:p>
            <w:pPr>
              <w:adjustRightInd w:val="0"/>
              <w:jc w:val="center"/>
              <w:rPr>
                <w:rFonts w:cs="华文细黑"/>
                <w:color w:val="auto"/>
                <w:szCs w:val="21"/>
                <w:highlight w:val="none"/>
              </w:rPr>
            </w:pPr>
            <w:r>
              <w:rPr>
                <w:rFonts w:cs="华文细黑"/>
                <w:color w:val="auto"/>
                <w:szCs w:val="21"/>
                <w:highlight w:val="none"/>
              </w:rPr>
              <w:t>2</w:t>
            </w:r>
            <w:r>
              <w:rPr>
                <w:rFonts w:hint="eastAsia" w:cs="华文细黑"/>
                <w:color w:val="auto"/>
                <w:szCs w:val="21"/>
                <w:highlight w:val="none"/>
              </w:rPr>
              <w:t>条/个</w:t>
            </w:r>
          </w:p>
        </w:tc>
        <w:tc>
          <w:tcPr>
            <w:tcW w:w="1526" w:type="pct"/>
            <w:shd w:val="clear" w:color="auto" w:fill="auto"/>
            <w:vAlign w:val="center"/>
          </w:tcPr>
          <w:p>
            <w:pPr>
              <w:adjustRightInd w:val="0"/>
              <w:jc w:val="center"/>
              <w:rPr>
                <w:rFonts w:cs="华文细黑"/>
                <w:color w:val="auto"/>
                <w:szCs w:val="21"/>
                <w:highlight w:val="none"/>
                <w:lang w:eastAsia="zh-CN"/>
              </w:rPr>
            </w:pPr>
            <w:r>
              <w:rPr>
                <w:rFonts w:hint="eastAsia" w:cs="华文细黑"/>
                <w:color w:val="auto"/>
                <w:szCs w:val="21"/>
                <w:highlight w:val="none"/>
                <w:lang w:eastAsia="zh-CN"/>
              </w:rPr>
              <w:t>镀锌量≥120g/m²，材料厚度不超过±0.04mm。</w:t>
            </w:r>
          </w:p>
        </w:tc>
        <w:tc>
          <w:tcPr>
            <w:tcW w:w="593" w:type="pct"/>
            <w:shd w:val="clear" w:color="auto" w:fill="auto"/>
            <w:vAlign w:val="center"/>
          </w:tcPr>
          <w:p>
            <w:pPr>
              <w:adjustRightInd w:val="0"/>
              <w:jc w:val="center"/>
              <w:rPr>
                <w:rFonts w:cs="华文细黑"/>
                <w:color w:val="auto"/>
                <w:szCs w:val="21"/>
                <w:highlight w:val="no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2" w:hRule="atLeast"/>
          <w:jc w:val="center"/>
        </w:trPr>
        <w:tc>
          <w:tcPr>
            <w:tcW w:w="422" w:type="pct"/>
            <w:shd w:val="clear" w:color="auto" w:fill="auto"/>
            <w:vAlign w:val="center"/>
          </w:tcPr>
          <w:p>
            <w:pPr>
              <w:adjustRightInd w:val="0"/>
              <w:jc w:val="center"/>
              <w:rPr>
                <w:rFonts w:cs="华文细黑"/>
                <w:color w:val="auto"/>
                <w:szCs w:val="21"/>
                <w:highlight w:val="none"/>
              </w:rPr>
            </w:pPr>
            <w:r>
              <w:rPr>
                <w:rFonts w:hint="eastAsia" w:cs="华文细黑"/>
                <w:color w:val="auto"/>
                <w:szCs w:val="21"/>
                <w:highlight w:val="none"/>
              </w:rPr>
              <w:t>2</w:t>
            </w:r>
          </w:p>
        </w:tc>
        <w:tc>
          <w:tcPr>
            <w:tcW w:w="766" w:type="pct"/>
            <w:shd w:val="clear" w:color="auto" w:fill="auto"/>
            <w:vAlign w:val="center"/>
          </w:tcPr>
          <w:p>
            <w:pPr>
              <w:adjustRightInd w:val="0"/>
              <w:jc w:val="center"/>
              <w:rPr>
                <w:color w:val="auto"/>
                <w:szCs w:val="21"/>
                <w:highlight w:val="none"/>
                <w:lang w:eastAsia="zh-CN"/>
              </w:rPr>
            </w:pPr>
            <w:r>
              <w:rPr>
                <w:rFonts w:hint="eastAsia"/>
                <w:color w:val="auto"/>
                <w:szCs w:val="21"/>
                <w:highlight w:val="none"/>
                <w:lang w:eastAsia="zh-CN"/>
              </w:rPr>
              <w:t>纸面石膏板</w:t>
            </w:r>
          </w:p>
          <w:p>
            <w:pPr>
              <w:adjustRightInd w:val="0"/>
              <w:jc w:val="center"/>
              <w:rPr>
                <w:color w:val="auto"/>
                <w:szCs w:val="21"/>
                <w:highlight w:val="none"/>
                <w:lang w:eastAsia="zh-CN"/>
              </w:rPr>
            </w:pPr>
            <w:r>
              <w:rPr>
                <w:rFonts w:hint="eastAsia"/>
                <w:color w:val="auto"/>
                <w:szCs w:val="21"/>
                <w:highlight w:val="none"/>
                <w:lang w:eastAsia="zh-CN"/>
              </w:rPr>
              <w:t>（含耐水石</w:t>
            </w:r>
          </w:p>
          <w:p>
            <w:pPr>
              <w:adjustRightInd w:val="0"/>
              <w:jc w:val="center"/>
              <w:rPr>
                <w:color w:val="auto"/>
                <w:szCs w:val="21"/>
                <w:highlight w:val="none"/>
                <w:lang w:eastAsia="zh-CN"/>
              </w:rPr>
            </w:pPr>
            <w:r>
              <w:rPr>
                <w:rFonts w:hint="eastAsia"/>
                <w:color w:val="auto"/>
                <w:szCs w:val="21"/>
                <w:highlight w:val="none"/>
                <w:lang w:eastAsia="zh-CN"/>
              </w:rPr>
              <w:t>膏板）</w:t>
            </w:r>
          </w:p>
        </w:tc>
        <w:tc>
          <w:tcPr>
            <w:tcW w:w="1102" w:type="pct"/>
            <w:shd w:val="clear" w:color="auto" w:fill="auto"/>
            <w:vAlign w:val="center"/>
          </w:tcPr>
          <w:p>
            <w:pPr>
              <w:adjustRightInd w:val="0"/>
              <w:jc w:val="center"/>
              <w:rPr>
                <w:rFonts w:cs="华文细黑"/>
                <w:color w:val="auto"/>
                <w:szCs w:val="21"/>
                <w:highlight w:val="none"/>
              </w:rPr>
            </w:pPr>
            <w:r>
              <w:rPr>
                <w:rFonts w:hint="eastAsia" w:cs="华文细黑"/>
                <w:color w:val="auto"/>
                <w:szCs w:val="21"/>
                <w:highlight w:val="none"/>
              </w:rPr>
              <w:t>15</w:t>
            </w:r>
            <w:r>
              <w:rPr>
                <w:rFonts w:cs="华文细黑"/>
                <w:color w:val="auto"/>
                <w:szCs w:val="21"/>
                <w:highlight w:val="none"/>
              </w:rPr>
              <w:t>0X300m</w:t>
            </w:r>
            <w:r>
              <w:rPr>
                <w:rFonts w:hint="eastAsia" w:cs="华文细黑"/>
                <w:color w:val="auto"/>
                <w:szCs w:val="21"/>
                <w:highlight w:val="none"/>
              </w:rPr>
              <w:t>m/每种</w:t>
            </w:r>
          </w:p>
          <w:p>
            <w:pPr>
              <w:adjustRightInd w:val="0"/>
              <w:jc w:val="center"/>
              <w:rPr>
                <w:rFonts w:cs="华文细黑"/>
                <w:color w:val="auto"/>
                <w:szCs w:val="21"/>
                <w:highlight w:val="none"/>
              </w:rPr>
            </w:pPr>
            <w:r>
              <w:rPr>
                <w:rFonts w:hint="eastAsia" w:cs="华文细黑"/>
                <w:color w:val="auto"/>
                <w:szCs w:val="21"/>
                <w:highlight w:val="none"/>
              </w:rPr>
              <w:t>规格</w:t>
            </w:r>
          </w:p>
        </w:tc>
        <w:tc>
          <w:tcPr>
            <w:tcW w:w="592" w:type="pct"/>
            <w:shd w:val="clear" w:color="auto" w:fill="auto"/>
            <w:vAlign w:val="center"/>
          </w:tcPr>
          <w:p>
            <w:pPr>
              <w:adjustRightInd w:val="0"/>
              <w:jc w:val="center"/>
              <w:rPr>
                <w:rFonts w:cs="华文细黑"/>
                <w:color w:val="auto"/>
                <w:szCs w:val="21"/>
                <w:highlight w:val="none"/>
              </w:rPr>
            </w:pPr>
            <w:r>
              <w:rPr>
                <w:rFonts w:cs="华文细黑"/>
                <w:color w:val="auto"/>
                <w:szCs w:val="21"/>
                <w:highlight w:val="none"/>
              </w:rPr>
              <w:t>2</w:t>
            </w:r>
            <w:r>
              <w:rPr>
                <w:rFonts w:hint="eastAsia" w:cs="华文细黑"/>
                <w:color w:val="auto"/>
                <w:szCs w:val="21"/>
                <w:highlight w:val="none"/>
              </w:rPr>
              <w:t>块</w:t>
            </w:r>
          </w:p>
        </w:tc>
        <w:tc>
          <w:tcPr>
            <w:tcW w:w="1526" w:type="pct"/>
            <w:shd w:val="clear" w:color="auto" w:fill="auto"/>
            <w:vAlign w:val="center"/>
          </w:tcPr>
          <w:p>
            <w:pPr>
              <w:adjustRightInd w:val="0"/>
              <w:jc w:val="center"/>
              <w:rPr>
                <w:rFonts w:cs="华文细黑"/>
                <w:color w:val="auto"/>
                <w:szCs w:val="21"/>
                <w:highlight w:val="none"/>
                <w:lang w:eastAsia="zh-CN"/>
              </w:rPr>
            </w:pPr>
            <w:r>
              <w:rPr>
                <w:rFonts w:hint="eastAsia" w:cs="华文细黑"/>
                <w:color w:val="auto"/>
                <w:szCs w:val="21"/>
                <w:highlight w:val="none"/>
                <w:lang w:eastAsia="zh-CN"/>
              </w:rPr>
              <w:t>材料放射性照射指数符合A类要求，厚度偏差不得超过±0.5mm。</w:t>
            </w:r>
          </w:p>
        </w:tc>
        <w:tc>
          <w:tcPr>
            <w:tcW w:w="593" w:type="pct"/>
            <w:shd w:val="clear" w:color="auto" w:fill="auto"/>
            <w:vAlign w:val="center"/>
          </w:tcPr>
          <w:p>
            <w:pPr>
              <w:adjustRightInd w:val="0"/>
              <w:jc w:val="center"/>
              <w:rPr>
                <w:rFonts w:cs="华文细黑"/>
                <w:color w:val="auto"/>
                <w:szCs w:val="21"/>
                <w:highlight w:val="no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2" w:hRule="atLeast"/>
          <w:jc w:val="center"/>
        </w:trPr>
        <w:tc>
          <w:tcPr>
            <w:tcW w:w="422" w:type="pct"/>
            <w:shd w:val="clear" w:color="auto" w:fill="auto"/>
            <w:vAlign w:val="center"/>
          </w:tcPr>
          <w:p>
            <w:pPr>
              <w:adjustRightInd w:val="0"/>
              <w:jc w:val="center"/>
              <w:rPr>
                <w:rFonts w:cs="华文细黑"/>
                <w:color w:val="auto"/>
                <w:szCs w:val="21"/>
                <w:highlight w:val="none"/>
              </w:rPr>
            </w:pPr>
            <w:r>
              <w:rPr>
                <w:rFonts w:hint="eastAsia" w:cs="华文细黑"/>
                <w:color w:val="auto"/>
                <w:szCs w:val="21"/>
                <w:highlight w:val="none"/>
              </w:rPr>
              <w:t>3</w:t>
            </w:r>
          </w:p>
        </w:tc>
        <w:tc>
          <w:tcPr>
            <w:tcW w:w="766" w:type="pct"/>
            <w:shd w:val="clear" w:color="auto" w:fill="auto"/>
            <w:vAlign w:val="center"/>
          </w:tcPr>
          <w:p>
            <w:pPr>
              <w:adjustRightInd w:val="0"/>
              <w:jc w:val="center"/>
              <w:rPr>
                <w:color w:val="auto"/>
                <w:szCs w:val="21"/>
                <w:highlight w:val="none"/>
              </w:rPr>
            </w:pPr>
            <w:r>
              <w:rPr>
                <w:rFonts w:hint="eastAsia"/>
                <w:color w:val="auto"/>
                <w:szCs w:val="21"/>
                <w:highlight w:val="none"/>
              </w:rPr>
              <w:t>纤维水泥板</w:t>
            </w:r>
          </w:p>
        </w:tc>
        <w:tc>
          <w:tcPr>
            <w:tcW w:w="1102" w:type="pct"/>
            <w:shd w:val="clear" w:color="auto" w:fill="auto"/>
            <w:vAlign w:val="center"/>
          </w:tcPr>
          <w:p>
            <w:pPr>
              <w:adjustRightInd w:val="0"/>
              <w:jc w:val="center"/>
              <w:rPr>
                <w:rFonts w:cs="华文细黑"/>
                <w:color w:val="auto"/>
                <w:szCs w:val="21"/>
                <w:highlight w:val="none"/>
              </w:rPr>
            </w:pPr>
            <w:r>
              <w:rPr>
                <w:rFonts w:hint="eastAsia" w:cs="华文细黑"/>
                <w:color w:val="auto"/>
                <w:szCs w:val="21"/>
                <w:highlight w:val="none"/>
              </w:rPr>
              <w:t>15</w:t>
            </w:r>
            <w:r>
              <w:rPr>
                <w:rFonts w:cs="华文细黑"/>
                <w:color w:val="auto"/>
                <w:szCs w:val="21"/>
                <w:highlight w:val="none"/>
              </w:rPr>
              <w:t>0X300m</w:t>
            </w:r>
            <w:r>
              <w:rPr>
                <w:rFonts w:hint="eastAsia" w:cs="华文细黑"/>
                <w:color w:val="auto"/>
                <w:szCs w:val="21"/>
                <w:highlight w:val="none"/>
              </w:rPr>
              <w:t>m/每种</w:t>
            </w:r>
          </w:p>
          <w:p>
            <w:pPr>
              <w:adjustRightInd w:val="0"/>
              <w:jc w:val="center"/>
              <w:rPr>
                <w:rFonts w:cs="华文细黑"/>
                <w:color w:val="auto"/>
                <w:szCs w:val="21"/>
                <w:highlight w:val="none"/>
              </w:rPr>
            </w:pPr>
            <w:r>
              <w:rPr>
                <w:rFonts w:hint="eastAsia" w:cs="华文细黑"/>
                <w:color w:val="auto"/>
                <w:szCs w:val="21"/>
                <w:highlight w:val="none"/>
              </w:rPr>
              <w:t>规格</w:t>
            </w:r>
          </w:p>
        </w:tc>
        <w:tc>
          <w:tcPr>
            <w:tcW w:w="592" w:type="pct"/>
            <w:shd w:val="clear" w:color="auto" w:fill="auto"/>
            <w:vAlign w:val="center"/>
          </w:tcPr>
          <w:p>
            <w:pPr>
              <w:adjustRightInd w:val="0"/>
              <w:jc w:val="center"/>
              <w:rPr>
                <w:rFonts w:cs="华文细黑"/>
                <w:color w:val="auto"/>
                <w:szCs w:val="21"/>
                <w:highlight w:val="none"/>
              </w:rPr>
            </w:pPr>
            <w:r>
              <w:rPr>
                <w:rFonts w:cs="华文细黑"/>
                <w:color w:val="auto"/>
                <w:szCs w:val="21"/>
                <w:highlight w:val="none"/>
              </w:rPr>
              <w:t>2</w:t>
            </w:r>
            <w:r>
              <w:rPr>
                <w:rFonts w:hint="eastAsia" w:cs="华文细黑"/>
                <w:color w:val="auto"/>
                <w:szCs w:val="21"/>
                <w:highlight w:val="none"/>
              </w:rPr>
              <w:t>块</w:t>
            </w:r>
          </w:p>
        </w:tc>
        <w:tc>
          <w:tcPr>
            <w:tcW w:w="1526" w:type="pct"/>
            <w:shd w:val="clear" w:color="auto" w:fill="auto"/>
            <w:vAlign w:val="center"/>
          </w:tcPr>
          <w:p>
            <w:pPr>
              <w:adjustRightInd w:val="0"/>
              <w:jc w:val="center"/>
              <w:rPr>
                <w:rFonts w:cs="华文细黑"/>
                <w:color w:val="auto"/>
                <w:szCs w:val="21"/>
                <w:highlight w:val="none"/>
                <w:lang w:eastAsia="zh-CN"/>
              </w:rPr>
            </w:pPr>
            <w:r>
              <w:rPr>
                <w:rFonts w:hint="eastAsia" w:cs="华文细黑"/>
                <w:color w:val="auto"/>
                <w:szCs w:val="21"/>
                <w:highlight w:val="none"/>
                <w:lang w:eastAsia="zh-CN"/>
              </w:rPr>
              <w:t>防火等级必须达到B1级及以上（墙上用板B1级，天花用板A级），须提供产品与工厂无石棉认证，厚度偏差不得超过±0.5mm。</w:t>
            </w:r>
          </w:p>
        </w:tc>
        <w:tc>
          <w:tcPr>
            <w:tcW w:w="593" w:type="pct"/>
            <w:shd w:val="clear" w:color="auto" w:fill="auto"/>
            <w:vAlign w:val="center"/>
          </w:tcPr>
          <w:p>
            <w:pPr>
              <w:adjustRightInd w:val="0"/>
              <w:jc w:val="center"/>
              <w:rPr>
                <w:rFonts w:cs="华文细黑"/>
                <w:color w:val="auto"/>
                <w:szCs w:val="21"/>
                <w:highlight w:val="no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2" w:hRule="atLeast"/>
          <w:jc w:val="center"/>
        </w:trPr>
        <w:tc>
          <w:tcPr>
            <w:tcW w:w="422" w:type="pct"/>
            <w:shd w:val="clear" w:color="auto" w:fill="auto"/>
            <w:vAlign w:val="center"/>
          </w:tcPr>
          <w:p>
            <w:pPr>
              <w:adjustRightInd w:val="0"/>
              <w:jc w:val="center"/>
              <w:rPr>
                <w:rFonts w:cs="华文细黑"/>
                <w:color w:val="auto"/>
                <w:szCs w:val="21"/>
                <w:highlight w:val="none"/>
              </w:rPr>
            </w:pPr>
            <w:r>
              <w:rPr>
                <w:rFonts w:hint="eastAsia" w:cs="华文细黑"/>
                <w:color w:val="auto"/>
                <w:szCs w:val="21"/>
                <w:highlight w:val="none"/>
              </w:rPr>
              <w:t>4</w:t>
            </w:r>
          </w:p>
        </w:tc>
        <w:tc>
          <w:tcPr>
            <w:tcW w:w="766" w:type="pct"/>
            <w:shd w:val="clear" w:color="auto" w:fill="auto"/>
            <w:vAlign w:val="center"/>
          </w:tcPr>
          <w:p>
            <w:pPr>
              <w:adjustRightInd w:val="0"/>
              <w:jc w:val="center"/>
              <w:rPr>
                <w:color w:val="auto"/>
                <w:szCs w:val="21"/>
                <w:highlight w:val="none"/>
              </w:rPr>
            </w:pPr>
            <w:r>
              <w:rPr>
                <w:rFonts w:hint="eastAsia"/>
                <w:color w:val="auto"/>
                <w:szCs w:val="21"/>
                <w:highlight w:val="none"/>
              </w:rPr>
              <w:t>阻燃胶合板</w:t>
            </w:r>
          </w:p>
        </w:tc>
        <w:tc>
          <w:tcPr>
            <w:tcW w:w="1102" w:type="pct"/>
            <w:shd w:val="clear" w:color="auto" w:fill="auto"/>
            <w:vAlign w:val="center"/>
          </w:tcPr>
          <w:p>
            <w:pPr>
              <w:adjustRightInd w:val="0"/>
              <w:jc w:val="center"/>
              <w:rPr>
                <w:rFonts w:cs="华文细黑"/>
                <w:color w:val="auto"/>
                <w:szCs w:val="21"/>
                <w:highlight w:val="none"/>
              </w:rPr>
            </w:pPr>
            <w:r>
              <w:rPr>
                <w:rFonts w:hint="eastAsia" w:cs="华文细黑"/>
                <w:color w:val="auto"/>
                <w:szCs w:val="21"/>
                <w:highlight w:val="none"/>
              </w:rPr>
              <w:t>15</w:t>
            </w:r>
            <w:r>
              <w:rPr>
                <w:rFonts w:cs="华文细黑"/>
                <w:color w:val="auto"/>
                <w:szCs w:val="21"/>
                <w:highlight w:val="none"/>
              </w:rPr>
              <w:t>0X300m</w:t>
            </w:r>
            <w:r>
              <w:rPr>
                <w:rFonts w:hint="eastAsia" w:cs="华文细黑"/>
                <w:color w:val="auto"/>
                <w:szCs w:val="21"/>
                <w:highlight w:val="none"/>
              </w:rPr>
              <w:t>m/每种</w:t>
            </w:r>
          </w:p>
          <w:p>
            <w:pPr>
              <w:adjustRightInd w:val="0"/>
              <w:jc w:val="center"/>
              <w:rPr>
                <w:rFonts w:cs="华文细黑"/>
                <w:color w:val="auto"/>
                <w:szCs w:val="21"/>
                <w:highlight w:val="none"/>
              </w:rPr>
            </w:pPr>
            <w:r>
              <w:rPr>
                <w:rFonts w:hint="eastAsia" w:cs="华文细黑"/>
                <w:color w:val="auto"/>
                <w:szCs w:val="21"/>
                <w:highlight w:val="none"/>
              </w:rPr>
              <w:t>规格</w:t>
            </w:r>
          </w:p>
        </w:tc>
        <w:tc>
          <w:tcPr>
            <w:tcW w:w="592" w:type="pct"/>
            <w:shd w:val="clear" w:color="auto" w:fill="auto"/>
            <w:vAlign w:val="center"/>
          </w:tcPr>
          <w:p>
            <w:pPr>
              <w:adjustRightInd w:val="0"/>
              <w:jc w:val="center"/>
              <w:rPr>
                <w:rFonts w:cs="华文细黑"/>
                <w:color w:val="auto"/>
                <w:szCs w:val="21"/>
                <w:highlight w:val="none"/>
              </w:rPr>
            </w:pPr>
            <w:r>
              <w:rPr>
                <w:rFonts w:cs="华文细黑"/>
                <w:color w:val="auto"/>
                <w:szCs w:val="21"/>
                <w:highlight w:val="none"/>
              </w:rPr>
              <w:t>2</w:t>
            </w:r>
            <w:r>
              <w:rPr>
                <w:rFonts w:hint="eastAsia" w:cs="华文细黑"/>
                <w:color w:val="auto"/>
                <w:szCs w:val="21"/>
                <w:highlight w:val="none"/>
              </w:rPr>
              <w:t>块</w:t>
            </w:r>
          </w:p>
        </w:tc>
        <w:tc>
          <w:tcPr>
            <w:tcW w:w="1526" w:type="pct"/>
            <w:shd w:val="clear" w:color="auto" w:fill="auto"/>
            <w:vAlign w:val="center"/>
          </w:tcPr>
          <w:p>
            <w:pPr>
              <w:adjustRightInd w:val="0"/>
              <w:jc w:val="center"/>
              <w:rPr>
                <w:rFonts w:cs="华文细黑"/>
                <w:color w:val="auto"/>
                <w:szCs w:val="21"/>
                <w:highlight w:val="none"/>
                <w:lang w:eastAsia="zh-CN"/>
              </w:rPr>
            </w:pPr>
            <w:r>
              <w:rPr>
                <w:rFonts w:hint="eastAsia" w:cs="华文细黑"/>
                <w:color w:val="auto"/>
                <w:szCs w:val="21"/>
                <w:highlight w:val="none"/>
                <w:lang w:eastAsia="zh-CN"/>
              </w:rPr>
              <w:t>防火等级必须达到B1级及以上，须提供材料检测报告，厚度偏差不得超过±0.5mm。</w:t>
            </w:r>
          </w:p>
        </w:tc>
        <w:tc>
          <w:tcPr>
            <w:tcW w:w="593" w:type="pct"/>
            <w:shd w:val="clear" w:color="auto" w:fill="auto"/>
            <w:vAlign w:val="center"/>
          </w:tcPr>
          <w:p>
            <w:pPr>
              <w:adjustRightInd w:val="0"/>
              <w:jc w:val="center"/>
              <w:rPr>
                <w:rFonts w:cs="华文细黑"/>
                <w:color w:val="auto"/>
                <w:szCs w:val="21"/>
                <w:highlight w:val="no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2" w:hRule="atLeast"/>
          <w:jc w:val="center"/>
        </w:trPr>
        <w:tc>
          <w:tcPr>
            <w:tcW w:w="422" w:type="pct"/>
            <w:shd w:val="clear" w:color="auto" w:fill="auto"/>
            <w:vAlign w:val="center"/>
          </w:tcPr>
          <w:p>
            <w:pPr>
              <w:adjustRightInd w:val="0"/>
              <w:jc w:val="center"/>
              <w:rPr>
                <w:rFonts w:cs="华文细黑"/>
                <w:color w:val="auto"/>
                <w:szCs w:val="21"/>
                <w:highlight w:val="none"/>
              </w:rPr>
            </w:pPr>
            <w:r>
              <w:rPr>
                <w:rFonts w:hint="eastAsia" w:cs="华文细黑"/>
                <w:color w:val="auto"/>
                <w:szCs w:val="21"/>
                <w:highlight w:val="none"/>
              </w:rPr>
              <w:t>5</w:t>
            </w:r>
          </w:p>
        </w:tc>
        <w:tc>
          <w:tcPr>
            <w:tcW w:w="766" w:type="pct"/>
            <w:shd w:val="clear" w:color="auto" w:fill="auto"/>
            <w:vAlign w:val="center"/>
          </w:tcPr>
          <w:p>
            <w:pPr>
              <w:adjustRightInd w:val="0"/>
              <w:jc w:val="center"/>
              <w:rPr>
                <w:color w:val="auto"/>
                <w:szCs w:val="21"/>
                <w:highlight w:val="none"/>
              </w:rPr>
            </w:pPr>
            <w:r>
              <w:rPr>
                <w:rFonts w:hint="eastAsia"/>
                <w:color w:val="auto"/>
                <w:szCs w:val="21"/>
                <w:highlight w:val="none"/>
              </w:rPr>
              <w:t>矿棉板</w:t>
            </w:r>
          </w:p>
        </w:tc>
        <w:tc>
          <w:tcPr>
            <w:tcW w:w="1102" w:type="pct"/>
            <w:shd w:val="clear" w:color="auto" w:fill="auto"/>
            <w:vAlign w:val="center"/>
          </w:tcPr>
          <w:p>
            <w:pPr>
              <w:adjustRightInd w:val="0"/>
              <w:jc w:val="center"/>
              <w:rPr>
                <w:rFonts w:cs="华文细黑"/>
                <w:color w:val="auto"/>
                <w:szCs w:val="21"/>
                <w:highlight w:val="none"/>
              </w:rPr>
            </w:pPr>
            <w:r>
              <w:rPr>
                <w:rFonts w:hint="eastAsia" w:cs="华文细黑"/>
                <w:color w:val="auto"/>
                <w:szCs w:val="21"/>
                <w:highlight w:val="none"/>
              </w:rPr>
              <w:t>15</w:t>
            </w:r>
            <w:r>
              <w:rPr>
                <w:rFonts w:cs="华文细黑"/>
                <w:color w:val="auto"/>
                <w:szCs w:val="21"/>
                <w:highlight w:val="none"/>
              </w:rPr>
              <w:t>0X300m</w:t>
            </w:r>
            <w:r>
              <w:rPr>
                <w:rFonts w:hint="eastAsia" w:cs="华文细黑"/>
                <w:color w:val="auto"/>
                <w:szCs w:val="21"/>
                <w:highlight w:val="none"/>
              </w:rPr>
              <w:t>m/每种规格</w:t>
            </w:r>
          </w:p>
        </w:tc>
        <w:tc>
          <w:tcPr>
            <w:tcW w:w="592" w:type="pct"/>
            <w:shd w:val="clear" w:color="auto" w:fill="auto"/>
            <w:vAlign w:val="center"/>
          </w:tcPr>
          <w:p>
            <w:pPr>
              <w:adjustRightInd w:val="0"/>
              <w:jc w:val="center"/>
              <w:rPr>
                <w:rFonts w:cs="华文细黑"/>
                <w:color w:val="auto"/>
                <w:szCs w:val="21"/>
                <w:highlight w:val="none"/>
              </w:rPr>
            </w:pPr>
            <w:r>
              <w:rPr>
                <w:rFonts w:cs="华文细黑"/>
                <w:color w:val="auto"/>
                <w:szCs w:val="21"/>
                <w:highlight w:val="none"/>
              </w:rPr>
              <w:t>2</w:t>
            </w:r>
            <w:r>
              <w:rPr>
                <w:rFonts w:hint="eastAsia" w:cs="华文细黑"/>
                <w:color w:val="auto"/>
                <w:szCs w:val="21"/>
                <w:highlight w:val="none"/>
              </w:rPr>
              <w:t>块</w:t>
            </w:r>
          </w:p>
        </w:tc>
        <w:tc>
          <w:tcPr>
            <w:tcW w:w="1526" w:type="pct"/>
            <w:shd w:val="clear" w:color="auto" w:fill="auto"/>
            <w:vAlign w:val="center"/>
          </w:tcPr>
          <w:p>
            <w:pPr>
              <w:adjustRightInd w:val="0"/>
              <w:jc w:val="center"/>
              <w:rPr>
                <w:rFonts w:cs="华文细黑"/>
                <w:color w:val="auto"/>
                <w:szCs w:val="21"/>
                <w:highlight w:val="none"/>
                <w:lang w:eastAsia="zh-CN"/>
              </w:rPr>
            </w:pPr>
            <w:r>
              <w:rPr>
                <w:rFonts w:hint="eastAsia" w:cs="华文细黑"/>
                <w:color w:val="auto"/>
                <w:szCs w:val="21"/>
                <w:highlight w:val="none"/>
                <w:lang w:eastAsia="zh-CN"/>
              </w:rPr>
              <w:t>材料放射性照射指数符合A类要求，燃烧性能A级，厚度偏差不得超过±0.5mm。</w:t>
            </w:r>
          </w:p>
        </w:tc>
        <w:tc>
          <w:tcPr>
            <w:tcW w:w="593" w:type="pct"/>
            <w:shd w:val="clear" w:color="auto" w:fill="auto"/>
            <w:vAlign w:val="center"/>
          </w:tcPr>
          <w:p>
            <w:pPr>
              <w:adjustRightInd w:val="0"/>
              <w:jc w:val="center"/>
              <w:rPr>
                <w:rFonts w:cs="华文细黑"/>
                <w:color w:val="auto"/>
                <w:szCs w:val="21"/>
                <w:highlight w:val="no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2" w:hRule="atLeast"/>
          <w:jc w:val="center"/>
        </w:trPr>
        <w:tc>
          <w:tcPr>
            <w:tcW w:w="422" w:type="pct"/>
            <w:shd w:val="clear" w:color="auto" w:fill="auto"/>
            <w:vAlign w:val="center"/>
          </w:tcPr>
          <w:p>
            <w:pPr>
              <w:adjustRightInd w:val="0"/>
              <w:jc w:val="center"/>
              <w:rPr>
                <w:rFonts w:cs="华文细黑"/>
                <w:color w:val="auto"/>
                <w:szCs w:val="21"/>
                <w:highlight w:val="none"/>
              </w:rPr>
            </w:pPr>
            <w:r>
              <w:rPr>
                <w:rFonts w:hint="eastAsia" w:cs="华文细黑"/>
                <w:color w:val="auto"/>
                <w:szCs w:val="21"/>
                <w:highlight w:val="none"/>
              </w:rPr>
              <w:t>6</w:t>
            </w:r>
          </w:p>
        </w:tc>
        <w:tc>
          <w:tcPr>
            <w:tcW w:w="766" w:type="pct"/>
            <w:shd w:val="clear" w:color="auto" w:fill="auto"/>
            <w:vAlign w:val="center"/>
          </w:tcPr>
          <w:p>
            <w:pPr>
              <w:adjustRightInd w:val="0"/>
              <w:jc w:val="center"/>
              <w:rPr>
                <w:color w:val="auto"/>
                <w:szCs w:val="21"/>
                <w:highlight w:val="none"/>
              </w:rPr>
            </w:pPr>
            <w:r>
              <w:rPr>
                <w:rFonts w:hint="eastAsia"/>
                <w:color w:val="auto"/>
                <w:szCs w:val="21"/>
                <w:highlight w:val="none"/>
              </w:rPr>
              <w:t>玻璃</w:t>
            </w:r>
          </w:p>
        </w:tc>
        <w:tc>
          <w:tcPr>
            <w:tcW w:w="1102" w:type="pct"/>
            <w:shd w:val="clear" w:color="auto" w:fill="auto"/>
            <w:vAlign w:val="center"/>
          </w:tcPr>
          <w:p>
            <w:pPr>
              <w:adjustRightInd w:val="0"/>
              <w:jc w:val="center"/>
              <w:rPr>
                <w:rFonts w:cs="华文细黑"/>
                <w:color w:val="auto"/>
                <w:szCs w:val="21"/>
                <w:highlight w:val="none"/>
              </w:rPr>
            </w:pPr>
            <w:r>
              <w:rPr>
                <w:rFonts w:hint="eastAsia" w:cs="华文细黑"/>
                <w:color w:val="auto"/>
                <w:szCs w:val="21"/>
                <w:highlight w:val="none"/>
              </w:rPr>
              <w:t>15</w:t>
            </w:r>
            <w:r>
              <w:rPr>
                <w:rFonts w:cs="华文细黑"/>
                <w:color w:val="auto"/>
                <w:szCs w:val="21"/>
                <w:highlight w:val="none"/>
              </w:rPr>
              <w:t>0X300m</w:t>
            </w:r>
            <w:r>
              <w:rPr>
                <w:rFonts w:hint="eastAsia" w:cs="华文细黑"/>
                <w:color w:val="auto"/>
                <w:szCs w:val="21"/>
                <w:highlight w:val="none"/>
              </w:rPr>
              <w:t>m/每种规格</w:t>
            </w:r>
          </w:p>
        </w:tc>
        <w:tc>
          <w:tcPr>
            <w:tcW w:w="592" w:type="pct"/>
            <w:shd w:val="clear" w:color="auto" w:fill="auto"/>
            <w:vAlign w:val="center"/>
          </w:tcPr>
          <w:p>
            <w:pPr>
              <w:adjustRightInd w:val="0"/>
              <w:jc w:val="center"/>
              <w:rPr>
                <w:rFonts w:cs="华文细黑"/>
                <w:color w:val="auto"/>
                <w:szCs w:val="21"/>
                <w:highlight w:val="none"/>
              </w:rPr>
            </w:pPr>
            <w:r>
              <w:rPr>
                <w:rFonts w:cs="华文细黑"/>
                <w:color w:val="auto"/>
                <w:szCs w:val="21"/>
                <w:highlight w:val="none"/>
              </w:rPr>
              <w:t>2</w:t>
            </w:r>
            <w:r>
              <w:rPr>
                <w:rFonts w:hint="eastAsia" w:cs="华文细黑"/>
                <w:color w:val="auto"/>
                <w:szCs w:val="21"/>
                <w:highlight w:val="none"/>
              </w:rPr>
              <w:t>块</w:t>
            </w:r>
          </w:p>
        </w:tc>
        <w:tc>
          <w:tcPr>
            <w:tcW w:w="1526" w:type="pct"/>
            <w:shd w:val="clear" w:color="auto" w:fill="auto"/>
            <w:vAlign w:val="center"/>
          </w:tcPr>
          <w:p>
            <w:pPr>
              <w:adjustRightInd w:val="0"/>
              <w:jc w:val="center"/>
              <w:rPr>
                <w:rFonts w:cs="华文细黑"/>
                <w:color w:val="auto"/>
                <w:szCs w:val="21"/>
                <w:highlight w:val="none"/>
                <w:lang w:eastAsia="zh-CN"/>
              </w:rPr>
            </w:pPr>
            <w:r>
              <w:rPr>
                <w:rFonts w:hint="eastAsia" w:cs="华文细黑"/>
                <w:color w:val="auto"/>
                <w:szCs w:val="21"/>
                <w:highlight w:val="none"/>
                <w:lang w:eastAsia="zh-CN"/>
              </w:rPr>
              <w:t>3C认证证明，材质、效果，厚度偏差不得超过±0.5mm。</w:t>
            </w:r>
          </w:p>
        </w:tc>
        <w:tc>
          <w:tcPr>
            <w:tcW w:w="593" w:type="pct"/>
            <w:shd w:val="clear" w:color="auto" w:fill="auto"/>
            <w:vAlign w:val="center"/>
          </w:tcPr>
          <w:p>
            <w:pPr>
              <w:adjustRightInd w:val="0"/>
              <w:jc w:val="center"/>
              <w:rPr>
                <w:rFonts w:cs="华文细黑"/>
                <w:color w:val="auto"/>
                <w:szCs w:val="21"/>
                <w:highlight w:val="no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2" w:hRule="atLeast"/>
          <w:jc w:val="center"/>
        </w:trPr>
        <w:tc>
          <w:tcPr>
            <w:tcW w:w="422" w:type="pct"/>
            <w:shd w:val="clear" w:color="auto" w:fill="auto"/>
            <w:vAlign w:val="center"/>
          </w:tcPr>
          <w:p>
            <w:pPr>
              <w:adjustRightInd w:val="0"/>
              <w:jc w:val="center"/>
              <w:rPr>
                <w:rFonts w:cs="华文细黑"/>
                <w:color w:val="auto"/>
                <w:szCs w:val="21"/>
                <w:highlight w:val="none"/>
              </w:rPr>
            </w:pPr>
            <w:r>
              <w:rPr>
                <w:rFonts w:hint="eastAsia" w:cs="华文细黑"/>
                <w:color w:val="auto"/>
                <w:szCs w:val="21"/>
                <w:highlight w:val="none"/>
              </w:rPr>
              <w:t>7</w:t>
            </w:r>
          </w:p>
        </w:tc>
        <w:tc>
          <w:tcPr>
            <w:tcW w:w="766" w:type="pct"/>
            <w:shd w:val="clear" w:color="auto" w:fill="auto"/>
            <w:vAlign w:val="center"/>
          </w:tcPr>
          <w:p>
            <w:pPr>
              <w:adjustRightInd w:val="0"/>
              <w:jc w:val="center"/>
              <w:rPr>
                <w:color w:val="auto"/>
                <w:szCs w:val="21"/>
                <w:highlight w:val="none"/>
              </w:rPr>
            </w:pPr>
            <w:r>
              <w:rPr>
                <w:rFonts w:hint="eastAsia"/>
                <w:color w:val="auto"/>
                <w:szCs w:val="21"/>
                <w:highlight w:val="none"/>
              </w:rPr>
              <w:t>人造石</w:t>
            </w:r>
          </w:p>
        </w:tc>
        <w:tc>
          <w:tcPr>
            <w:tcW w:w="1102" w:type="pct"/>
            <w:shd w:val="clear" w:color="auto" w:fill="auto"/>
            <w:vAlign w:val="center"/>
          </w:tcPr>
          <w:p>
            <w:pPr>
              <w:adjustRightInd w:val="0"/>
              <w:jc w:val="center"/>
              <w:rPr>
                <w:rFonts w:cs="华文细黑"/>
                <w:color w:val="auto"/>
                <w:szCs w:val="21"/>
                <w:highlight w:val="none"/>
              </w:rPr>
            </w:pPr>
            <w:r>
              <w:rPr>
                <w:rFonts w:hint="eastAsia" w:cs="华文细黑"/>
                <w:color w:val="auto"/>
                <w:szCs w:val="21"/>
                <w:highlight w:val="none"/>
              </w:rPr>
              <w:t>15</w:t>
            </w:r>
            <w:r>
              <w:rPr>
                <w:rFonts w:cs="华文细黑"/>
                <w:color w:val="auto"/>
                <w:szCs w:val="21"/>
                <w:highlight w:val="none"/>
              </w:rPr>
              <w:t>0X300m</w:t>
            </w:r>
            <w:r>
              <w:rPr>
                <w:rFonts w:hint="eastAsia" w:cs="华文细黑"/>
                <w:color w:val="auto"/>
                <w:szCs w:val="21"/>
                <w:highlight w:val="none"/>
              </w:rPr>
              <w:t>m/每种规格</w:t>
            </w:r>
          </w:p>
        </w:tc>
        <w:tc>
          <w:tcPr>
            <w:tcW w:w="592" w:type="pct"/>
            <w:shd w:val="clear" w:color="auto" w:fill="auto"/>
            <w:vAlign w:val="center"/>
          </w:tcPr>
          <w:p>
            <w:pPr>
              <w:adjustRightInd w:val="0"/>
              <w:jc w:val="center"/>
              <w:rPr>
                <w:rFonts w:cs="华文细黑"/>
                <w:color w:val="auto"/>
                <w:szCs w:val="21"/>
                <w:highlight w:val="none"/>
              </w:rPr>
            </w:pPr>
            <w:r>
              <w:rPr>
                <w:rFonts w:cs="华文细黑"/>
                <w:color w:val="auto"/>
                <w:szCs w:val="21"/>
                <w:highlight w:val="none"/>
              </w:rPr>
              <w:t>2</w:t>
            </w:r>
            <w:r>
              <w:rPr>
                <w:rFonts w:hint="eastAsia" w:cs="华文细黑"/>
                <w:color w:val="auto"/>
                <w:szCs w:val="21"/>
                <w:highlight w:val="none"/>
              </w:rPr>
              <w:t>块</w:t>
            </w:r>
          </w:p>
        </w:tc>
        <w:tc>
          <w:tcPr>
            <w:tcW w:w="1526" w:type="pct"/>
            <w:shd w:val="clear" w:color="auto" w:fill="auto"/>
            <w:vAlign w:val="center"/>
          </w:tcPr>
          <w:p>
            <w:pPr>
              <w:adjustRightInd w:val="0"/>
              <w:jc w:val="center"/>
              <w:rPr>
                <w:rFonts w:cs="华文细黑"/>
                <w:color w:val="auto"/>
                <w:szCs w:val="21"/>
                <w:highlight w:val="none"/>
                <w:lang w:eastAsia="zh-CN"/>
              </w:rPr>
            </w:pPr>
            <w:r>
              <w:rPr>
                <w:rFonts w:hint="eastAsia" w:cs="华文细黑"/>
                <w:color w:val="auto"/>
                <w:szCs w:val="21"/>
                <w:highlight w:val="none"/>
                <w:lang w:eastAsia="zh-CN"/>
              </w:rPr>
              <w:t>材质、效果和色差，厚度、平整度偏差不得超过±0.5mm。</w:t>
            </w:r>
          </w:p>
        </w:tc>
        <w:tc>
          <w:tcPr>
            <w:tcW w:w="593" w:type="pct"/>
            <w:shd w:val="clear" w:color="auto" w:fill="auto"/>
            <w:vAlign w:val="center"/>
          </w:tcPr>
          <w:p>
            <w:pPr>
              <w:adjustRightInd w:val="0"/>
              <w:jc w:val="center"/>
              <w:rPr>
                <w:rFonts w:cs="华文细黑"/>
                <w:color w:val="auto"/>
                <w:szCs w:val="21"/>
                <w:highlight w:val="no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2" w:hRule="atLeast"/>
          <w:jc w:val="center"/>
        </w:trPr>
        <w:tc>
          <w:tcPr>
            <w:tcW w:w="422" w:type="pct"/>
            <w:shd w:val="clear" w:color="auto" w:fill="auto"/>
            <w:vAlign w:val="center"/>
          </w:tcPr>
          <w:p>
            <w:pPr>
              <w:adjustRightInd w:val="0"/>
              <w:jc w:val="center"/>
              <w:rPr>
                <w:rFonts w:cs="华文细黑"/>
                <w:color w:val="auto"/>
                <w:szCs w:val="21"/>
                <w:highlight w:val="none"/>
              </w:rPr>
            </w:pPr>
            <w:r>
              <w:rPr>
                <w:rFonts w:hint="eastAsia" w:cs="华文细黑"/>
                <w:color w:val="auto"/>
                <w:szCs w:val="21"/>
                <w:highlight w:val="none"/>
              </w:rPr>
              <w:t>8</w:t>
            </w:r>
          </w:p>
        </w:tc>
        <w:tc>
          <w:tcPr>
            <w:tcW w:w="766" w:type="pct"/>
            <w:shd w:val="clear" w:color="auto" w:fill="auto"/>
            <w:vAlign w:val="center"/>
          </w:tcPr>
          <w:p>
            <w:pPr>
              <w:adjustRightInd w:val="0"/>
              <w:jc w:val="center"/>
              <w:rPr>
                <w:color w:val="auto"/>
                <w:szCs w:val="21"/>
                <w:highlight w:val="none"/>
                <w:lang w:eastAsia="zh-CN"/>
              </w:rPr>
            </w:pPr>
            <w:r>
              <w:rPr>
                <w:rFonts w:hint="eastAsia"/>
                <w:color w:val="auto"/>
                <w:szCs w:val="21"/>
                <w:highlight w:val="none"/>
                <w:lang w:eastAsia="zh-CN"/>
              </w:rPr>
              <w:t>铝方通、铝</w:t>
            </w:r>
          </w:p>
          <w:p>
            <w:pPr>
              <w:adjustRightInd w:val="0"/>
              <w:jc w:val="center"/>
              <w:rPr>
                <w:color w:val="auto"/>
                <w:szCs w:val="21"/>
                <w:highlight w:val="none"/>
                <w:lang w:eastAsia="zh-CN"/>
              </w:rPr>
            </w:pPr>
            <w:r>
              <w:rPr>
                <w:rFonts w:hint="eastAsia"/>
                <w:color w:val="auto"/>
                <w:szCs w:val="21"/>
                <w:highlight w:val="none"/>
                <w:lang w:eastAsia="zh-CN"/>
              </w:rPr>
              <w:t>方槽、</w:t>
            </w:r>
            <w:r>
              <w:rPr>
                <w:color w:val="auto"/>
                <w:szCs w:val="21"/>
                <w:highlight w:val="none"/>
                <w:lang w:eastAsia="zh-CN"/>
              </w:rPr>
              <w:t>瓦楞板</w:t>
            </w:r>
          </w:p>
        </w:tc>
        <w:tc>
          <w:tcPr>
            <w:tcW w:w="1102" w:type="pct"/>
            <w:shd w:val="clear" w:color="auto" w:fill="auto"/>
            <w:vAlign w:val="center"/>
          </w:tcPr>
          <w:p>
            <w:pPr>
              <w:adjustRightInd w:val="0"/>
              <w:jc w:val="center"/>
              <w:rPr>
                <w:rFonts w:cs="华文细黑"/>
                <w:color w:val="auto"/>
                <w:szCs w:val="21"/>
                <w:highlight w:val="none"/>
              </w:rPr>
            </w:pPr>
            <w:r>
              <w:rPr>
                <w:rFonts w:hint="eastAsia" w:cs="华文细黑"/>
                <w:color w:val="auto"/>
                <w:szCs w:val="21"/>
                <w:highlight w:val="none"/>
              </w:rPr>
              <w:t>2</w:t>
            </w:r>
            <w:r>
              <w:rPr>
                <w:rFonts w:cs="华文细黑"/>
                <w:color w:val="auto"/>
                <w:szCs w:val="21"/>
                <w:highlight w:val="none"/>
              </w:rPr>
              <w:t>00m</w:t>
            </w:r>
            <w:r>
              <w:rPr>
                <w:rFonts w:hint="eastAsia" w:cs="华文细黑"/>
                <w:color w:val="auto"/>
                <w:szCs w:val="21"/>
                <w:highlight w:val="none"/>
              </w:rPr>
              <w:t>m长/每种规格</w:t>
            </w:r>
          </w:p>
        </w:tc>
        <w:tc>
          <w:tcPr>
            <w:tcW w:w="592" w:type="pct"/>
            <w:shd w:val="clear" w:color="auto" w:fill="auto"/>
            <w:vAlign w:val="center"/>
          </w:tcPr>
          <w:p>
            <w:pPr>
              <w:adjustRightInd w:val="0"/>
              <w:jc w:val="center"/>
              <w:rPr>
                <w:rFonts w:cs="华文细黑"/>
                <w:color w:val="auto"/>
                <w:szCs w:val="21"/>
                <w:highlight w:val="none"/>
              </w:rPr>
            </w:pPr>
            <w:r>
              <w:rPr>
                <w:rFonts w:cs="华文细黑"/>
                <w:color w:val="auto"/>
                <w:szCs w:val="21"/>
                <w:highlight w:val="none"/>
              </w:rPr>
              <w:t>2</w:t>
            </w:r>
            <w:r>
              <w:rPr>
                <w:rFonts w:hint="eastAsia" w:cs="华文细黑"/>
                <w:color w:val="auto"/>
                <w:szCs w:val="21"/>
                <w:highlight w:val="none"/>
              </w:rPr>
              <w:t>条</w:t>
            </w:r>
          </w:p>
        </w:tc>
        <w:tc>
          <w:tcPr>
            <w:tcW w:w="1526" w:type="pct"/>
            <w:shd w:val="clear" w:color="auto" w:fill="auto"/>
            <w:vAlign w:val="center"/>
          </w:tcPr>
          <w:p>
            <w:pPr>
              <w:adjustRightInd w:val="0"/>
              <w:jc w:val="center"/>
              <w:rPr>
                <w:rFonts w:cs="华文细黑"/>
                <w:color w:val="auto"/>
                <w:szCs w:val="21"/>
                <w:highlight w:val="none"/>
                <w:lang w:eastAsia="zh-CN"/>
              </w:rPr>
            </w:pPr>
            <w:r>
              <w:rPr>
                <w:rFonts w:hint="eastAsia" w:cs="华文细黑"/>
                <w:color w:val="auto"/>
                <w:szCs w:val="21"/>
                <w:highlight w:val="none"/>
                <w:lang w:eastAsia="zh-CN"/>
              </w:rPr>
              <w:t>材质、效果和色差，厚度偏差不得超过±0.5mm。</w:t>
            </w:r>
          </w:p>
        </w:tc>
        <w:tc>
          <w:tcPr>
            <w:tcW w:w="593" w:type="pct"/>
            <w:shd w:val="clear" w:color="auto" w:fill="auto"/>
            <w:vAlign w:val="center"/>
          </w:tcPr>
          <w:p>
            <w:pPr>
              <w:adjustRightInd w:val="0"/>
              <w:jc w:val="center"/>
              <w:rPr>
                <w:rFonts w:cs="华文细黑"/>
                <w:color w:val="auto"/>
                <w:szCs w:val="21"/>
                <w:highlight w:val="no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2" w:hRule="atLeast"/>
          <w:jc w:val="center"/>
        </w:trPr>
        <w:tc>
          <w:tcPr>
            <w:tcW w:w="422" w:type="pct"/>
            <w:shd w:val="clear" w:color="auto" w:fill="auto"/>
            <w:vAlign w:val="center"/>
          </w:tcPr>
          <w:p>
            <w:pPr>
              <w:adjustRightInd w:val="0"/>
              <w:jc w:val="center"/>
              <w:rPr>
                <w:rFonts w:cs="华文细黑"/>
                <w:color w:val="auto"/>
                <w:szCs w:val="21"/>
                <w:highlight w:val="none"/>
              </w:rPr>
            </w:pPr>
            <w:r>
              <w:rPr>
                <w:rFonts w:hint="eastAsia" w:cs="华文细黑"/>
                <w:color w:val="auto"/>
                <w:szCs w:val="21"/>
                <w:highlight w:val="none"/>
              </w:rPr>
              <w:t>9</w:t>
            </w:r>
          </w:p>
        </w:tc>
        <w:tc>
          <w:tcPr>
            <w:tcW w:w="766" w:type="pct"/>
            <w:shd w:val="clear" w:color="auto" w:fill="auto"/>
            <w:vAlign w:val="center"/>
          </w:tcPr>
          <w:p>
            <w:pPr>
              <w:adjustRightInd w:val="0"/>
              <w:jc w:val="center"/>
              <w:rPr>
                <w:color w:val="auto"/>
                <w:szCs w:val="21"/>
                <w:highlight w:val="none"/>
              </w:rPr>
            </w:pPr>
            <w:r>
              <w:rPr>
                <w:rFonts w:hint="eastAsia"/>
                <w:color w:val="auto"/>
                <w:szCs w:val="21"/>
                <w:highlight w:val="none"/>
              </w:rPr>
              <w:t>铝板</w:t>
            </w:r>
          </w:p>
        </w:tc>
        <w:tc>
          <w:tcPr>
            <w:tcW w:w="1102" w:type="pct"/>
            <w:shd w:val="clear" w:color="auto" w:fill="auto"/>
            <w:vAlign w:val="center"/>
          </w:tcPr>
          <w:p>
            <w:pPr>
              <w:adjustRightInd w:val="0"/>
              <w:jc w:val="center"/>
              <w:rPr>
                <w:rFonts w:cs="华文细黑"/>
                <w:color w:val="auto"/>
                <w:szCs w:val="21"/>
                <w:highlight w:val="none"/>
              </w:rPr>
            </w:pPr>
            <w:r>
              <w:rPr>
                <w:rFonts w:hint="eastAsia" w:cs="华文细黑"/>
                <w:color w:val="auto"/>
                <w:szCs w:val="21"/>
                <w:highlight w:val="none"/>
              </w:rPr>
              <w:t>15</w:t>
            </w:r>
            <w:r>
              <w:rPr>
                <w:rFonts w:cs="华文细黑"/>
                <w:color w:val="auto"/>
                <w:szCs w:val="21"/>
                <w:highlight w:val="none"/>
              </w:rPr>
              <w:t>0X</w:t>
            </w:r>
            <w:r>
              <w:rPr>
                <w:rFonts w:hint="eastAsia" w:cs="华文细黑"/>
                <w:color w:val="auto"/>
                <w:szCs w:val="21"/>
                <w:highlight w:val="none"/>
              </w:rPr>
              <w:t>2</w:t>
            </w:r>
            <w:r>
              <w:rPr>
                <w:rFonts w:cs="华文细黑"/>
                <w:color w:val="auto"/>
                <w:szCs w:val="21"/>
                <w:highlight w:val="none"/>
              </w:rPr>
              <w:t>00m</w:t>
            </w:r>
            <w:r>
              <w:rPr>
                <w:rFonts w:hint="eastAsia" w:cs="华文细黑"/>
                <w:color w:val="auto"/>
                <w:szCs w:val="21"/>
                <w:highlight w:val="none"/>
              </w:rPr>
              <w:t>m/每种规格</w:t>
            </w:r>
          </w:p>
        </w:tc>
        <w:tc>
          <w:tcPr>
            <w:tcW w:w="592" w:type="pct"/>
            <w:shd w:val="clear" w:color="auto" w:fill="auto"/>
            <w:vAlign w:val="center"/>
          </w:tcPr>
          <w:p>
            <w:pPr>
              <w:adjustRightInd w:val="0"/>
              <w:jc w:val="center"/>
              <w:rPr>
                <w:rFonts w:cs="华文细黑"/>
                <w:color w:val="auto"/>
                <w:szCs w:val="21"/>
                <w:highlight w:val="none"/>
              </w:rPr>
            </w:pPr>
            <w:r>
              <w:rPr>
                <w:rFonts w:cs="华文细黑"/>
                <w:color w:val="auto"/>
                <w:szCs w:val="21"/>
                <w:highlight w:val="none"/>
              </w:rPr>
              <w:t>2</w:t>
            </w:r>
            <w:r>
              <w:rPr>
                <w:rFonts w:hint="eastAsia" w:cs="华文细黑"/>
                <w:color w:val="auto"/>
                <w:szCs w:val="21"/>
                <w:highlight w:val="none"/>
              </w:rPr>
              <w:t>块</w:t>
            </w:r>
          </w:p>
        </w:tc>
        <w:tc>
          <w:tcPr>
            <w:tcW w:w="1526" w:type="pct"/>
            <w:shd w:val="clear" w:color="auto" w:fill="auto"/>
            <w:vAlign w:val="center"/>
          </w:tcPr>
          <w:p>
            <w:pPr>
              <w:adjustRightInd w:val="0"/>
              <w:jc w:val="center"/>
              <w:rPr>
                <w:rFonts w:cs="华文细黑"/>
                <w:color w:val="auto"/>
                <w:szCs w:val="21"/>
                <w:highlight w:val="none"/>
                <w:lang w:eastAsia="zh-CN"/>
              </w:rPr>
            </w:pPr>
            <w:r>
              <w:rPr>
                <w:rFonts w:hint="eastAsia" w:cs="华文细黑"/>
                <w:color w:val="auto"/>
                <w:szCs w:val="21"/>
                <w:highlight w:val="none"/>
                <w:lang w:eastAsia="zh-CN"/>
              </w:rPr>
              <w:t>材质、效果和色差，板面厚度偏差不得超过±0.15mm。</w:t>
            </w:r>
          </w:p>
        </w:tc>
        <w:tc>
          <w:tcPr>
            <w:tcW w:w="593" w:type="pct"/>
            <w:shd w:val="clear" w:color="auto" w:fill="auto"/>
            <w:vAlign w:val="center"/>
          </w:tcPr>
          <w:p>
            <w:pPr>
              <w:adjustRightInd w:val="0"/>
              <w:jc w:val="center"/>
              <w:rPr>
                <w:rFonts w:cs="华文细黑"/>
                <w:color w:val="auto"/>
                <w:szCs w:val="21"/>
                <w:highlight w:val="no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06" w:hRule="atLeast"/>
          <w:jc w:val="center"/>
        </w:trPr>
        <w:tc>
          <w:tcPr>
            <w:tcW w:w="422" w:type="pct"/>
            <w:shd w:val="clear" w:color="auto" w:fill="auto"/>
            <w:vAlign w:val="center"/>
          </w:tcPr>
          <w:p>
            <w:pPr>
              <w:adjustRightInd w:val="0"/>
              <w:jc w:val="center"/>
              <w:rPr>
                <w:rFonts w:cs="华文细黑"/>
                <w:color w:val="auto"/>
                <w:szCs w:val="21"/>
                <w:highlight w:val="none"/>
              </w:rPr>
            </w:pPr>
            <w:r>
              <w:rPr>
                <w:rFonts w:hint="eastAsia" w:cs="华文细黑"/>
                <w:color w:val="auto"/>
                <w:szCs w:val="21"/>
                <w:highlight w:val="none"/>
              </w:rPr>
              <w:t>10</w:t>
            </w:r>
          </w:p>
        </w:tc>
        <w:tc>
          <w:tcPr>
            <w:tcW w:w="766" w:type="pct"/>
            <w:shd w:val="clear" w:color="auto" w:fill="auto"/>
            <w:vAlign w:val="center"/>
          </w:tcPr>
          <w:p>
            <w:pPr>
              <w:adjustRightInd w:val="0"/>
              <w:jc w:val="center"/>
              <w:rPr>
                <w:color w:val="auto"/>
                <w:szCs w:val="21"/>
                <w:highlight w:val="none"/>
              </w:rPr>
            </w:pPr>
            <w:r>
              <w:rPr>
                <w:rFonts w:hint="eastAsia"/>
                <w:color w:val="auto"/>
                <w:szCs w:val="21"/>
                <w:highlight w:val="none"/>
              </w:rPr>
              <w:t>踢脚线</w:t>
            </w:r>
          </w:p>
        </w:tc>
        <w:tc>
          <w:tcPr>
            <w:tcW w:w="1102" w:type="pct"/>
            <w:shd w:val="clear" w:color="auto" w:fill="auto"/>
            <w:vAlign w:val="center"/>
          </w:tcPr>
          <w:p>
            <w:pPr>
              <w:adjustRightInd w:val="0"/>
              <w:jc w:val="center"/>
              <w:rPr>
                <w:rFonts w:cs="华文细黑"/>
                <w:color w:val="auto"/>
                <w:szCs w:val="21"/>
                <w:highlight w:val="none"/>
              </w:rPr>
            </w:pPr>
            <w:r>
              <w:rPr>
                <w:rFonts w:hint="eastAsia" w:cs="华文细黑"/>
                <w:color w:val="auto"/>
                <w:szCs w:val="21"/>
                <w:highlight w:val="none"/>
              </w:rPr>
              <w:t>每种材质100mm长</w:t>
            </w:r>
          </w:p>
        </w:tc>
        <w:tc>
          <w:tcPr>
            <w:tcW w:w="592" w:type="pct"/>
            <w:shd w:val="clear" w:color="auto" w:fill="auto"/>
            <w:vAlign w:val="center"/>
          </w:tcPr>
          <w:p>
            <w:pPr>
              <w:adjustRightInd w:val="0"/>
              <w:jc w:val="center"/>
              <w:rPr>
                <w:rFonts w:cs="华文细黑"/>
                <w:color w:val="auto"/>
                <w:szCs w:val="21"/>
                <w:highlight w:val="none"/>
              </w:rPr>
            </w:pPr>
            <w:r>
              <w:rPr>
                <w:rFonts w:cs="华文细黑"/>
                <w:color w:val="auto"/>
                <w:szCs w:val="21"/>
                <w:highlight w:val="none"/>
              </w:rPr>
              <w:t>2</w:t>
            </w:r>
            <w:r>
              <w:rPr>
                <w:rFonts w:hint="eastAsia" w:cs="华文细黑"/>
                <w:color w:val="auto"/>
                <w:szCs w:val="21"/>
                <w:highlight w:val="none"/>
              </w:rPr>
              <w:t>条</w:t>
            </w:r>
          </w:p>
        </w:tc>
        <w:tc>
          <w:tcPr>
            <w:tcW w:w="1526" w:type="pct"/>
            <w:shd w:val="clear" w:color="auto" w:fill="auto"/>
            <w:vAlign w:val="center"/>
          </w:tcPr>
          <w:p>
            <w:pPr>
              <w:adjustRightInd w:val="0"/>
              <w:jc w:val="center"/>
              <w:rPr>
                <w:rFonts w:cs="华文细黑"/>
                <w:color w:val="auto"/>
                <w:szCs w:val="21"/>
                <w:highlight w:val="none"/>
              </w:rPr>
            </w:pPr>
            <w:r>
              <w:rPr>
                <w:rFonts w:hint="eastAsia" w:cs="华文细黑"/>
                <w:color w:val="auto"/>
                <w:szCs w:val="21"/>
                <w:highlight w:val="none"/>
              </w:rPr>
              <w:t>整体效果和色差</w:t>
            </w:r>
          </w:p>
        </w:tc>
        <w:tc>
          <w:tcPr>
            <w:tcW w:w="593" w:type="pct"/>
            <w:shd w:val="clear" w:color="auto" w:fill="auto"/>
            <w:vAlign w:val="center"/>
          </w:tcPr>
          <w:p>
            <w:pPr>
              <w:adjustRightInd w:val="0"/>
              <w:jc w:val="center"/>
              <w:rPr>
                <w:rFonts w:cs="华文细黑"/>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2" w:hRule="atLeast"/>
          <w:jc w:val="center"/>
        </w:trPr>
        <w:tc>
          <w:tcPr>
            <w:tcW w:w="422" w:type="pct"/>
            <w:shd w:val="clear" w:color="auto" w:fill="auto"/>
            <w:vAlign w:val="center"/>
          </w:tcPr>
          <w:p>
            <w:pPr>
              <w:adjustRightInd w:val="0"/>
              <w:jc w:val="center"/>
              <w:rPr>
                <w:rFonts w:cs="华文细黑"/>
                <w:color w:val="auto"/>
                <w:szCs w:val="21"/>
                <w:highlight w:val="none"/>
              </w:rPr>
            </w:pPr>
            <w:r>
              <w:rPr>
                <w:rFonts w:hint="eastAsia" w:cs="华文细黑"/>
                <w:color w:val="auto"/>
                <w:szCs w:val="21"/>
                <w:highlight w:val="none"/>
              </w:rPr>
              <w:t>11</w:t>
            </w:r>
          </w:p>
        </w:tc>
        <w:tc>
          <w:tcPr>
            <w:tcW w:w="766" w:type="pct"/>
            <w:shd w:val="clear" w:color="auto" w:fill="auto"/>
            <w:vAlign w:val="center"/>
          </w:tcPr>
          <w:p>
            <w:pPr>
              <w:adjustRightInd w:val="0"/>
              <w:jc w:val="center"/>
              <w:rPr>
                <w:color w:val="auto"/>
                <w:szCs w:val="21"/>
                <w:highlight w:val="none"/>
              </w:rPr>
            </w:pPr>
            <w:r>
              <w:rPr>
                <w:rFonts w:hint="eastAsia"/>
                <w:color w:val="auto"/>
                <w:szCs w:val="21"/>
                <w:highlight w:val="none"/>
              </w:rPr>
              <w:t>密度板</w:t>
            </w:r>
          </w:p>
        </w:tc>
        <w:tc>
          <w:tcPr>
            <w:tcW w:w="1102" w:type="pct"/>
            <w:shd w:val="clear" w:color="auto" w:fill="auto"/>
            <w:vAlign w:val="center"/>
          </w:tcPr>
          <w:p>
            <w:pPr>
              <w:adjustRightInd w:val="0"/>
              <w:jc w:val="center"/>
              <w:rPr>
                <w:rFonts w:cs="华文细黑"/>
                <w:color w:val="auto"/>
                <w:szCs w:val="21"/>
                <w:highlight w:val="none"/>
              </w:rPr>
            </w:pPr>
            <w:r>
              <w:rPr>
                <w:rFonts w:hint="eastAsia" w:cs="华文细黑"/>
                <w:color w:val="auto"/>
                <w:szCs w:val="21"/>
                <w:highlight w:val="none"/>
              </w:rPr>
              <w:t>15</w:t>
            </w:r>
            <w:r>
              <w:rPr>
                <w:rFonts w:cs="华文细黑"/>
                <w:color w:val="auto"/>
                <w:szCs w:val="21"/>
                <w:highlight w:val="none"/>
              </w:rPr>
              <w:t>0X300m</w:t>
            </w:r>
            <w:r>
              <w:rPr>
                <w:rFonts w:hint="eastAsia" w:cs="华文细黑"/>
                <w:color w:val="auto"/>
                <w:szCs w:val="21"/>
                <w:highlight w:val="none"/>
              </w:rPr>
              <w:t>m/每种规格</w:t>
            </w:r>
          </w:p>
        </w:tc>
        <w:tc>
          <w:tcPr>
            <w:tcW w:w="592" w:type="pct"/>
            <w:shd w:val="clear" w:color="auto" w:fill="auto"/>
            <w:vAlign w:val="center"/>
          </w:tcPr>
          <w:p>
            <w:pPr>
              <w:adjustRightInd w:val="0"/>
              <w:jc w:val="center"/>
              <w:rPr>
                <w:rFonts w:cs="华文细黑"/>
                <w:color w:val="auto"/>
                <w:szCs w:val="21"/>
                <w:highlight w:val="none"/>
              </w:rPr>
            </w:pPr>
            <w:r>
              <w:rPr>
                <w:rFonts w:cs="华文细黑"/>
                <w:color w:val="auto"/>
                <w:szCs w:val="21"/>
                <w:highlight w:val="none"/>
              </w:rPr>
              <w:t>2</w:t>
            </w:r>
            <w:r>
              <w:rPr>
                <w:rFonts w:hint="eastAsia" w:cs="华文细黑"/>
                <w:color w:val="auto"/>
                <w:szCs w:val="21"/>
                <w:highlight w:val="none"/>
              </w:rPr>
              <w:t>块</w:t>
            </w:r>
          </w:p>
        </w:tc>
        <w:tc>
          <w:tcPr>
            <w:tcW w:w="1526" w:type="pct"/>
            <w:shd w:val="clear" w:color="auto" w:fill="auto"/>
            <w:vAlign w:val="center"/>
          </w:tcPr>
          <w:p>
            <w:pPr>
              <w:adjustRightInd w:val="0"/>
              <w:jc w:val="center"/>
              <w:rPr>
                <w:rFonts w:cs="华文细黑"/>
                <w:color w:val="auto"/>
                <w:szCs w:val="21"/>
                <w:highlight w:val="none"/>
                <w:lang w:eastAsia="zh-CN"/>
              </w:rPr>
            </w:pPr>
            <w:r>
              <w:rPr>
                <w:rFonts w:hint="eastAsia" w:cs="华文细黑"/>
                <w:color w:val="auto"/>
                <w:szCs w:val="21"/>
                <w:highlight w:val="none"/>
                <w:lang w:eastAsia="zh-CN"/>
              </w:rPr>
              <w:t>材质、效果和色差，厚度偏差不得超过±0.5mm。</w:t>
            </w:r>
          </w:p>
        </w:tc>
        <w:tc>
          <w:tcPr>
            <w:tcW w:w="593" w:type="pct"/>
            <w:shd w:val="clear" w:color="auto" w:fill="auto"/>
            <w:vAlign w:val="center"/>
          </w:tcPr>
          <w:p>
            <w:pPr>
              <w:adjustRightInd w:val="0"/>
              <w:jc w:val="center"/>
              <w:rPr>
                <w:rFonts w:cs="华文细黑"/>
                <w:color w:val="auto"/>
                <w:szCs w:val="21"/>
                <w:highlight w:val="no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2" w:hRule="atLeast"/>
          <w:jc w:val="center"/>
        </w:trPr>
        <w:tc>
          <w:tcPr>
            <w:tcW w:w="422" w:type="pct"/>
            <w:shd w:val="clear" w:color="auto" w:fill="auto"/>
            <w:vAlign w:val="center"/>
          </w:tcPr>
          <w:p>
            <w:pPr>
              <w:adjustRightInd w:val="0"/>
              <w:jc w:val="center"/>
              <w:rPr>
                <w:rFonts w:cs="华文细黑"/>
                <w:color w:val="auto"/>
                <w:szCs w:val="21"/>
                <w:highlight w:val="none"/>
              </w:rPr>
            </w:pPr>
            <w:r>
              <w:rPr>
                <w:rFonts w:hint="eastAsia" w:cs="华文细黑"/>
                <w:color w:val="auto"/>
                <w:szCs w:val="21"/>
                <w:highlight w:val="none"/>
              </w:rPr>
              <w:t>12</w:t>
            </w:r>
          </w:p>
        </w:tc>
        <w:tc>
          <w:tcPr>
            <w:tcW w:w="766" w:type="pct"/>
            <w:shd w:val="clear" w:color="auto" w:fill="auto"/>
            <w:vAlign w:val="center"/>
          </w:tcPr>
          <w:p>
            <w:pPr>
              <w:adjustRightInd w:val="0"/>
              <w:jc w:val="center"/>
              <w:rPr>
                <w:color w:val="auto"/>
                <w:szCs w:val="21"/>
                <w:highlight w:val="none"/>
              </w:rPr>
            </w:pPr>
            <w:r>
              <w:rPr>
                <w:rFonts w:hint="eastAsia"/>
                <w:color w:val="auto"/>
                <w:szCs w:val="21"/>
                <w:highlight w:val="none"/>
              </w:rPr>
              <w:t>墙纸</w:t>
            </w:r>
          </w:p>
        </w:tc>
        <w:tc>
          <w:tcPr>
            <w:tcW w:w="1102" w:type="pct"/>
            <w:shd w:val="clear" w:color="auto" w:fill="auto"/>
            <w:vAlign w:val="center"/>
          </w:tcPr>
          <w:p>
            <w:pPr>
              <w:adjustRightInd w:val="0"/>
              <w:jc w:val="center"/>
              <w:rPr>
                <w:rFonts w:cs="华文细黑"/>
                <w:color w:val="auto"/>
                <w:szCs w:val="21"/>
                <w:highlight w:val="none"/>
              </w:rPr>
            </w:pPr>
            <w:r>
              <w:rPr>
                <w:rFonts w:hint="eastAsia" w:cs="华文细黑"/>
                <w:color w:val="auto"/>
                <w:szCs w:val="21"/>
                <w:highlight w:val="none"/>
              </w:rPr>
              <w:t>1</w:t>
            </w:r>
            <w:r>
              <w:rPr>
                <w:rFonts w:cs="华文细黑"/>
                <w:color w:val="auto"/>
                <w:szCs w:val="21"/>
                <w:highlight w:val="none"/>
              </w:rPr>
              <w:t>00X</w:t>
            </w:r>
            <w:r>
              <w:rPr>
                <w:rFonts w:hint="eastAsia" w:cs="华文细黑"/>
                <w:color w:val="auto"/>
                <w:szCs w:val="21"/>
                <w:highlight w:val="none"/>
              </w:rPr>
              <w:t>1</w:t>
            </w:r>
            <w:r>
              <w:rPr>
                <w:rFonts w:cs="华文细黑"/>
                <w:color w:val="auto"/>
                <w:szCs w:val="21"/>
                <w:highlight w:val="none"/>
              </w:rPr>
              <w:t>00m</w:t>
            </w:r>
            <w:r>
              <w:rPr>
                <w:rFonts w:hint="eastAsia" w:cs="华文细黑"/>
                <w:color w:val="auto"/>
                <w:szCs w:val="21"/>
                <w:highlight w:val="none"/>
              </w:rPr>
              <w:t>m/每种规格</w:t>
            </w:r>
          </w:p>
        </w:tc>
        <w:tc>
          <w:tcPr>
            <w:tcW w:w="592" w:type="pct"/>
            <w:shd w:val="clear" w:color="auto" w:fill="auto"/>
            <w:vAlign w:val="center"/>
          </w:tcPr>
          <w:p>
            <w:pPr>
              <w:adjustRightInd w:val="0"/>
              <w:jc w:val="center"/>
              <w:rPr>
                <w:rFonts w:cs="华文细黑"/>
                <w:color w:val="auto"/>
                <w:szCs w:val="21"/>
                <w:highlight w:val="none"/>
              </w:rPr>
            </w:pPr>
            <w:r>
              <w:rPr>
                <w:rFonts w:cs="华文细黑"/>
                <w:color w:val="auto"/>
                <w:szCs w:val="21"/>
                <w:highlight w:val="none"/>
              </w:rPr>
              <w:t>2</w:t>
            </w:r>
            <w:r>
              <w:rPr>
                <w:rFonts w:hint="eastAsia" w:cs="华文细黑"/>
                <w:color w:val="auto"/>
                <w:szCs w:val="21"/>
                <w:highlight w:val="none"/>
              </w:rPr>
              <w:t>块</w:t>
            </w:r>
          </w:p>
        </w:tc>
        <w:tc>
          <w:tcPr>
            <w:tcW w:w="1526" w:type="pct"/>
            <w:shd w:val="clear" w:color="auto" w:fill="auto"/>
            <w:vAlign w:val="center"/>
          </w:tcPr>
          <w:p>
            <w:pPr>
              <w:adjustRightInd w:val="0"/>
              <w:jc w:val="center"/>
              <w:rPr>
                <w:rFonts w:cs="华文细黑"/>
                <w:color w:val="auto"/>
                <w:szCs w:val="21"/>
                <w:highlight w:val="none"/>
              </w:rPr>
            </w:pPr>
            <w:r>
              <w:rPr>
                <w:rFonts w:hint="eastAsia" w:cs="华文细黑"/>
                <w:color w:val="auto"/>
                <w:szCs w:val="21"/>
                <w:highlight w:val="none"/>
              </w:rPr>
              <w:t>材质、效果、色差</w:t>
            </w:r>
          </w:p>
        </w:tc>
        <w:tc>
          <w:tcPr>
            <w:tcW w:w="593" w:type="pct"/>
            <w:shd w:val="clear" w:color="auto" w:fill="auto"/>
            <w:vAlign w:val="center"/>
          </w:tcPr>
          <w:p>
            <w:pPr>
              <w:adjustRightInd w:val="0"/>
              <w:jc w:val="center"/>
              <w:rPr>
                <w:rFonts w:cs="华文细黑"/>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2" w:hRule="atLeast"/>
          <w:jc w:val="center"/>
        </w:trPr>
        <w:tc>
          <w:tcPr>
            <w:tcW w:w="422" w:type="pct"/>
            <w:shd w:val="clear" w:color="auto" w:fill="auto"/>
            <w:vAlign w:val="center"/>
          </w:tcPr>
          <w:p>
            <w:pPr>
              <w:adjustRightInd w:val="0"/>
              <w:jc w:val="center"/>
              <w:rPr>
                <w:rFonts w:cs="华文细黑"/>
                <w:color w:val="auto"/>
                <w:szCs w:val="21"/>
                <w:highlight w:val="none"/>
              </w:rPr>
            </w:pPr>
            <w:r>
              <w:rPr>
                <w:rFonts w:hint="eastAsia" w:cs="华文细黑"/>
                <w:color w:val="auto"/>
                <w:szCs w:val="21"/>
                <w:highlight w:val="none"/>
              </w:rPr>
              <w:t>13</w:t>
            </w:r>
          </w:p>
        </w:tc>
        <w:tc>
          <w:tcPr>
            <w:tcW w:w="766" w:type="pct"/>
            <w:shd w:val="clear" w:color="auto" w:fill="auto"/>
            <w:vAlign w:val="center"/>
          </w:tcPr>
          <w:p>
            <w:pPr>
              <w:adjustRightInd w:val="0"/>
              <w:jc w:val="center"/>
              <w:rPr>
                <w:color w:val="auto"/>
                <w:szCs w:val="21"/>
                <w:highlight w:val="none"/>
              </w:rPr>
            </w:pPr>
            <w:r>
              <w:rPr>
                <w:rFonts w:hint="eastAsia"/>
                <w:color w:val="auto"/>
                <w:szCs w:val="21"/>
                <w:highlight w:val="none"/>
              </w:rPr>
              <w:t>不锈钢</w:t>
            </w:r>
          </w:p>
        </w:tc>
        <w:tc>
          <w:tcPr>
            <w:tcW w:w="1102" w:type="pct"/>
            <w:shd w:val="clear" w:color="auto" w:fill="auto"/>
            <w:vAlign w:val="center"/>
          </w:tcPr>
          <w:p>
            <w:pPr>
              <w:adjustRightInd w:val="0"/>
              <w:jc w:val="center"/>
              <w:rPr>
                <w:rFonts w:cs="华文细黑"/>
                <w:color w:val="auto"/>
                <w:szCs w:val="21"/>
                <w:highlight w:val="none"/>
              </w:rPr>
            </w:pPr>
            <w:r>
              <w:rPr>
                <w:rFonts w:hint="eastAsia" w:cs="华文细黑"/>
                <w:color w:val="auto"/>
                <w:szCs w:val="21"/>
                <w:highlight w:val="none"/>
              </w:rPr>
              <w:t>2</w:t>
            </w:r>
            <w:r>
              <w:rPr>
                <w:rFonts w:cs="华文细黑"/>
                <w:color w:val="auto"/>
                <w:szCs w:val="21"/>
                <w:highlight w:val="none"/>
              </w:rPr>
              <w:t>00X</w:t>
            </w:r>
            <w:r>
              <w:rPr>
                <w:rFonts w:hint="eastAsia" w:cs="华文细黑"/>
                <w:color w:val="auto"/>
                <w:szCs w:val="21"/>
                <w:highlight w:val="none"/>
              </w:rPr>
              <w:t>2</w:t>
            </w:r>
            <w:r>
              <w:rPr>
                <w:rFonts w:cs="华文细黑"/>
                <w:color w:val="auto"/>
                <w:szCs w:val="21"/>
                <w:highlight w:val="none"/>
              </w:rPr>
              <w:t>00m</w:t>
            </w:r>
            <w:r>
              <w:rPr>
                <w:rFonts w:hint="eastAsia" w:cs="华文细黑"/>
                <w:color w:val="auto"/>
                <w:szCs w:val="21"/>
                <w:highlight w:val="none"/>
              </w:rPr>
              <w:t>m/每种规格</w:t>
            </w:r>
          </w:p>
        </w:tc>
        <w:tc>
          <w:tcPr>
            <w:tcW w:w="592" w:type="pct"/>
            <w:shd w:val="clear" w:color="auto" w:fill="auto"/>
            <w:vAlign w:val="center"/>
          </w:tcPr>
          <w:p>
            <w:pPr>
              <w:adjustRightInd w:val="0"/>
              <w:jc w:val="center"/>
              <w:rPr>
                <w:rFonts w:cs="华文细黑"/>
                <w:color w:val="auto"/>
                <w:szCs w:val="21"/>
                <w:highlight w:val="none"/>
              </w:rPr>
            </w:pPr>
            <w:r>
              <w:rPr>
                <w:rFonts w:cs="华文细黑"/>
                <w:color w:val="auto"/>
                <w:szCs w:val="21"/>
                <w:highlight w:val="none"/>
              </w:rPr>
              <w:t>2</w:t>
            </w:r>
            <w:r>
              <w:rPr>
                <w:rFonts w:hint="eastAsia" w:cs="华文细黑"/>
                <w:color w:val="auto"/>
                <w:szCs w:val="21"/>
                <w:highlight w:val="none"/>
              </w:rPr>
              <w:t>块</w:t>
            </w:r>
          </w:p>
        </w:tc>
        <w:tc>
          <w:tcPr>
            <w:tcW w:w="1526" w:type="pct"/>
            <w:shd w:val="clear" w:color="auto" w:fill="auto"/>
            <w:vAlign w:val="center"/>
          </w:tcPr>
          <w:p>
            <w:pPr>
              <w:adjustRightInd w:val="0"/>
              <w:jc w:val="center"/>
              <w:rPr>
                <w:rFonts w:cs="华文细黑"/>
                <w:color w:val="auto"/>
                <w:szCs w:val="21"/>
                <w:highlight w:val="none"/>
                <w:lang w:eastAsia="zh-CN"/>
              </w:rPr>
            </w:pPr>
            <w:r>
              <w:rPr>
                <w:rFonts w:hint="eastAsia" w:cs="华文细黑"/>
                <w:color w:val="auto"/>
                <w:szCs w:val="21"/>
                <w:highlight w:val="none"/>
                <w:lang w:eastAsia="zh-CN"/>
              </w:rPr>
              <w:t>效果和色差，厚度偏差须符合国标要求。</w:t>
            </w:r>
          </w:p>
        </w:tc>
        <w:tc>
          <w:tcPr>
            <w:tcW w:w="593" w:type="pct"/>
            <w:shd w:val="clear" w:color="auto" w:fill="auto"/>
            <w:vAlign w:val="center"/>
          </w:tcPr>
          <w:p>
            <w:pPr>
              <w:adjustRightInd w:val="0"/>
              <w:jc w:val="center"/>
              <w:rPr>
                <w:rFonts w:cs="华文细黑"/>
                <w:color w:val="auto"/>
                <w:szCs w:val="21"/>
                <w:highlight w:val="no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2" w:hRule="atLeast"/>
          <w:jc w:val="center"/>
        </w:trPr>
        <w:tc>
          <w:tcPr>
            <w:tcW w:w="422" w:type="pct"/>
            <w:shd w:val="clear" w:color="auto" w:fill="auto"/>
            <w:vAlign w:val="center"/>
          </w:tcPr>
          <w:p>
            <w:pPr>
              <w:adjustRightInd w:val="0"/>
              <w:jc w:val="center"/>
              <w:rPr>
                <w:rFonts w:cs="华文细黑"/>
                <w:color w:val="auto"/>
                <w:szCs w:val="21"/>
                <w:highlight w:val="none"/>
              </w:rPr>
            </w:pPr>
            <w:r>
              <w:rPr>
                <w:rFonts w:hint="eastAsia" w:cs="华文细黑"/>
                <w:color w:val="auto"/>
                <w:szCs w:val="21"/>
                <w:highlight w:val="none"/>
              </w:rPr>
              <w:t>14</w:t>
            </w:r>
          </w:p>
        </w:tc>
        <w:tc>
          <w:tcPr>
            <w:tcW w:w="766" w:type="pct"/>
            <w:shd w:val="clear" w:color="auto" w:fill="auto"/>
            <w:vAlign w:val="center"/>
          </w:tcPr>
          <w:p>
            <w:pPr>
              <w:adjustRightInd w:val="0"/>
              <w:jc w:val="center"/>
              <w:rPr>
                <w:color w:val="auto"/>
                <w:szCs w:val="21"/>
                <w:highlight w:val="none"/>
              </w:rPr>
            </w:pPr>
            <w:r>
              <w:rPr>
                <w:rFonts w:hint="eastAsia"/>
                <w:color w:val="auto"/>
                <w:szCs w:val="21"/>
                <w:highlight w:val="none"/>
              </w:rPr>
              <w:t>木饰面</w:t>
            </w:r>
          </w:p>
        </w:tc>
        <w:tc>
          <w:tcPr>
            <w:tcW w:w="1102" w:type="pct"/>
            <w:shd w:val="clear" w:color="auto" w:fill="auto"/>
            <w:vAlign w:val="center"/>
          </w:tcPr>
          <w:p>
            <w:pPr>
              <w:adjustRightInd w:val="0"/>
              <w:jc w:val="center"/>
              <w:rPr>
                <w:rFonts w:cs="华文细黑"/>
                <w:color w:val="auto"/>
                <w:szCs w:val="21"/>
                <w:highlight w:val="none"/>
              </w:rPr>
            </w:pPr>
            <w:r>
              <w:rPr>
                <w:rFonts w:hint="eastAsia" w:cs="华文细黑"/>
                <w:color w:val="auto"/>
                <w:szCs w:val="21"/>
                <w:highlight w:val="none"/>
              </w:rPr>
              <w:t>20</w:t>
            </w:r>
            <w:r>
              <w:rPr>
                <w:rFonts w:cs="华文细黑"/>
                <w:color w:val="auto"/>
                <w:szCs w:val="21"/>
                <w:highlight w:val="none"/>
              </w:rPr>
              <w:t>0X300m</w:t>
            </w:r>
            <w:r>
              <w:rPr>
                <w:rFonts w:hint="eastAsia" w:cs="华文细黑"/>
                <w:color w:val="auto"/>
                <w:szCs w:val="21"/>
                <w:highlight w:val="none"/>
              </w:rPr>
              <w:t>m/每种规格</w:t>
            </w:r>
          </w:p>
        </w:tc>
        <w:tc>
          <w:tcPr>
            <w:tcW w:w="592" w:type="pct"/>
            <w:shd w:val="clear" w:color="auto" w:fill="auto"/>
            <w:vAlign w:val="center"/>
          </w:tcPr>
          <w:p>
            <w:pPr>
              <w:adjustRightInd w:val="0"/>
              <w:jc w:val="center"/>
              <w:rPr>
                <w:rFonts w:cs="华文细黑"/>
                <w:color w:val="auto"/>
                <w:szCs w:val="21"/>
                <w:highlight w:val="none"/>
              </w:rPr>
            </w:pPr>
            <w:r>
              <w:rPr>
                <w:rFonts w:cs="华文细黑"/>
                <w:color w:val="auto"/>
                <w:szCs w:val="21"/>
                <w:highlight w:val="none"/>
              </w:rPr>
              <w:t>2</w:t>
            </w:r>
            <w:r>
              <w:rPr>
                <w:rFonts w:hint="eastAsia" w:cs="华文细黑"/>
                <w:color w:val="auto"/>
                <w:szCs w:val="21"/>
                <w:highlight w:val="none"/>
              </w:rPr>
              <w:t>块</w:t>
            </w:r>
          </w:p>
        </w:tc>
        <w:tc>
          <w:tcPr>
            <w:tcW w:w="1526" w:type="pct"/>
            <w:shd w:val="clear" w:color="auto" w:fill="auto"/>
            <w:vAlign w:val="center"/>
          </w:tcPr>
          <w:p>
            <w:pPr>
              <w:adjustRightInd w:val="0"/>
              <w:jc w:val="center"/>
              <w:rPr>
                <w:rFonts w:cs="华文细黑"/>
                <w:color w:val="auto"/>
                <w:szCs w:val="21"/>
                <w:highlight w:val="none"/>
              </w:rPr>
            </w:pPr>
            <w:r>
              <w:rPr>
                <w:rFonts w:hint="eastAsia" w:cs="华文细黑"/>
                <w:color w:val="auto"/>
                <w:szCs w:val="21"/>
                <w:highlight w:val="none"/>
              </w:rPr>
              <w:t>材质、效果、色差</w:t>
            </w:r>
          </w:p>
        </w:tc>
        <w:tc>
          <w:tcPr>
            <w:tcW w:w="593" w:type="pct"/>
            <w:shd w:val="clear" w:color="auto" w:fill="auto"/>
            <w:vAlign w:val="center"/>
          </w:tcPr>
          <w:p>
            <w:pPr>
              <w:adjustRightInd w:val="0"/>
              <w:jc w:val="center"/>
              <w:rPr>
                <w:rFonts w:cs="华文细黑"/>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2" w:hRule="atLeast"/>
          <w:jc w:val="center"/>
        </w:trPr>
        <w:tc>
          <w:tcPr>
            <w:tcW w:w="422" w:type="pct"/>
            <w:shd w:val="clear" w:color="auto" w:fill="auto"/>
            <w:vAlign w:val="center"/>
          </w:tcPr>
          <w:p>
            <w:pPr>
              <w:adjustRightInd w:val="0"/>
              <w:jc w:val="center"/>
              <w:rPr>
                <w:rFonts w:cs="华文细黑"/>
                <w:color w:val="auto"/>
                <w:szCs w:val="21"/>
                <w:highlight w:val="none"/>
              </w:rPr>
            </w:pPr>
            <w:r>
              <w:rPr>
                <w:rFonts w:hint="eastAsia" w:cs="华文细黑"/>
                <w:color w:val="auto"/>
                <w:szCs w:val="21"/>
                <w:highlight w:val="none"/>
              </w:rPr>
              <w:t>15</w:t>
            </w:r>
          </w:p>
        </w:tc>
        <w:tc>
          <w:tcPr>
            <w:tcW w:w="766" w:type="pct"/>
            <w:shd w:val="clear" w:color="auto" w:fill="auto"/>
            <w:vAlign w:val="center"/>
          </w:tcPr>
          <w:p>
            <w:pPr>
              <w:adjustRightInd w:val="0"/>
              <w:jc w:val="center"/>
              <w:rPr>
                <w:color w:val="auto"/>
                <w:szCs w:val="21"/>
                <w:highlight w:val="none"/>
              </w:rPr>
            </w:pPr>
            <w:r>
              <w:rPr>
                <w:rFonts w:hint="eastAsia"/>
                <w:color w:val="auto"/>
                <w:szCs w:val="21"/>
                <w:highlight w:val="none"/>
              </w:rPr>
              <w:t>瓷砖</w:t>
            </w:r>
          </w:p>
        </w:tc>
        <w:tc>
          <w:tcPr>
            <w:tcW w:w="1102" w:type="pct"/>
            <w:shd w:val="clear" w:color="auto" w:fill="auto"/>
            <w:vAlign w:val="center"/>
          </w:tcPr>
          <w:p>
            <w:pPr>
              <w:adjustRightInd w:val="0"/>
              <w:jc w:val="center"/>
              <w:rPr>
                <w:rFonts w:cs="华文细黑"/>
                <w:color w:val="auto"/>
                <w:szCs w:val="21"/>
                <w:highlight w:val="none"/>
              </w:rPr>
            </w:pPr>
            <w:r>
              <w:rPr>
                <w:rFonts w:cs="华文细黑"/>
                <w:color w:val="auto"/>
                <w:szCs w:val="21"/>
                <w:highlight w:val="none"/>
              </w:rPr>
              <w:t>300X300m</w:t>
            </w:r>
            <w:r>
              <w:rPr>
                <w:rFonts w:hint="eastAsia" w:cs="华文细黑"/>
                <w:color w:val="auto"/>
                <w:szCs w:val="21"/>
                <w:highlight w:val="none"/>
              </w:rPr>
              <w:t>m/每种规格</w:t>
            </w:r>
          </w:p>
        </w:tc>
        <w:tc>
          <w:tcPr>
            <w:tcW w:w="592" w:type="pct"/>
            <w:shd w:val="clear" w:color="auto" w:fill="auto"/>
            <w:vAlign w:val="center"/>
          </w:tcPr>
          <w:p>
            <w:pPr>
              <w:adjustRightInd w:val="0"/>
              <w:jc w:val="center"/>
              <w:rPr>
                <w:rFonts w:cs="华文细黑"/>
                <w:color w:val="auto"/>
                <w:szCs w:val="21"/>
                <w:highlight w:val="none"/>
              </w:rPr>
            </w:pPr>
            <w:r>
              <w:rPr>
                <w:rFonts w:cs="华文细黑"/>
                <w:color w:val="auto"/>
                <w:szCs w:val="21"/>
                <w:highlight w:val="none"/>
              </w:rPr>
              <w:t>2</w:t>
            </w:r>
            <w:r>
              <w:rPr>
                <w:rFonts w:hint="eastAsia" w:cs="华文细黑"/>
                <w:color w:val="auto"/>
                <w:szCs w:val="21"/>
                <w:highlight w:val="none"/>
              </w:rPr>
              <w:t>片</w:t>
            </w:r>
          </w:p>
        </w:tc>
        <w:tc>
          <w:tcPr>
            <w:tcW w:w="1526" w:type="pct"/>
            <w:shd w:val="clear" w:color="auto" w:fill="auto"/>
            <w:vAlign w:val="center"/>
          </w:tcPr>
          <w:p>
            <w:pPr>
              <w:adjustRightInd w:val="0"/>
              <w:jc w:val="center"/>
              <w:rPr>
                <w:rFonts w:cs="华文细黑"/>
                <w:color w:val="auto"/>
                <w:szCs w:val="21"/>
                <w:highlight w:val="none"/>
                <w:lang w:eastAsia="zh-CN"/>
              </w:rPr>
            </w:pPr>
            <w:r>
              <w:rPr>
                <w:rFonts w:hint="eastAsia" w:cs="华文细黑"/>
                <w:color w:val="auto"/>
                <w:szCs w:val="21"/>
                <w:highlight w:val="none"/>
                <w:lang w:eastAsia="zh-CN"/>
              </w:rPr>
              <w:t>材质、效果和色差，厚度、平整度偏差不得超过±0.5mm。</w:t>
            </w:r>
          </w:p>
        </w:tc>
        <w:tc>
          <w:tcPr>
            <w:tcW w:w="593" w:type="pct"/>
            <w:shd w:val="clear" w:color="auto" w:fill="auto"/>
            <w:vAlign w:val="center"/>
          </w:tcPr>
          <w:p>
            <w:pPr>
              <w:adjustRightInd w:val="0"/>
              <w:jc w:val="center"/>
              <w:rPr>
                <w:rFonts w:cs="华文细黑"/>
                <w:color w:val="auto"/>
                <w:szCs w:val="21"/>
                <w:highlight w:val="no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16" w:hRule="atLeast"/>
          <w:jc w:val="center"/>
        </w:trPr>
        <w:tc>
          <w:tcPr>
            <w:tcW w:w="422" w:type="pct"/>
            <w:shd w:val="clear" w:color="auto" w:fill="auto"/>
            <w:vAlign w:val="center"/>
          </w:tcPr>
          <w:p>
            <w:pPr>
              <w:adjustRightInd w:val="0"/>
              <w:jc w:val="center"/>
              <w:rPr>
                <w:rFonts w:cs="华文细黑"/>
                <w:color w:val="auto"/>
                <w:szCs w:val="21"/>
                <w:highlight w:val="none"/>
              </w:rPr>
            </w:pPr>
            <w:r>
              <w:rPr>
                <w:rFonts w:hint="eastAsia" w:cs="华文细黑"/>
                <w:color w:val="auto"/>
                <w:szCs w:val="21"/>
                <w:highlight w:val="none"/>
              </w:rPr>
              <w:t>16</w:t>
            </w:r>
          </w:p>
        </w:tc>
        <w:tc>
          <w:tcPr>
            <w:tcW w:w="766" w:type="pct"/>
            <w:shd w:val="clear" w:color="auto" w:fill="auto"/>
            <w:vAlign w:val="center"/>
          </w:tcPr>
          <w:p>
            <w:pPr>
              <w:adjustRightInd w:val="0"/>
              <w:jc w:val="center"/>
              <w:rPr>
                <w:color w:val="auto"/>
                <w:szCs w:val="21"/>
                <w:highlight w:val="none"/>
              </w:rPr>
            </w:pPr>
            <w:r>
              <w:rPr>
                <w:rFonts w:hint="eastAsia"/>
                <w:color w:val="auto"/>
                <w:szCs w:val="21"/>
                <w:highlight w:val="none"/>
              </w:rPr>
              <w:t>石材</w:t>
            </w:r>
          </w:p>
        </w:tc>
        <w:tc>
          <w:tcPr>
            <w:tcW w:w="1102" w:type="pct"/>
            <w:shd w:val="clear" w:color="auto" w:fill="auto"/>
            <w:vAlign w:val="center"/>
          </w:tcPr>
          <w:p>
            <w:pPr>
              <w:adjustRightInd w:val="0"/>
              <w:jc w:val="center"/>
              <w:rPr>
                <w:rFonts w:cs="华文细黑"/>
                <w:color w:val="auto"/>
                <w:szCs w:val="21"/>
                <w:highlight w:val="none"/>
              </w:rPr>
            </w:pPr>
            <w:r>
              <w:rPr>
                <w:rFonts w:hint="eastAsia" w:cs="华文细黑"/>
                <w:color w:val="auto"/>
                <w:szCs w:val="21"/>
                <w:highlight w:val="none"/>
              </w:rPr>
              <w:t>3</w:t>
            </w:r>
            <w:r>
              <w:rPr>
                <w:rFonts w:cs="华文细黑"/>
                <w:color w:val="auto"/>
                <w:szCs w:val="21"/>
                <w:highlight w:val="none"/>
              </w:rPr>
              <w:t>00X</w:t>
            </w:r>
            <w:r>
              <w:rPr>
                <w:rFonts w:hint="eastAsia" w:cs="华文细黑"/>
                <w:color w:val="auto"/>
                <w:szCs w:val="21"/>
                <w:highlight w:val="none"/>
              </w:rPr>
              <w:t>3</w:t>
            </w:r>
            <w:r>
              <w:rPr>
                <w:rFonts w:cs="华文细黑"/>
                <w:color w:val="auto"/>
                <w:szCs w:val="21"/>
                <w:highlight w:val="none"/>
              </w:rPr>
              <w:t>00m</w:t>
            </w:r>
            <w:r>
              <w:rPr>
                <w:rFonts w:hint="eastAsia" w:cs="华文细黑"/>
                <w:color w:val="auto"/>
                <w:szCs w:val="21"/>
                <w:highlight w:val="none"/>
              </w:rPr>
              <w:t>m/每种规格</w:t>
            </w:r>
          </w:p>
        </w:tc>
        <w:tc>
          <w:tcPr>
            <w:tcW w:w="592" w:type="pct"/>
            <w:shd w:val="clear" w:color="auto" w:fill="auto"/>
            <w:vAlign w:val="center"/>
          </w:tcPr>
          <w:p>
            <w:pPr>
              <w:adjustRightInd w:val="0"/>
              <w:jc w:val="center"/>
              <w:rPr>
                <w:rFonts w:cs="华文细黑"/>
                <w:color w:val="auto"/>
                <w:szCs w:val="21"/>
                <w:highlight w:val="none"/>
              </w:rPr>
            </w:pPr>
            <w:r>
              <w:rPr>
                <w:rFonts w:cs="华文细黑"/>
                <w:color w:val="auto"/>
                <w:szCs w:val="21"/>
                <w:highlight w:val="none"/>
              </w:rPr>
              <w:t>2</w:t>
            </w:r>
            <w:r>
              <w:rPr>
                <w:rFonts w:hint="eastAsia" w:cs="华文细黑"/>
                <w:color w:val="auto"/>
                <w:szCs w:val="21"/>
                <w:highlight w:val="none"/>
              </w:rPr>
              <w:t>块</w:t>
            </w:r>
          </w:p>
        </w:tc>
        <w:tc>
          <w:tcPr>
            <w:tcW w:w="1526" w:type="pct"/>
            <w:shd w:val="clear" w:color="auto" w:fill="auto"/>
            <w:vAlign w:val="center"/>
          </w:tcPr>
          <w:p>
            <w:pPr>
              <w:adjustRightInd w:val="0"/>
              <w:jc w:val="center"/>
              <w:rPr>
                <w:rFonts w:cs="华文细黑"/>
                <w:color w:val="auto"/>
                <w:szCs w:val="21"/>
                <w:highlight w:val="none"/>
                <w:lang w:eastAsia="zh-CN"/>
              </w:rPr>
            </w:pPr>
            <w:r>
              <w:rPr>
                <w:rFonts w:hint="eastAsia" w:cs="华文细黑"/>
                <w:color w:val="auto"/>
                <w:szCs w:val="21"/>
                <w:highlight w:val="none"/>
                <w:lang w:eastAsia="zh-CN"/>
              </w:rPr>
              <w:t>材质、效果和色差，厚度、平整度偏差不得超过±1mm。</w:t>
            </w:r>
          </w:p>
        </w:tc>
        <w:tc>
          <w:tcPr>
            <w:tcW w:w="593" w:type="pct"/>
            <w:shd w:val="clear" w:color="auto" w:fill="auto"/>
            <w:vAlign w:val="center"/>
          </w:tcPr>
          <w:p>
            <w:pPr>
              <w:adjustRightInd w:val="0"/>
              <w:jc w:val="center"/>
              <w:rPr>
                <w:rFonts w:cs="华文细黑"/>
                <w:color w:val="auto"/>
                <w:szCs w:val="21"/>
                <w:highlight w:val="no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16" w:hRule="atLeast"/>
          <w:jc w:val="center"/>
        </w:trPr>
        <w:tc>
          <w:tcPr>
            <w:tcW w:w="422" w:type="pct"/>
            <w:shd w:val="clear" w:color="auto" w:fill="auto"/>
            <w:vAlign w:val="center"/>
          </w:tcPr>
          <w:p>
            <w:pPr>
              <w:adjustRightInd w:val="0"/>
              <w:jc w:val="center"/>
              <w:rPr>
                <w:rFonts w:cs="华文细黑"/>
                <w:color w:val="auto"/>
                <w:szCs w:val="21"/>
                <w:highlight w:val="none"/>
              </w:rPr>
            </w:pPr>
            <w:r>
              <w:rPr>
                <w:rFonts w:hint="eastAsia" w:cs="华文细黑"/>
                <w:color w:val="auto"/>
                <w:szCs w:val="21"/>
                <w:highlight w:val="none"/>
              </w:rPr>
              <w:t>17</w:t>
            </w:r>
          </w:p>
        </w:tc>
        <w:tc>
          <w:tcPr>
            <w:tcW w:w="766" w:type="pct"/>
            <w:shd w:val="clear" w:color="auto" w:fill="auto"/>
            <w:vAlign w:val="center"/>
          </w:tcPr>
          <w:p>
            <w:pPr>
              <w:adjustRightInd w:val="0"/>
              <w:jc w:val="center"/>
              <w:rPr>
                <w:color w:val="auto"/>
                <w:szCs w:val="21"/>
                <w:highlight w:val="none"/>
              </w:rPr>
            </w:pPr>
            <w:r>
              <w:rPr>
                <w:rFonts w:hint="eastAsia"/>
                <w:color w:val="auto"/>
                <w:szCs w:val="21"/>
                <w:highlight w:val="none"/>
              </w:rPr>
              <w:t>洁净板</w:t>
            </w:r>
          </w:p>
        </w:tc>
        <w:tc>
          <w:tcPr>
            <w:tcW w:w="1102" w:type="pct"/>
            <w:shd w:val="clear" w:color="auto" w:fill="auto"/>
            <w:vAlign w:val="center"/>
          </w:tcPr>
          <w:p>
            <w:pPr>
              <w:adjustRightInd w:val="0"/>
              <w:jc w:val="center"/>
              <w:rPr>
                <w:rFonts w:cs="华文细黑"/>
                <w:color w:val="auto"/>
                <w:szCs w:val="21"/>
                <w:highlight w:val="none"/>
              </w:rPr>
            </w:pPr>
            <w:r>
              <w:rPr>
                <w:rFonts w:hint="eastAsia" w:cs="华文细黑"/>
                <w:color w:val="auto"/>
                <w:szCs w:val="21"/>
                <w:highlight w:val="none"/>
              </w:rPr>
              <w:t>3</w:t>
            </w:r>
            <w:r>
              <w:rPr>
                <w:rFonts w:cs="华文细黑"/>
                <w:color w:val="auto"/>
                <w:szCs w:val="21"/>
                <w:highlight w:val="none"/>
              </w:rPr>
              <w:t>00X</w:t>
            </w:r>
            <w:r>
              <w:rPr>
                <w:rFonts w:hint="eastAsia" w:cs="华文细黑"/>
                <w:color w:val="auto"/>
                <w:szCs w:val="21"/>
                <w:highlight w:val="none"/>
              </w:rPr>
              <w:t>3</w:t>
            </w:r>
            <w:r>
              <w:rPr>
                <w:rFonts w:cs="华文细黑"/>
                <w:color w:val="auto"/>
                <w:szCs w:val="21"/>
                <w:highlight w:val="none"/>
              </w:rPr>
              <w:t>00m</w:t>
            </w:r>
            <w:r>
              <w:rPr>
                <w:rFonts w:hint="eastAsia" w:cs="华文细黑"/>
                <w:color w:val="auto"/>
                <w:szCs w:val="21"/>
                <w:highlight w:val="none"/>
              </w:rPr>
              <w:t>m/每种规格</w:t>
            </w:r>
          </w:p>
        </w:tc>
        <w:tc>
          <w:tcPr>
            <w:tcW w:w="592" w:type="pct"/>
            <w:shd w:val="clear" w:color="auto" w:fill="auto"/>
            <w:vAlign w:val="center"/>
          </w:tcPr>
          <w:p>
            <w:pPr>
              <w:adjustRightInd w:val="0"/>
              <w:jc w:val="center"/>
              <w:rPr>
                <w:rFonts w:cs="华文细黑"/>
                <w:color w:val="auto"/>
                <w:szCs w:val="21"/>
                <w:highlight w:val="none"/>
              </w:rPr>
            </w:pPr>
            <w:r>
              <w:rPr>
                <w:rFonts w:cs="华文细黑"/>
                <w:color w:val="auto"/>
                <w:szCs w:val="21"/>
                <w:highlight w:val="none"/>
              </w:rPr>
              <w:t>2</w:t>
            </w:r>
          </w:p>
        </w:tc>
        <w:tc>
          <w:tcPr>
            <w:tcW w:w="1526" w:type="pct"/>
            <w:shd w:val="clear" w:color="auto" w:fill="auto"/>
            <w:vAlign w:val="center"/>
          </w:tcPr>
          <w:p>
            <w:pPr>
              <w:adjustRightInd w:val="0"/>
              <w:jc w:val="center"/>
              <w:rPr>
                <w:rFonts w:cs="华文细黑"/>
                <w:color w:val="auto"/>
                <w:szCs w:val="21"/>
                <w:highlight w:val="none"/>
                <w:lang w:eastAsia="zh-CN"/>
              </w:rPr>
            </w:pPr>
            <w:r>
              <w:rPr>
                <w:rFonts w:hint="eastAsia" w:cs="华文细黑"/>
                <w:color w:val="auto"/>
                <w:szCs w:val="21"/>
                <w:highlight w:val="none"/>
                <w:lang w:eastAsia="zh-CN"/>
              </w:rPr>
              <w:t>材质、效果和色差，板面厚度偏差不得超过±0.15mm。</w:t>
            </w:r>
          </w:p>
        </w:tc>
        <w:tc>
          <w:tcPr>
            <w:tcW w:w="593" w:type="pct"/>
            <w:shd w:val="clear" w:color="auto" w:fill="auto"/>
            <w:vAlign w:val="center"/>
          </w:tcPr>
          <w:p>
            <w:pPr>
              <w:adjustRightInd w:val="0"/>
              <w:jc w:val="center"/>
              <w:rPr>
                <w:rFonts w:cs="华文细黑"/>
                <w:color w:val="auto"/>
                <w:szCs w:val="21"/>
                <w:highlight w:val="no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16" w:hRule="atLeast"/>
          <w:jc w:val="center"/>
        </w:trPr>
        <w:tc>
          <w:tcPr>
            <w:tcW w:w="422" w:type="pct"/>
            <w:shd w:val="clear" w:color="auto" w:fill="auto"/>
            <w:vAlign w:val="center"/>
          </w:tcPr>
          <w:p>
            <w:pPr>
              <w:adjustRightInd w:val="0"/>
              <w:jc w:val="center"/>
              <w:rPr>
                <w:rFonts w:cs="华文细黑"/>
                <w:color w:val="auto"/>
                <w:szCs w:val="21"/>
                <w:highlight w:val="none"/>
              </w:rPr>
            </w:pPr>
            <w:r>
              <w:rPr>
                <w:rFonts w:hint="eastAsia" w:cs="华文细黑"/>
                <w:color w:val="auto"/>
                <w:szCs w:val="21"/>
                <w:highlight w:val="none"/>
              </w:rPr>
              <w:t>1</w:t>
            </w:r>
            <w:r>
              <w:rPr>
                <w:rFonts w:cs="华文细黑"/>
                <w:color w:val="auto"/>
                <w:szCs w:val="21"/>
                <w:highlight w:val="none"/>
              </w:rPr>
              <w:t>8</w:t>
            </w:r>
          </w:p>
        </w:tc>
        <w:tc>
          <w:tcPr>
            <w:tcW w:w="766" w:type="pct"/>
            <w:shd w:val="clear" w:color="auto" w:fill="auto"/>
            <w:vAlign w:val="center"/>
          </w:tcPr>
          <w:p>
            <w:pPr>
              <w:adjustRightInd w:val="0"/>
              <w:jc w:val="center"/>
              <w:rPr>
                <w:rFonts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给、排水管及配件</w:t>
            </w:r>
          </w:p>
        </w:tc>
        <w:tc>
          <w:tcPr>
            <w:tcW w:w="1102" w:type="pct"/>
            <w:shd w:val="clear" w:color="auto" w:fill="auto"/>
            <w:vAlign w:val="center"/>
          </w:tcPr>
          <w:p>
            <w:pPr>
              <w:adjustRightInd w:val="0"/>
              <w:jc w:val="center"/>
              <w:rPr>
                <w:rFonts w:ascii="Times New Roman" w:hAnsi="Times New Roman" w:cs="华文细黑"/>
                <w:color w:val="auto"/>
                <w:sz w:val="21"/>
                <w:szCs w:val="21"/>
                <w:highlight w:val="none"/>
                <w:lang w:eastAsia="zh-CN"/>
              </w:rPr>
            </w:pPr>
            <w:r>
              <w:rPr>
                <w:rFonts w:ascii="Times New Roman" w:hAnsi="Times New Roman" w:cs="华文细黑"/>
                <w:color w:val="auto"/>
                <w:sz w:val="21"/>
                <w:szCs w:val="21"/>
                <w:highlight w:val="none"/>
                <w:lang w:eastAsia="zh-CN"/>
              </w:rPr>
              <w:t>直管</w:t>
            </w:r>
            <w:r>
              <w:rPr>
                <w:rFonts w:hint="eastAsia" w:ascii="Times New Roman" w:hAnsi="Times New Roman" w:cs="Times New Roman"/>
                <w:color w:val="auto"/>
                <w:highlight w:val="none"/>
                <w:lang w:eastAsia="zh-CN"/>
              </w:rPr>
              <w:t>100mm</w:t>
            </w:r>
            <w:r>
              <w:rPr>
                <w:rFonts w:hint="eastAsia" w:ascii="Times New Roman" w:hAnsi="Times New Roman" w:cs="华文细黑"/>
                <w:color w:val="auto"/>
                <w:sz w:val="21"/>
                <w:szCs w:val="21"/>
                <w:highlight w:val="none"/>
                <w:lang w:eastAsia="zh-CN"/>
              </w:rPr>
              <w:t>，</w:t>
            </w:r>
            <w:r>
              <w:rPr>
                <w:rFonts w:ascii="Times New Roman" w:hAnsi="Times New Roman" w:cs="华文细黑"/>
                <w:color w:val="auto"/>
                <w:sz w:val="21"/>
                <w:szCs w:val="21"/>
                <w:highlight w:val="none"/>
                <w:lang w:eastAsia="zh-CN"/>
              </w:rPr>
              <w:t>每种规格一套</w:t>
            </w:r>
          </w:p>
        </w:tc>
        <w:tc>
          <w:tcPr>
            <w:tcW w:w="592" w:type="pct"/>
            <w:shd w:val="clear" w:color="auto" w:fill="auto"/>
            <w:vAlign w:val="center"/>
          </w:tcPr>
          <w:p>
            <w:pPr>
              <w:adjustRightInd w:val="0"/>
              <w:jc w:val="center"/>
              <w:rPr>
                <w:rFonts w:ascii="Times New Roman" w:hAnsi="Times New Roman" w:cs="华文细黑"/>
                <w:color w:val="auto"/>
                <w:sz w:val="21"/>
                <w:szCs w:val="21"/>
                <w:highlight w:val="none"/>
              </w:rPr>
            </w:pPr>
            <w:r>
              <w:rPr>
                <w:color w:val="auto"/>
                <w:highlight w:val="none"/>
              </w:rPr>
              <w:t>1</w:t>
            </w:r>
            <w:r>
              <w:rPr>
                <w:rFonts w:hint="eastAsia" w:ascii="Times New Roman" w:hAnsi="Times New Roman" w:cs="华文细黑"/>
                <w:color w:val="auto"/>
                <w:sz w:val="21"/>
                <w:szCs w:val="21"/>
                <w:highlight w:val="none"/>
              </w:rPr>
              <w:t>套</w:t>
            </w:r>
          </w:p>
        </w:tc>
        <w:tc>
          <w:tcPr>
            <w:tcW w:w="1526" w:type="pct"/>
            <w:shd w:val="clear" w:color="auto" w:fill="auto"/>
            <w:vAlign w:val="center"/>
          </w:tcPr>
          <w:p>
            <w:pPr>
              <w:adjustRightInd w:val="0"/>
              <w:jc w:val="center"/>
              <w:rPr>
                <w:rFonts w:ascii="Times New Roman" w:hAnsi="Times New Roman" w:cs="华文细黑"/>
                <w:color w:val="auto"/>
                <w:sz w:val="21"/>
                <w:szCs w:val="21"/>
                <w:highlight w:val="none"/>
              </w:rPr>
            </w:pPr>
            <w:r>
              <w:rPr>
                <w:rFonts w:ascii="Times New Roman" w:hAnsi="Times New Roman" w:cs="华文细黑"/>
                <w:color w:val="auto"/>
                <w:sz w:val="21"/>
                <w:szCs w:val="21"/>
                <w:highlight w:val="none"/>
              </w:rPr>
              <w:t>品牌</w:t>
            </w:r>
            <w:r>
              <w:rPr>
                <w:rFonts w:hint="eastAsia" w:ascii="Times New Roman" w:hAnsi="Times New Roman" w:cs="华文细黑"/>
                <w:color w:val="auto"/>
                <w:sz w:val="21"/>
                <w:szCs w:val="21"/>
                <w:highlight w:val="none"/>
              </w:rPr>
              <w:t>、</w:t>
            </w:r>
            <w:r>
              <w:rPr>
                <w:rFonts w:ascii="Times New Roman" w:hAnsi="Times New Roman" w:cs="华文细黑"/>
                <w:color w:val="auto"/>
                <w:sz w:val="21"/>
                <w:szCs w:val="21"/>
                <w:highlight w:val="none"/>
              </w:rPr>
              <w:t>厚度</w:t>
            </w:r>
            <w:r>
              <w:rPr>
                <w:rFonts w:hint="eastAsia" w:ascii="Times New Roman" w:hAnsi="Times New Roman" w:cs="华文细黑"/>
                <w:color w:val="auto"/>
                <w:sz w:val="21"/>
                <w:szCs w:val="21"/>
                <w:highlight w:val="none"/>
              </w:rPr>
              <w:t>、</w:t>
            </w:r>
            <w:r>
              <w:rPr>
                <w:rFonts w:ascii="Times New Roman" w:hAnsi="Times New Roman" w:cs="华文细黑"/>
                <w:color w:val="auto"/>
                <w:sz w:val="21"/>
                <w:szCs w:val="21"/>
                <w:highlight w:val="none"/>
              </w:rPr>
              <w:t>整体效果</w:t>
            </w:r>
          </w:p>
        </w:tc>
        <w:tc>
          <w:tcPr>
            <w:tcW w:w="593" w:type="pct"/>
            <w:shd w:val="clear" w:color="auto" w:fill="auto"/>
            <w:vAlign w:val="center"/>
          </w:tcPr>
          <w:p>
            <w:pPr>
              <w:adjustRightInd w:val="0"/>
              <w:jc w:val="center"/>
              <w:rPr>
                <w:rFonts w:ascii="Times New Roman" w:hAnsi="Times New Roman" w:cs="华文细黑"/>
                <w:color w:val="auto"/>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16" w:hRule="atLeast"/>
          <w:jc w:val="center"/>
        </w:trPr>
        <w:tc>
          <w:tcPr>
            <w:tcW w:w="422" w:type="pct"/>
            <w:shd w:val="clear" w:color="auto" w:fill="auto"/>
            <w:vAlign w:val="center"/>
          </w:tcPr>
          <w:p>
            <w:pPr>
              <w:adjustRightInd w:val="0"/>
              <w:jc w:val="center"/>
              <w:rPr>
                <w:rFonts w:cs="华文细黑"/>
                <w:color w:val="auto"/>
                <w:szCs w:val="21"/>
                <w:highlight w:val="none"/>
              </w:rPr>
            </w:pPr>
            <w:r>
              <w:rPr>
                <w:rFonts w:hint="eastAsia" w:cs="华文细黑"/>
                <w:color w:val="auto"/>
                <w:szCs w:val="21"/>
                <w:highlight w:val="none"/>
              </w:rPr>
              <w:t>1</w:t>
            </w:r>
            <w:r>
              <w:rPr>
                <w:rFonts w:cs="华文细黑"/>
                <w:color w:val="auto"/>
                <w:szCs w:val="21"/>
                <w:highlight w:val="none"/>
              </w:rPr>
              <w:t>9</w:t>
            </w:r>
          </w:p>
        </w:tc>
        <w:tc>
          <w:tcPr>
            <w:tcW w:w="766" w:type="pct"/>
            <w:shd w:val="clear" w:color="auto" w:fill="auto"/>
            <w:vAlign w:val="center"/>
          </w:tcPr>
          <w:p>
            <w:pPr>
              <w:adjustRightInd w:val="0"/>
              <w:jc w:val="center"/>
              <w:rPr>
                <w:rFonts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排气扇</w:t>
            </w:r>
          </w:p>
        </w:tc>
        <w:tc>
          <w:tcPr>
            <w:tcW w:w="1102" w:type="pct"/>
            <w:shd w:val="clear" w:color="auto" w:fill="auto"/>
            <w:vAlign w:val="center"/>
          </w:tcPr>
          <w:p>
            <w:pPr>
              <w:adjustRightInd w:val="0"/>
              <w:jc w:val="center"/>
              <w:rPr>
                <w:rFonts w:ascii="Times New Roman" w:hAnsi="Times New Roman" w:cs="华文细黑"/>
                <w:color w:val="auto"/>
                <w:sz w:val="21"/>
                <w:szCs w:val="21"/>
                <w:highlight w:val="none"/>
              </w:rPr>
            </w:pPr>
            <w:r>
              <w:rPr>
                <w:rFonts w:ascii="Times New Roman" w:hAnsi="Times New Roman" w:cs="华文细黑"/>
                <w:color w:val="auto"/>
                <w:sz w:val="21"/>
                <w:szCs w:val="21"/>
                <w:highlight w:val="none"/>
              </w:rPr>
              <w:t>跟种规格</w:t>
            </w:r>
            <w:r>
              <w:rPr>
                <w:rFonts w:hint="eastAsia" w:ascii="Times New Roman" w:hAnsi="Times New Roman" w:cs="Times New Roman"/>
                <w:color w:val="auto"/>
                <w:highlight w:val="none"/>
              </w:rPr>
              <w:t>1</w:t>
            </w:r>
            <w:r>
              <w:rPr>
                <w:rFonts w:hint="eastAsia" w:ascii="Times New Roman" w:hAnsi="Times New Roman" w:cs="华文细黑"/>
                <w:color w:val="auto"/>
                <w:sz w:val="21"/>
                <w:szCs w:val="21"/>
                <w:highlight w:val="none"/>
              </w:rPr>
              <w:t>个</w:t>
            </w:r>
          </w:p>
        </w:tc>
        <w:tc>
          <w:tcPr>
            <w:tcW w:w="592" w:type="pct"/>
            <w:shd w:val="clear" w:color="auto" w:fill="auto"/>
            <w:vAlign w:val="center"/>
          </w:tcPr>
          <w:p>
            <w:pPr>
              <w:adjustRightInd w:val="0"/>
              <w:jc w:val="center"/>
              <w:rPr>
                <w:rFonts w:ascii="Times New Roman" w:hAnsi="Times New Roman" w:cs="华文细黑"/>
                <w:color w:val="auto"/>
                <w:sz w:val="21"/>
                <w:szCs w:val="21"/>
                <w:highlight w:val="none"/>
              </w:rPr>
            </w:pPr>
            <w:r>
              <w:rPr>
                <w:color w:val="auto"/>
                <w:highlight w:val="none"/>
              </w:rPr>
              <w:t>1</w:t>
            </w:r>
            <w:r>
              <w:rPr>
                <w:rFonts w:hint="eastAsia" w:ascii="Times New Roman" w:hAnsi="Times New Roman" w:cs="华文细黑"/>
                <w:color w:val="auto"/>
                <w:sz w:val="21"/>
                <w:szCs w:val="21"/>
                <w:highlight w:val="none"/>
              </w:rPr>
              <w:t>个</w:t>
            </w:r>
          </w:p>
        </w:tc>
        <w:tc>
          <w:tcPr>
            <w:tcW w:w="1526" w:type="pct"/>
            <w:shd w:val="clear" w:color="auto" w:fill="auto"/>
            <w:vAlign w:val="center"/>
          </w:tcPr>
          <w:p>
            <w:pPr>
              <w:adjustRightInd w:val="0"/>
              <w:jc w:val="center"/>
              <w:rPr>
                <w:rFonts w:ascii="Times New Roman" w:hAnsi="Times New Roman" w:cs="华文细黑"/>
                <w:color w:val="auto"/>
                <w:sz w:val="21"/>
                <w:szCs w:val="21"/>
                <w:highlight w:val="none"/>
              </w:rPr>
            </w:pPr>
            <w:r>
              <w:rPr>
                <w:rFonts w:ascii="Times New Roman" w:hAnsi="Times New Roman" w:cs="华文细黑"/>
                <w:color w:val="auto"/>
                <w:sz w:val="21"/>
                <w:szCs w:val="21"/>
                <w:highlight w:val="none"/>
              </w:rPr>
              <w:t>品牌</w:t>
            </w:r>
            <w:r>
              <w:rPr>
                <w:rFonts w:hint="eastAsia" w:ascii="Times New Roman" w:hAnsi="Times New Roman" w:cs="华文细黑"/>
                <w:color w:val="auto"/>
                <w:sz w:val="21"/>
                <w:szCs w:val="21"/>
                <w:highlight w:val="none"/>
              </w:rPr>
              <w:t>、</w:t>
            </w:r>
            <w:r>
              <w:rPr>
                <w:rFonts w:ascii="Times New Roman" w:hAnsi="Times New Roman" w:cs="华文细黑"/>
                <w:color w:val="auto"/>
                <w:sz w:val="21"/>
                <w:szCs w:val="21"/>
                <w:highlight w:val="none"/>
              </w:rPr>
              <w:t>参数</w:t>
            </w:r>
            <w:r>
              <w:rPr>
                <w:rFonts w:hint="eastAsia" w:ascii="Times New Roman" w:hAnsi="Times New Roman" w:cs="华文细黑"/>
                <w:color w:val="auto"/>
                <w:sz w:val="21"/>
                <w:szCs w:val="21"/>
                <w:highlight w:val="none"/>
              </w:rPr>
              <w:t>、</w:t>
            </w:r>
            <w:r>
              <w:rPr>
                <w:rFonts w:ascii="Times New Roman" w:hAnsi="Times New Roman" w:cs="华文细黑"/>
                <w:color w:val="auto"/>
                <w:sz w:val="21"/>
                <w:szCs w:val="21"/>
                <w:highlight w:val="none"/>
              </w:rPr>
              <w:t>尺寸</w:t>
            </w:r>
          </w:p>
        </w:tc>
        <w:tc>
          <w:tcPr>
            <w:tcW w:w="593" w:type="pct"/>
            <w:shd w:val="clear" w:color="auto" w:fill="auto"/>
            <w:vAlign w:val="center"/>
          </w:tcPr>
          <w:p>
            <w:pPr>
              <w:adjustRightInd w:val="0"/>
              <w:jc w:val="center"/>
              <w:rPr>
                <w:rFonts w:ascii="Times New Roman" w:hAnsi="Times New Roman" w:cs="华文细黑"/>
                <w:color w:val="auto"/>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16" w:hRule="atLeast"/>
          <w:jc w:val="center"/>
        </w:trPr>
        <w:tc>
          <w:tcPr>
            <w:tcW w:w="422" w:type="pct"/>
            <w:shd w:val="clear" w:color="auto" w:fill="auto"/>
            <w:vAlign w:val="center"/>
          </w:tcPr>
          <w:p>
            <w:pPr>
              <w:adjustRightInd w:val="0"/>
              <w:jc w:val="center"/>
              <w:rPr>
                <w:rFonts w:cs="华文细黑"/>
                <w:color w:val="auto"/>
                <w:szCs w:val="21"/>
                <w:highlight w:val="none"/>
              </w:rPr>
            </w:pPr>
            <w:r>
              <w:rPr>
                <w:rFonts w:hint="eastAsia" w:cs="华文细黑"/>
                <w:color w:val="auto"/>
                <w:szCs w:val="21"/>
                <w:highlight w:val="none"/>
              </w:rPr>
              <w:t>2</w:t>
            </w:r>
            <w:r>
              <w:rPr>
                <w:rFonts w:cs="华文细黑"/>
                <w:color w:val="auto"/>
                <w:szCs w:val="21"/>
                <w:highlight w:val="none"/>
              </w:rPr>
              <w:t>0</w:t>
            </w:r>
          </w:p>
        </w:tc>
        <w:tc>
          <w:tcPr>
            <w:tcW w:w="766" w:type="pct"/>
            <w:shd w:val="clear" w:color="auto" w:fill="auto"/>
            <w:vAlign w:val="center"/>
          </w:tcPr>
          <w:p>
            <w:pPr>
              <w:adjustRightInd w:val="0"/>
              <w:jc w:val="center"/>
              <w:rPr>
                <w:rFonts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洗手盆下水软管</w:t>
            </w:r>
          </w:p>
        </w:tc>
        <w:tc>
          <w:tcPr>
            <w:tcW w:w="1102" w:type="pct"/>
            <w:shd w:val="clear" w:color="auto" w:fill="auto"/>
            <w:vAlign w:val="center"/>
          </w:tcPr>
          <w:p>
            <w:pPr>
              <w:adjustRightInd w:val="0"/>
              <w:jc w:val="center"/>
              <w:rPr>
                <w:rFonts w:ascii="Times New Roman" w:hAnsi="Times New Roman" w:cs="华文细黑"/>
                <w:color w:val="auto"/>
                <w:sz w:val="21"/>
                <w:szCs w:val="21"/>
                <w:highlight w:val="none"/>
              </w:rPr>
            </w:pPr>
          </w:p>
        </w:tc>
        <w:tc>
          <w:tcPr>
            <w:tcW w:w="592" w:type="pct"/>
            <w:shd w:val="clear" w:color="auto" w:fill="auto"/>
            <w:vAlign w:val="center"/>
          </w:tcPr>
          <w:p>
            <w:pPr>
              <w:adjustRightInd w:val="0"/>
              <w:jc w:val="center"/>
              <w:rPr>
                <w:rFonts w:ascii="Times New Roman" w:hAnsi="Times New Roman" w:cs="华文细黑"/>
                <w:color w:val="auto"/>
                <w:sz w:val="21"/>
                <w:szCs w:val="21"/>
                <w:highlight w:val="none"/>
              </w:rPr>
            </w:pPr>
            <w:r>
              <w:rPr>
                <w:color w:val="auto"/>
                <w:highlight w:val="none"/>
              </w:rPr>
              <w:t>1</w:t>
            </w:r>
            <w:r>
              <w:rPr>
                <w:rFonts w:hint="eastAsia" w:ascii="Times New Roman" w:hAnsi="Times New Roman" w:cs="华文细黑"/>
                <w:color w:val="auto"/>
                <w:sz w:val="21"/>
                <w:szCs w:val="21"/>
                <w:highlight w:val="none"/>
              </w:rPr>
              <w:t>条</w:t>
            </w:r>
          </w:p>
        </w:tc>
        <w:tc>
          <w:tcPr>
            <w:tcW w:w="1526" w:type="pct"/>
            <w:shd w:val="clear" w:color="auto" w:fill="auto"/>
            <w:vAlign w:val="center"/>
          </w:tcPr>
          <w:p>
            <w:pPr>
              <w:adjustRightInd w:val="0"/>
              <w:jc w:val="center"/>
              <w:rPr>
                <w:rFonts w:ascii="Times New Roman" w:hAnsi="Times New Roman" w:cs="华文细黑"/>
                <w:color w:val="auto"/>
                <w:sz w:val="21"/>
                <w:szCs w:val="21"/>
                <w:highlight w:val="none"/>
              </w:rPr>
            </w:pPr>
            <w:r>
              <w:rPr>
                <w:rFonts w:ascii="Times New Roman" w:hAnsi="Times New Roman" w:cs="华文细黑"/>
                <w:color w:val="auto"/>
                <w:sz w:val="21"/>
                <w:szCs w:val="21"/>
                <w:highlight w:val="none"/>
              </w:rPr>
              <w:t>不锈钢材质</w:t>
            </w:r>
            <w:r>
              <w:rPr>
                <w:rFonts w:hint="eastAsia" w:ascii="Times New Roman" w:hAnsi="Times New Roman" w:cs="华文细黑"/>
                <w:color w:val="auto"/>
                <w:sz w:val="21"/>
                <w:szCs w:val="21"/>
                <w:highlight w:val="none"/>
              </w:rPr>
              <w:t>、</w:t>
            </w:r>
            <w:r>
              <w:rPr>
                <w:rFonts w:ascii="Times New Roman" w:hAnsi="Times New Roman" w:cs="华文细黑"/>
                <w:color w:val="auto"/>
                <w:sz w:val="21"/>
                <w:szCs w:val="21"/>
                <w:highlight w:val="none"/>
              </w:rPr>
              <w:t>品牌</w:t>
            </w:r>
          </w:p>
        </w:tc>
        <w:tc>
          <w:tcPr>
            <w:tcW w:w="593" w:type="pct"/>
            <w:shd w:val="clear" w:color="auto" w:fill="auto"/>
            <w:vAlign w:val="center"/>
          </w:tcPr>
          <w:p>
            <w:pPr>
              <w:adjustRightInd w:val="0"/>
              <w:jc w:val="center"/>
              <w:rPr>
                <w:rFonts w:ascii="Times New Roman" w:hAnsi="Times New Roman" w:cs="华文细黑"/>
                <w:color w:val="auto"/>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16" w:hRule="atLeast"/>
          <w:jc w:val="center"/>
        </w:trPr>
        <w:tc>
          <w:tcPr>
            <w:tcW w:w="422" w:type="pct"/>
            <w:shd w:val="clear" w:color="auto" w:fill="auto"/>
            <w:vAlign w:val="center"/>
          </w:tcPr>
          <w:p>
            <w:pPr>
              <w:adjustRightInd w:val="0"/>
              <w:jc w:val="center"/>
              <w:rPr>
                <w:rFonts w:cs="华文细黑"/>
                <w:color w:val="auto"/>
                <w:szCs w:val="21"/>
                <w:highlight w:val="none"/>
              </w:rPr>
            </w:pPr>
            <w:r>
              <w:rPr>
                <w:rFonts w:hint="eastAsia" w:cs="华文细黑"/>
                <w:color w:val="auto"/>
                <w:szCs w:val="21"/>
                <w:highlight w:val="none"/>
              </w:rPr>
              <w:t>2</w:t>
            </w:r>
            <w:r>
              <w:rPr>
                <w:rFonts w:cs="华文细黑"/>
                <w:color w:val="auto"/>
                <w:szCs w:val="21"/>
                <w:highlight w:val="none"/>
              </w:rPr>
              <w:t>1</w:t>
            </w:r>
          </w:p>
        </w:tc>
        <w:tc>
          <w:tcPr>
            <w:tcW w:w="766" w:type="pct"/>
            <w:shd w:val="clear" w:color="auto" w:fill="auto"/>
            <w:vAlign w:val="center"/>
          </w:tcPr>
          <w:p>
            <w:pPr>
              <w:adjustRightInd w:val="0"/>
              <w:jc w:val="center"/>
              <w:rPr>
                <w:rFonts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角阀</w:t>
            </w:r>
          </w:p>
        </w:tc>
        <w:tc>
          <w:tcPr>
            <w:tcW w:w="1102" w:type="pct"/>
            <w:shd w:val="clear" w:color="auto" w:fill="auto"/>
            <w:vAlign w:val="center"/>
          </w:tcPr>
          <w:p>
            <w:pPr>
              <w:adjustRightInd w:val="0"/>
              <w:jc w:val="center"/>
              <w:rPr>
                <w:rFonts w:ascii="Times New Roman" w:hAnsi="Times New Roman" w:cs="华文细黑"/>
                <w:color w:val="auto"/>
                <w:sz w:val="21"/>
                <w:szCs w:val="21"/>
                <w:highlight w:val="none"/>
              </w:rPr>
            </w:pPr>
          </w:p>
        </w:tc>
        <w:tc>
          <w:tcPr>
            <w:tcW w:w="592" w:type="pct"/>
            <w:shd w:val="clear" w:color="auto" w:fill="auto"/>
            <w:vAlign w:val="center"/>
          </w:tcPr>
          <w:p>
            <w:pPr>
              <w:adjustRightInd w:val="0"/>
              <w:jc w:val="center"/>
              <w:rPr>
                <w:rFonts w:ascii="Times New Roman" w:hAnsi="Times New Roman" w:cs="华文细黑"/>
                <w:color w:val="auto"/>
                <w:sz w:val="21"/>
                <w:szCs w:val="21"/>
                <w:highlight w:val="none"/>
              </w:rPr>
            </w:pPr>
            <w:r>
              <w:rPr>
                <w:color w:val="auto"/>
                <w:highlight w:val="none"/>
              </w:rPr>
              <w:t>1</w:t>
            </w:r>
            <w:r>
              <w:rPr>
                <w:rFonts w:hint="eastAsia" w:ascii="Times New Roman" w:hAnsi="Times New Roman" w:cs="华文细黑"/>
                <w:color w:val="auto"/>
                <w:sz w:val="21"/>
                <w:szCs w:val="21"/>
                <w:highlight w:val="none"/>
              </w:rPr>
              <w:t>个</w:t>
            </w:r>
          </w:p>
        </w:tc>
        <w:tc>
          <w:tcPr>
            <w:tcW w:w="1526" w:type="pct"/>
            <w:shd w:val="clear" w:color="auto" w:fill="auto"/>
            <w:vAlign w:val="center"/>
          </w:tcPr>
          <w:p>
            <w:pPr>
              <w:adjustRightInd w:val="0"/>
              <w:jc w:val="center"/>
              <w:rPr>
                <w:rFonts w:ascii="Times New Roman" w:hAnsi="Times New Roman" w:cs="华文细黑"/>
                <w:color w:val="auto"/>
                <w:sz w:val="21"/>
                <w:szCs w:val="21"/>
                <w:highlight w:val="none"/>
              </w:rPr>
            </w:pPr>
            <w:r>
              <w:rPr>
                <w:rFonts w:ascii="Times New Roman" w:hAnsi="Times New Roman" w:cs="华文细黑"/>
                <w:color w:val="auto"/>
                <w:sz w:val="21"/>
                <w:szCs w:val="21"/>
                <w:highlight w:val="none"/>
              </w:rPr>
              <w:t>品牌</w:t>
            </w:r>
            <w:r>
              <w:rPr>
                <w:rFonts w:hint="eastAsia" w:ascii="Times New Roman" w:hAnsi="Times New Roman" w:cs="华文细黑"/>
                <w:color w:val="auto"/>
                <w:sz w:val="21"/>
                <w:szCs w:val="21"/>
                <w:highlight w:val="none"/>
              </w:rPr>
              <w:t>、</w:t>
            </w:r>
            <w:r>
              <w:rPr>
                <w:rFonts w:ascii="Times New Roman" w:hAnsi="Times New Roman" w:cs="华文细黑"/>
                <w:color w:val="auto"/>
                <w:sz w:val="21"/>
                <w:szCs w:val="21"/>
                <w:highlight w:val="none"/>
              </w:rPr>
              <w:t>材质</w:t>
            </w:r>
          </w:p>
        </w:tc>
        <w:tc>
          <w:tcPr>
            <w:tcW w:w="593" w:type="pct"/>
            <w:shd w:val="clear" w:color="auto" w:fill="auto"/>
            <w:vAlign w:val="center"/>
          </w:tcPr>
          <w:p>
            <w:pPr>
              <w:adjustRightInd w:val="0"/>
              <w:jc w:val="center"/>
              <w:rPr>
                <w:rFonts w:ascii="Times New Roman" w:hAnsi="Times New Roman" w:cs="华文细黑"/>
                <w:color w:val="auto"/>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16" w:hRule="atLeast"/>
          <w:jc w:val="center"/>
        </w:trPr>
        <w:tc>
          <w:tcPr>
            <w:tcW w:w="422" w:type="pct"/>
            <w:shd w:val="clear" w:color="auto" w:fill="auto"/>
            <w:vAlign w:val="center"/>
          </w:tcPr>
          <w:p>
            <w:pPr>
              <w:adjustRightInd w:val="0"/>
              <w:jc w:val="center"/>
              <w:rPr>
                <w:rFonts w:cs="华文细黑"/>
                <w:color w:val="auto"/>
                <w:szCs w:val="21"/>
                <w:highlight w:val="none"/>
              </w:rPr>
            </w:pPr>
            <w:r>
              <w:rPr>
                <w:rFonts w:hint="eastAsia" w:cs="华文细黑"/>
                <w:color w:val="auto"/>
                <w:szCs w:val="21"/>
                <w:highlight w:val="none"/>
              </w:rPr>
              <w:t>2</w:t>
            </w:r>
            <w:r>
              <w:rPr>
                <w:rFonts w:cs="华文细黑"/>
                <w:color w:val="auto"/>
                <w:szCs w:val="21"/>
                <w:highlight w:val="none"/>
              </w:rPr>
              <w:t>2</w:t>
            </w:r>
          </w:p>
        </w:tc>
        <w:tc>
          <w:tcPr>
            <w:tcW w:w="766" w:type="pct"/>
            <w:shd w:val="clear" w:color="auto" w:fill="auto"/>
            <w:vAlign w:val="center"/>
          </w:tcPr>
          <w:p>
            <w:pPr>
              <w:adjustRightInd w:val="0"/>
              <w:jc w:val="center"/>
              <w:rPr>
                <w:rFonts w:ascii="Times New Roman" w:hAnsi="Times New Roman" w:cs="Times New Roman"/>
                <w:color w:val="auto"/>
                <w:sz w:val="21"/>
                <w:szCs w:val="21"/>
                <w:highlight w:val="none"/>
              </w:rPr>
            </w:pPr>
            <w:r>
              <w:rPr>
                <w:rFonts w:hint="eastAsia"/>
                <w:color w:val="auto"/>
                <w:highlight w:val="none"/>
              </w:rPr>
              <w:t>瓷砖胶泥</w:t>
            </w:r>
          </w:p>
        </w:tc>
        <w:tc>
          <w:tcPr>
            <w:tcW w:w="1102" w:type="pct"/>
            <w:shd w:val="clear" w:color="auto" w:fill="auto"/>
            <w:vAlign w:val="center"/>
          </w:tcPr>
          <w:p>
            <w:pPr>
              <w:adjustRightInd w:val="0"/>
              <w:jc w:val="center"/>
              <w:rPr>
                <w:rFonts w:ascii="Times New Roman" w:hAnsi="Times New Roman" w:cs="华文细黑"/>
                <w:color w:val="auto"/>
                <w:sz w:val="21"/>
                <w:szCs w:val="21"/>
                <w:highlight w:val="none"/>
              </w:rPr>
            </w:pPr>
            <w:r>
              <w:rPr>
                <w:color w:val="auto"/>
                <w:highlight w:val="none"/>
              </w:rPr>
              <w:t>JC/T 547-2005</w:t>
            </w:r>
            <w:r>
              <w:rPr>
                <w:rFonts w:hint="eastAsia"/>
                <w:color w:val="auto"/>
                <w:highlight w:val="none"/>
              </w:rPr>
              <w:t>-C2</w:t>
            </w:r>
          </w:p>
        </w:tc>
        <w:tc>
          <w:tcPr>
            <w:tcW w:w="592" w:type="pct"/>
            <w:shd w:val="clear" w:color="auto" w:fill="auto"/>
            <w:vAlign w:val="center"/>
          </w:tcPr>
          <w:p>
            <w:pPr>
              <w:adjustRightInd w:val="0"/>
              <w:jc w:val="center"/>
              <w:rPr>
                <w:rFonts w:ascii="Times New Roman" w:hAnsi="Times New Roman" w:cs="华文细黑"/>
                <w:color w:val="auto"/>
                <w:sz w:val="21"/>
                <w:szCs w:val="21"/>
                <w:highlight w:val="none"/>
              </w:rPr>
            </w:pPr>
            <w:r>
              <w:rPr>
                <w:rFonts w:hint="eastAsia"/>
                <w:color w:val="auto"/>
                <w:highlight w:val="none"/>
              </w:rPr>
              <w:t>1袋</w:t>
            </w:r>
          </w:p>
        </w:tc>
        <w:tc>
          <w:tcPr>
            <w:tcW w:w="1526" w:type="pct"/>
            <w:shd w:val="clear" w:color="auto" w:fill="auto"/>
            <w:vAlign w:val="center"/>
          </w:tcPr>
          <w:p>
            <w:pPr>
              <w:adjustRightInd w:val="0"/>
              <w:jc w:val="center"/>
              <w:rPr>
                <w:rFonts w:ascii="Times New Roman" w:hAnsi="Times New Roman" w:cs="华文细黑"/>
                <w:color w:val="auto"/>
                <w:sz w:val="21"/>
                <w:szCs w:val="21"/>
                <w:highlight w:val="none"/>
                <w:lang w:eastAsia="zh-CN"/>
              </w:rPr>
            </w:pPr>
            <w:r>
              <w:rPr>
                <w:rFonts w:hint="eastAsia" w:ascii="Times New Roman" w:hAnsi="Times New Roman" w:cs="华文细黑"/>
                <w:color w:val="auto"/>
                <w:sz w:val="21"/>
                <w:szCs w:val="21"/>
                <w:highlight w:val="none"/>
                <w:lang w:eastAsia="zh-CN"/>
              </w:rPr>
              <w:t>品牌、检查报告、合格证</w:t>
            </w:r>
          </w:p>
        </w:tc>
        <w:tc>
          <w:tcPr>
            <w:tcW w:w="593" w:type="pct"/>
            <w:shd w:val="clear" w:color="auto" w:fill="auto"/>
            <w:vAlign w:val="center"/>
          </w:tcPr>
          <w:p>
            <w:pPr>
              <w:adjustRightInd w:val="0"/>
              <w:jc w:val="center"/>
              <w:rPr>
                <w:rFonts w:ascii="Times New Roman" w:hAnsi="Times New Roman" w:cs="华文细黑"/>
                <w:color w:val="auto"/>
                <w:sz w:val="21"/>
                <w:szCs w:val="21"/>
                <w:highlight w:val="no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16" w:hRule="atLeast"/>
          <w:jc w:val="center"/>
        </w:trPr>
        <w:tc>
          <w:tcPr>
            <w:tcW w:w="422" w:type="pct"/>
            <w:shd w:val="clear" w:color="auto" w:fill="auto"/>
            <w:vAlign w:val="center"/>
          </w:tcPr>
          <w:p>
            <w:pPr>
              <w:adjustRightInd w:val="0"/>
              <w:jc w:val="center"/>
              <w:rPr>
                <w:rFonts w:cs="华文细黑"/>
                <w:color w:val="auto"/>
                <w:szCs w:val="21"/>
                <w:highlight w:val="none"/>
              </w:rPr>
            </w:pPr>
            <w:r>
              <w:rPr>
                <w:rFonts w:hint="eastAsia" w:cs="华文细黑"/>
                <w:color w:val="auto"/>
                <w:szCs w:val="21"/>
                <w:highlight w:val="none"/>
              </w:rPr>
              <w:t>2</w:t>
            </w:r>
            <w:r>
              <w:rPr>
                <w:rFonts w:cs="华文细黑"/>
                <w:color w:val="auto"/>
                <w:szCs w:val="21"/>
                <w:highlight w:val="none"/>
              </w:rPr>
              <w:t>3</w:t>
            </w:r>
          </w:p>
        </w:tc>
        <w:tc>
          <w:tcPr>
            <w:tcW w:w="766" w:type="pct"/>
            <w:shd w:val="clear" w:color="auto" w:fill="auto"/>
            <w:vAlign w:val="center"/>
          </w:tcPr>
          <w:p>
            <w:pPr>
              <w:adjustRightInd w:val="0"/>
              <w:jc w:val="center"/>
              <w:rPr>
                <w:rFonts w:ascii="Times New Roman" w:hAnsi="Times New Roman" w:cs="Times New Roman"/>
                <w:color w:val="auto"/>
                <w:sz w:val="21"/>
                <w:szCs w:val="21"/>
                <w:highlight w:val="none"/>
              </w:rPr>
            </w:pPr>
            <w:r>
              <w:rPr>
                <w:rFonts w:hint="eastAsia"/>
                <w:color w:val="auto"/>
                <w:highlight w:val="none"/>
              </w:rPr>
              <w:t>石材胶泥</w:t>
            </w:r>
          </w:p>
        </w:tc>
        <w:tc>
          <w:tcPr>
            <w:tcW w:w="1102" w:type="pct"/>
            <w:shd w:val="clear" w:color="auto" w:fill="auto"/>
            <w:vAlign w:val="center"/>
          </w:tcPr>
          <w:p>
            <w:pPr>
              <w:adjustRightInd w:val="0"/>
              <w:jc w:val="center"/>
              <w:rPr>
                <w:rFonts w:ascii="Times New Roman" w:hAnsi="Times New Roman" w:cs="华文细黑"/>
                <w:color w:val="auto"/>
                <w:sz w:val="21"/>
                <w:szCs w:val="21"/>
                <w:highlight w:val="none"/>
              </w:rPr>
            </w:pPr>
            <w:r>
              <w:rPr>
                <w:color w:val="auto"/>
                <w:highlight w:val="none"/>
              </w:rPr>
              <w:t>JC/T 547-2005</w:t>
            </w:r>
            <w:r>
              <w:rPr>
                <w:rFonts w:hint="eastAsia"/>
                <w:color w:val="auto"/>
                <w:highlight w:val="none"/>
              </w:rPr>
              <w:t>-C2</w:t>
            </w:r>
          </w:p>
        </w:tc>
        <w:tc>
          <w:tcPr>
            <w:tcW w:w="592" w:type="pct"/>
            <w:shd w:val="clear" w:color="auto" w:fill="auto"/>
            <w:vAlign w:val="center"/>
          </w:tcPr>
          <w:p>
            <w:pPr>
              <w:adjustRightInd w:val="0"/>
              <w:jc w:val="center"/>
              <w:rPr>
                <w:rFonts w:ascii="Times New Roman" w:hAnsi="Times New Roman" w:cs="华文细黑"/>
                <w:color w:val="auto"/>
                <w:sz w:val="21"/>
                <w:szCs w:val="21"/>
                <w:highlight w:val="none"/>
              </w:rPr>
            </w:pPr>
            <w:r>
              <w:rPr>
                <w:rFonts w:hint="eastAsia"/>
                <w:color w:val="auto"/>
                <w:highlight w:val="none"/>
              </w:rPr>
              <w:t>1袋</w:t>
            </w:r>
          </w:p>
        </w:tc>
        <w:tc>
          <w:tcPr>
            <w:tcW w:w="1526" w:type="pct"/>
            <w:shd w:val="clear" w:color="auto" w:fill="auto"/>
            <w:vAlign w:val="center"/>
          </w:tcPr>
          <w:p>
            <w:pPr>
              <w:adjustRightInd w:val="0"/>
              <w:jc w:val="center"/>
              <w:rPr>
                <w:rFonts w:ascii="Times New Roman" w:hAnsi="Times New Roman" w:cs="华文细黑"/>
                <w:color w:val="auto"/>
                <w:sz w:val="21"/>
                <w:szCs w:val="21"/>
                <w:highlight w:val="none"/>
                <w:lang w:eastAsia="zh-CN"/>
              </w:rPr>
            </w:pPr>
            <w:r>
              <w:rPr>
                <w:rFonts w:hint="eastAsia" w:ascii="Times New Roman" w:hAnsi="Times New Roman" w:cs="华文细黑"/>
                <w:color w:val="auto"/>
                <w:sz w:val="21"/>
                <w:szCs w:val="21"/>
                <w:highlight w:val="none"/>
                <w:lang w:eastAsia="zh-CN"/>
              </w:rPr>
              <w:t>品牌、检查报告、合格证</w:t>
            </w:r>
          </w:p>
        </w:tc>
        <w:tc>
          <w:tcPr>
            <w:tcW w:w="593" w:type="pct"/>
            <w:shd w:val="clear" w:color="auto" w:fill="auto"/>
            <w:vAlign w:val="center"/>
          </w:tcPr>
          <w:p>
            <w:pPr>
              <w:adjustRightInd w:val="0"/>
              <w:jc w:val="center"/>
              <w:rPr>
                <w:rFonts w:ascii="Times New Roman" w:hAnsi="Times New Roman" w:cs="华文细黑"/>
                <w:color w:val="auto"/>
                <w:sz w:val="21"/>
                <w:szCs w:val="21"/>
                <w:highlight w:val="no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16" w:hRule="atLeast"/>
          <w:jc w:val="center"/>
        </w:trPr>
        <w:tc>
          <w:tcPr>
            <w:tcW w:w="422" w:type="pct"/>
            <w:shd w:val="clear" w:color="auto" w:fill="auto"/>
            <w:vAlign w:val="center"/>
          </w:tcPr>
          <w:p>
            <w:pPr>
              <w:adjustRightInd w:val="0"/>
              <w:jc w:val="center"/>
              <w:rPr>
                <w:rFonts w:cs="华文细黑"/>
                <w:color w:val="auto"/>
                <w:szCs w:val="21"/>
                <w:highlight w:val="none"/>
              </w:rPr>
            </w:pPr>
            <w:r>
              <w:rPr>
                <w:rFonts w:hint="eastAsia" w:cs="华文细黑"/>
                <w:color w:val="auto"/>
                <w:szCs w:val="21"/>
                <w:highlight w:val="none"/>
              </w:rPr>
              <w:t>2</w:t>
            </w:r>
            <w:r>
              <w:rPr>
                <w:rFonts w:cs="华文细黑"/>
                <w:color w:val="auto"/>
                <w:szCs w:val="21"/>
                <w:highlight w:val="none"/>
              </w:rPr>
              <w:t>4</w:t>
            </w:r>
          </w:p>
        </w:tc>
        <w:tc>
          <w:tcPr>
            <w:tcW w:w="766" w:type="pct"/>
            <w:shd w:val="clear" w:color="auto" w:fill="auto"/>
            <w:vAlign w:val="center"/>
          </w:tcPr>
          <w:p>
            <w:pPr>
              <w:adjustRightInd w:val="0"/>
              <w:jc w:val="center"/>
              <w:rPr>
                <w:color w:val="auto"/>
                <w:szCs w:val="21"/>
                <w:highlight w:val="none"/>
              </w:rPr>
            </w:pPr>
            <w:r>
              <w:rPr>
                <w:rFonts w:hint="eastAsia"/>
                <w:color w:val="auto"/>
                <w:szCs w:val="21"/>
                <w:highlight w:val="none"/>
              </w:rPr>
              <w:t>灯具</w:t>
            </w:r>
          </w:p>
        </w:tc>
        <w:tc>
          <w:tcPr>
            <w:tcW w:w="1102" w:type="pct"/>
            <w:shd w:val="clear" w:color="auto" w:fill="auto"/>
            <w:vAlign w:val="center"/>
          </w:tcPr>
          <w:p>
            <w:pPr>
              <w:adjustRightInd w:val="0"/>
              <w:jc w:val="center"/>
              <w:rPr>
                <w:rFonts w:cs="华文细黑"/>
                <w:color w:val="auto"/>
                <w:szCs w:val="21"/>
                <w:highlight w:val="none"/>
              </w:rPr>
            </w:pPr>
            <w:r>
              <w:rPr>
                <w:rFonts w:hint="eastAsia" w:cs="华文细黑"/>
                <w:color w:val="auto"/>
                <w:szCs w:val="21"/>
                <w:highlight w:val="none"/>
              </w:rPr>
              <w:t>每种规格一盏</w:t>
            </w:r>
          </w:p>
        </w:tc>
        <w:tc>
          <w:tcPr>
            <w:tcW w:w="592" w:type="pct"/>
            <w:shd w:val="clear" w:color="auto" w:fill="auto"/>
            <w:vAlign w:val="center"/>
          </w:tcPr>
          <w:p>
            <w:pPr>
              <w:adjustRightInd w:val="0"/>
              <w:jc w:val="center"/>
              <w:rPr>
                <w:rFonts w:cs="华文细黑"/>
                <w:color w:val="auto"/>
                <w:szCs w:val="21"/>
                <w:highlight w:val="none"/>
              </w:rPr>
            </w:pPr>
            <w:r>
              <w:rPr>
                <w:rFonts w:hint="eastAsia" w:cs="华文细黑"/>
                <w:color w:val="auto"/>
                <w:szCs w:val="21"/>
                <w:highlight w:val="none"/>
              </w:rPr>
              <w:t>一套</w:t>
            </w:r>
          </w:p>
        </w:tc>
        <w:tc>
          <w:tcPr>
            <w:tcW w:w="1526" w:type="pct"/>
            <w:shd w:val="clear" w:color="auto" w:fill="auto"/>
            <w:vAlign w:val="center"/>
          </w:tcPr>
          <w:p>
            <w:pPr>
              <w:adjustRightInd w:val="0"/>
              <w:jc w:val="center"/>
              <w:rPr>
                <w:rFonts w:cs="华文细黑"/>
                <w:color w:val="auto"/>
                <w:szCs w:val="21"/>
                <w:highlight w:val="none"/>
              </w:rPr>
            </w:pPr>
            <w:r>
              <w:rPr>
                <w:rFonts w:hint="eastAsia" w:cs="华文细黑"/>
                <w:color w:val="auto"/>
                <w:szCs w:val="21"/>
                <w:highlight w:val="none"/>
              </w:rPr>
              <w:t>品牌、参数</w:t>
            </w:r>
          </w:p>
        </w:tc>
        <w:tc>
          <w:tcPr>
            <w:tcW w:w="593" w:type="pct"/>
            <w:shd w:val="clear" w:color="auto" w:fill="auto"/>
            <w:vAlign w:val="center"/>
          </w:tcPr>
          <w:p>
            <w:pPr>
              <w:adjustRightInd w:val="0"/>
              <w:jc w:val="center"/>
              <w:rPr>
                <w:rFonts w:cs="华文细黑"/>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16" w:hRule="atLeast"/>
          <w:jc w:val="center"/>
        </w:trPr>
        <w:tc>
          <w:tcPr>
            <w:tcW w:w="422" w:type="pct"/>
            <w:shd w:val="clear" w:color="auto" w:fill="auto"/>
            <w:vAlign w:val="center"/>
          </w:tcPr>
          <w:p>
            <w:pPr>
              <w:adjustRightInd w:val="0"/>
              <w:jc w:val="center"/>
              <w:rPr>
                <w:rFonts w:cs="华文细黑"/>
                <w:color w:val="auto"/>
                <w:szCs w:val="21"/>
                <w:highlight w:val="none"/>
              </w:rPr>
            </w:pPr>
            <w:r>
              <w:rPr>
                <w:rFonts w:hint="eastAsia" w:cs="华文细黑"/>
                <w:color w:val="auto"/>
                <w:szCs w:val="21"/>
                <w:highlight w:val="none"/>
              </w:rPr>
              <w:t>2</w:t>
            </w:r>
            <w:r>
              <w:rPr>
                <w:rFonts w:cs="华文细黑"/>
                <w:color w:val="auto"/>
                <w:szCs w:val="21"/>
                <w:highlight w:val="none"/>
              </w:rPr>
              <w:t>5</w:t>
            </w:r>
          </w:p>
        </w:tc>
        <w:tc>
          <w:tcPr>
            <w:tcW w:w="766" w:type="pct"/>
            <w:shd w:val="clear" w:color="auto" w:fill="auto"/>
            <w:vAlign w:val="center"/>
          </w:tcPr>
          <w:p>
            <w:pPr>
              <w:adjustRightInd w:val="0"/>
              <w:jc w:val="center"/>
              <w:rPr>
                <w:color w:val="auto"/>
                <w:szCs w:val="21"/>
                <w:highlight w:val="none"/>
              </w:rPr>
            </w:pPr>
            <w:r>
              <w:rPr>
                <w:rFonts w:hint="eastAsia"/>
                <w:color w:val="auto"/>
                <w:szCs w:val="21"/>
                <w:highlight w:val="none"/>
              </w:rPr>
              <w:t>开关面板</w:t>
            </w:r>
          </w:p>
        </w:tc>
        <w:tc>
          <w:tcPr>
            <w:tcW w:w="1102" w:type="pct"/>
            <w:shd w:val="clear" w:color="auto" w:fill="auto"/>
            <w:vAlign w:val="center"/>
          </w:tcPr>
          <w:p>
            <w:pPr>
              <w:adjustRightInd w:val="0"/>
              <w:jc w:val="center"/>
              <w:rPr>
                <w:rFonts w:cs="华文细黑"/>
                <w:color w:val="auto"/>
                <w:szCs w:val="21"/>
                <w:highlight w:val="none"/>
              </w:rPr>
            </w:pPr>
            <w:r>
              <w:rPr>
                <w:rFonts w:hint="eastAsia" w:cs="华文细黑"/>
                <w:color w:val="auto"/>
                <w:szCs w:val="21"/>
                <w:highlight w:val="none"/>
              </w:rPr>
              <w:t>每种规格一个</w:t>
            </w:r>
          </w:p>
        </w:tc>
        <w:tc>
          <w:tcPr>
            <w:tcW w:w="592" w:type="pct"/>
            <w:shd w:val="clear" w:color="auto" w:fill="auto"/>
            <w:vAlign w:val="center"/>
          </w:tcPr>
          <w:p>
            <w:pPr>
              <w:adjustRightInd w:val="0"/>
              <w:jc w:val="center"/>
              <w:rPr>
                <w:rFonts w:cs="华文细黑"/>
                <w:color w:val="auto"/>
                <w:szCs w:val="21"/>
                <w:highlight w:val="none"/>
              </w:rPr>
            </w:pPr>
            <w:r>
              <w:rPr>
                <w:rFonts w:hint="eastAsia" w:cs="华文细黑"/>
                <w:color w:val="auto"/>
                <w:szCs w:val="21"/>
                <w:highlight w:val="none"/>
              </w:rPr>
              <w:t>一套</w:t>
            </w:r>
          </w:p>
        </w:tc>
        <w:tc>
          <w:tcPr>
            <w:tcW w:w="1526" w:type="pct"/>
            <w:shd w:val="clear" w:color="auto" w:fill="auto"/>
            <w:vAlign w:val="center"/>
          </w:tcPr>
          <w:p>
            <w:pPr>
              <w:adjustRightInd w:val="0"/>
              <w:jc w:val="center"/>
              <w:rPr>
                <w:rFonts w:cs="华文细黑"/>
                <w:color w:val="auto"/>
                <w:szCs w:val="21"/>
                <w:highlight w:val="none"/>
              </w:rPr>
            </w:pPr>
            <w:r>
              <w:rPr>
                <w:rFonts w:hint="eastAsia" w:cs="华文细黑"/>
                <w:color w:val="auto"/>
                <w:szCs w:val="21"/>
                <w:highlight w:val="none"/>
              </w:rPr>
              <w:t>品牌、参数</w:t>
            </w:r>
          </w:p>
        </w:tc>
        <w:tc>
          <w:tcPr>
            <w:tcW w:w="593" w:type="pct"/>
            <w:shd w:val="clear" w:color="auto" w:fill="auto"/>
            <w:vAlign w:val="center"/>
          </w:tcPr>
          <w:p>
            <w:pPr>
              <w:adjustRightInd w:val="0"/>
              <w:jc w:val="center"/>
              <w:rPr>
                <w:rFonts w:cs="华文细黑"/>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16" w:hRule="atLeast"/>
          <w:jc w:val="center"/>
        </w:trPr>
        <w:tc>
          <w:tcPr>
            <w:tcW w:w="422" w:type="pct"/>
            <w:shd w:val="clear" w:color="auto" w:fill="auto"/>
            <w:vAlign w:val="center"/>
          </w:tcPr>
          <w:p>
            <w:pPr>
              <w:adjustRightInd w:val="0"/>
              <w:jc w:val="center"/>
              <w:rPr>
                <w:rFonts w:cs="华文细黑"/>
                <w:color w:val="auto"/>
                <w:szCs w:val="21"/>
                <w:highlight w:val="none"/>
              </w:rPr>
            </w:pPr>
            <w:r>
              <w:rPr>
                <w:rFonts w:hint="eastAsia" w:cs="华文细黑"/>
                <w:color w:val="auto"/>
                <w:szCs w:val="21"/>
                <w:highlight w:val="none"/>
              </w:rPr>
              <w:t>2</w:t>
            </w:r>
            <w:r>
              <w:rPr>
                <w:rFonts w:cs="华文细黑"/>
                <w:color w:val="auto"/>
                <w:szCs w:val="21"/>
                <w:highlight w:val="none"/>
              </w:rPr>
              <w:t>6</w:t>
            </w:r>
          </w:p>
        </w:tc>
        <w:tc>
          <w:tcPr>
            <w:tcW w:w="766" w:type="pct"/>
            <w:shd w:val="clear" w:color="auto" w:fill="auto"/>
            <w:vAlign w:val="center"/>
          </w:tcPr>
          <w:p>
            <w:pPr>
              <w:adjustRightInd w:val="0"/>
              <w:jc w:val="center"/>
              <w:rPr>
                <w:color w:val="auto"/>
                <w:szCs w:val="21"/>
                <w:highlight w:val="none"/>
              </w:rPr>
            </w:pPr>
            <w:r>
              <w:rPr>
                <w:rFonts w:hint="eastAsia"/>
                <w:color w:val="auto"/>
                <w:szCs w:val="21"/>
                <w:highlight w:val="none"/>
              </w:rPr>
              <w:t>洁具类</w:t>
            </w:r>
          </w:p>
        </w:tc>
        <w:tc>
          <w:tcPr>
            <w:tcW w:w="1102" w:type="pct"/>
            <w:shd w:val="clear" w:color="auto" w:fill="auto"/>
            <w:vAlign w:val="center"/>
          </w:tcPr>
          <w:p>
            <w:pPr>
              <w:adjustRightInd w:val="0"/>
              <w:jc w:val="center"/>
              <w:rPr>
                <w:rFonts w:cs="华文细黑"/>
                <w:color w:val="auto"/>
                <w:szCs w:val="21"/>
                <w:highlight w:val="none"/>
              </w:rPr>
            </w:pPr>
            <w:r>
              <w:rPr>
                <w:rFonts w:hint="eastAsia" w:cs="华文细黑"/>
                <w:color w:val="auto"/>
                <w:szCs w:val="21"/>
                <w:highlight w:val="none"/>
              </w:rPr>
              <w:t>每种规格</w:t>
            </w:r>
          </w:p>
        </w:tc>
        <w:tc>
          <w:tcPr>
            <w:tcW w:w="592" w:type="pct"/>
            <w:shd w:val="clear" w:color="auto" w:fill="auto"/>
            <w:vAlign w:val="center"/>
          </w:tcPr>
          <w:p>
            <w:pPr>
              <w:adjustRightInd w:val="0"/>
              <w:jc w:val="center"/>
              <w:rPr>
                <w:rFonts w:cs="华文细黑"/>
                <w:color w:val="auto"/>
                <w:szCs w:val="21"/>
                <w:highlight w:val="none"/>
              </w:rPr>
            </w:pPr>
            <w:r>
              <w:rPr>
                <w:rFonts w:hint="eastAsia" w:cs="华文细黑"/>
                <w:color w:val="auto"/>
                <w:szCs w:val="21"/>
                <w:highlight w:val="none"/>
              </w:rPr>
              <w:t>一套</w:t>
            </w:r>
          </w:p>
        </w:tc>
        <w:tc>
          <w:tcPr>
            <w:tcW w:w="1526" w:type="pct"/>
            <w:shd w:val="clear" w:color="auto" w:fill="auto"/>
            <w:vAlign w:val="center"/>
          </w:tcPr>
          <w:p>
            <w:pPr>
              <w:adjustRightInd w:val="0"/>
              <w:jc w:val="center"/>
              <w:rPr>
                <w:rFonts w:cs="华文细黑"/>
                <w:color w:val="auto"/>
                <w:szCs w:val="21"/>
                <w:highlight w:val="none"/>
              </w:rPr>
            </w:pPr>
            <w:r>
              <w:rPr>
                <w:rFonts w:hint="eastAsia" w:cs="华文细黑"/>
                <w:color w:val="auto"/>
                <w:szCs w:val="21"/>
                <w:highlight w:val="none"/>
              </w:rPr>
              <w:t>品牌、参数</w:t>
            </w:r>
          </w:p>
        </w:tc>
        <w:tc>
          <w:tcPr>
            <w:tcW w:w="593" w:type="pct"/>
            <w:shd w:val="clear" w:color="auto" w:fill="auto"/>
            <w:vAlign w:val="center"/>
          </w:tcPr>
          <w:p>
            <w:pPr>
              <w:adjustRightInd w:val="0"/>
              <w:jc w:val="center"/>
              <w:rPr>
                <w:rFonts w:cs="华文细黑"/>
                <w:color w:val="auto"/>
                <w:szCs w:val="21"/>
                <w:highlight w:val="none"/>
              </w:rPr>
            </w:pPr>
            <w:r>
              <w:rPr>
                <w:rFonts w:hint="eastAsia" w:cs="华文细黑"/>
                <w:color w:val="auto"/>
                <w:szCs w:val="21"/>
                <w:highlight w:val="none"/>
              </w:rPr>
              <w:t>提供照片确认</w:t>
            </w:r>
          </w:p>
        </w:tc>
      </w:tr>
    </w:tbl>
    <w:p>
      <w:pPr>
        <w:snapToGrid w:val="0"/>
        <w:spacing w:before="120" w:beforeLines="50" w:after="120" w:afterLines="50"/>
        <w:ind w:left="970" w:firstLine="581"/>
        <w:rPr>
          <w:rFonts w:ascii="Times New Roman" w:hAnsi="Times New Roman" w:cs="Times New Roman"/>
          <w:color w:val="auto"/>
          <w:highlight w:val="none"/>
          <w:lang w:eastAsia="zh-CN"/>
        </w:rPr>
      </w:pPr>
      <w:r>
        <w:rPr>
          <w:rFonts w:hint="eastAsia" w:ascii="Times New Roman" w:hAnsi="Times New Roman" w:cs="Times New Roman"/>
          <w:color w:val="auto"/>
          <w:highlight w:val="none"/>
          <w:lang w:eastAsia="zh-CN"/>
        </w:rPr>
        <w:t>若有其他工艺样板管理要求项目在此进行补充。</w:t>
      </w:r>
    </w:p>
    <w:p>
      <w:pPr>
        <w:pStyle w:val="7"/>
        <w:rPr>
          <w:color w:val="auto"/>
          <w:highlight w:val="none"/>
        </w:rPr>
      </w:pPr>
      <w:r>
        <w:rPr>
          <w:rFonts w:hint="eastAsia"/>
          <w:color w:val="auto"/>
          <w:spacing w:val="-7"/>
          <w:highlight w:val="none"/>
        </w:rPr>
        <w:t>专业工程承包人进场施工后</w:t>
      </w:r>
      <w:r>
        <w:rPr>
          <w:color w:val="auto"/>
          <w:spacing w:val="-7"/>
          <w:highlight w:val="none"/>
        </w:rPr>
        <w:t xml:space="preserve"> </w:t>
      </w:r>
      <w:r>
        <w:rPr>
          <w:color w:val="auto"/>
          <w:highlight w:val="none"/>
        </w:rPr>
        <w:t xml:space="preserve">15 </w:t>
      </w:r>
      <w:r>
        <w:rPr>
          <w:rFonts w:hint="eastAsia"/>
          <w:color w:val="auto"/>
          <w:highlight w:val="none"/>
        </w:rPr>
        <w:t>天内，须制定</w:t>
      </w:r>
      <w:r>
        <w:rPr>
          <w:rFonts w:hint="eastAsia"/>
          <w:color w:val="auto"/>
          <w:spacing w:val="-5"/>
          <w:highlight w:val="none"/>
        </w:rPr>
        <w:t>工艺样板施工方案，报监理人、</w:t>
      </w:r>
      <w:r>
        <w:rPr>
          <w:rFonts w:hint="eastAsia"/>
          <w:color w:val="auto"/>
          <w:highlight w:val="none"/>
        </w:rPr>
        <w:t>发包人审批。</w:t>
      </w:r>
    </w:p>
    <w:p>
      <w:pPr>
        <w:pStyle w:val="7"/>
        <w:rPr>
          <w:color w:val="auto"/>
          <w:highlight w:val="none"/>
        </w:rPr>
      </w:pPr>
      <w:r>
        <w:rPr>
          <w:rFonts w:hint="eastAsia"/>
          <w:color w:val="auto"/>
          <w:highlight w:val="none"/>
        </w:rPr>
        <w:t>工艺样板施工质量应体现施工队伍的综合技术水平，经确定的样板施工人员应为该工程固定的施工人员，原则上不得随意更换。监理人与发包人对样板操作过程进行监控，对关键点、关键部位进行旁站监督。</w:t>
      </w:r>
    </w:p>
    <w:p>
      <w:pPr>
        <w:pStyle w:val="7"/>
        <w:rPr>
          <w:color w:val="auto"/>
          <w:highlight w:val="none"/>
        </w:rPr>
      </w:pPr>
      <w:r>
        <w:rPr>
          <w:rFonts w:hint="eastAsia"/>
          <w:color w:val="auto"/>
          <w:highlight w:val="none"/>
        </w:rPr>
        <w:t>工艺样板的施工方案及图纸节点须保存在工艺样板展示区，随时被查阅。</w:t>
      </w:r>
    </w:p>
    <w:p>
      <w:pPr>
        <w:pStyle w:val="7"/>
        <w:rPr>
          <w:color w:val="auto"/>
          <w:highlight w:val="none"/>
        </w:rPr>
      </w:pPr>
      <w:r>
        <w:rPr>
          <w:rFonts w:hint="eastAsia"/>
          <w:color w:val="auto"/>
          <w:highlight w:val="none"/>
        </w:rPr>
        <w:t>工艺样板完成后由专业工程承包人进行自检，做好记录，报总承包人、监理人、发包人验收，验收合格后方可批量施工。</w:t>
      </w:r>
    </w:p>
    <w:p>
      <w:pPr>
        <w:pStyle w:val="7"/>
        <w:rPr>
          <w:color w:val="auto"/>
          <w:highlight w:val="none"/>
        </w:rPr>
      </w:pPr>
      <w:r>
        <w:rPr>
          <w:rFonts w:hint="eastAsia"/>
          <w:color w:val="auto"/>
          <w:highlight w:val="none"/>
        </w:rPr>
        <w:t>专业工程承包人应在施工前了解施工工序，统一施工工艺做法，确保大面积施工按要求顺利展开，须进行工艺样板的施工并经过验收。</w:t>
      </w:r>
    </w:p>
    <w:p>
      <w:pPr>
        <w:pStyle w:val="7"/>
        <w:rPr>
          <w:color w:val="auto"/>
          <w:highlight w:val="none"/>
        </w:rPr>
      </w:pPr>
      <w:r>
        <w:rPr>
          <w:rFonts w:hint="eastAsia"/>
          <w:color w:val="auto"/>
          <w:highlight w:val="none"/>
        </w:rPr>
        <w:t>专业工程承包人根据项目工程特点在施工过程中或在施工现场划出一定范围的区域，作为工艺样板展示区，但不能影响其他单位施工。</w:t>
      </w:r>
    </w:p>
    <w:p>
      <w:pPr>
        <w:pStyle w:val="7"/>
        <w:rPr>
          <w:color w:val="auto"/>
          <w:highlight w:val="none"/>
        </w:rPr>
      </w:pPr>
      <w:r>
        <w:rPr>
          <w:rFonts w:hint="eastAsia"/>
          <w:color w:val="auto"/>
          <w:highlight w:val="none"/>
        </w:rPr>
        <w:t>工艺样板须体现每个工艺的施工工序，细部构造应以剖断面的形式展示，做到工艺样板可视化引路。</w:t>
      </w:r>
    </w:p>
    <w:p>
      <w:pPr>
        <w:pStyle w:val="7"/>
        <w:rPr>
          <w:color w:val="auto"/>
          <w:highlight w:val="none"/>
        </w:rPr>
      </w:pPr>
      <w:r>
        <w:rPr>
          <w:rFonts w:hint="eastAsia"/>
          <w:color w:val="auto"/>
          <w:highlight w:val="none"/>
        </w:rPr>
        <w:t>所有剖断面部位应有施工工艺标准说明、工艺流程说明、工序交接标准说明、常见的质量通病防治措施说明等。</w:t>
      </w:r>
    </w:p>
    <w:p>
      <w:pPr>
        <w:pStyle w:val="7"/>
        <w:rPr>
          <w:color w:val="auto"/>
          <w:highlight w:val="none"/>
        </w:rPr>
      </w:pPr>
      <w:r>
        <w:rPr>
          <w:rFonts w:hint="eastAsia"/>
          <w:color w:val="auto"/>
          <w:highlight w:val="none"/>
        </w:rPr>
        <w:t>工艺样板须注明工艺样板名称，实测实量数据及工艺节点详图。</w:t>
      </w:r>
    </w:p>
    <w:p>
      <w:pPr>
        <w:pStyle w:val="7"/>
        <w:rPr>
          <w:color w:val="auto"/>
          <w:highlight w:val="none"/>
        </w:rPr>
      </w:pPr>
      <w:r>
        <w:rPr>
          <w:rFonts w:hint="eastAsia"/>
          <w:color w:val="auto"/>
          <w:highlight w:val="none"/>
        </w:rPr>
        <w:t>工艺样板验收后，须进行持续性成品保护，并对新来班组进行工艺培训与交底。</w:t>
      </w:r>
    </w:p>
    <w:p>
      <w:pPr>
        <w:pStyle w:val="7"/>
        <w:rPr>
          <w:color w:val="auto"/>
          <w:highlight w:val="none"/>
        </w:rPr>
      </w:pPr>
      <w:r>
        <w:rPr>
          <w:rFonts w:hint="eastAsia"/>
          <w:color w:val="auto"/>
          <w:highlight w:val="none"/>
        </w:rPr>
        <w:t>工艺样板的培训及交底须形成工程管控文件随时备查。</w:t>
      </w:r>
    </w:p>
    <w:p>
      <w:pPr>
        <w:pStyle w:val="7"/>
        <w:rPr>
          <w:color w:val="auto"/>
          <w:highlight w:val="none"/>
        </w:rPr>
      </w:pPr>
      <w:r>
        <w:rPr>
          <w:rFonts w:hint="eastAsia"/>
          <w:color w:val="auto"/>
          <w:highlight w:val="none"/>
        </w:rPr>
        <w:t>工艺样板拆除前，必须经过发包人同意。</w:t>
      </w:r>
    </w:p>
    <w:p>
      <w:pPr>
        <w:pStyle w:val="7"/>
        <w:rPr>
          <w:color w:val="auto"/>
          <w:highlight w:val="none"/>
        </w:rPr>
      </w:pPr>
      <w:r>
        <w:rPr>
          <w:rFonts w:hint="eastAsia"/>
          <w:color w:val="auto"/>
          <w:highlight w:val="none"/>
        </w:rPr>
        <w:t>工艺样板须严格按工程施工样板管理制度执行。</w:t>
      </w:r>
    </w:p>
    <w:p>
      <w:pPr>
        <w:pStyle w:val="5"/>
        <w:rPr>
          <w:color w:val="auto"/>
          <w:highlight w:val="none"/>
        </w:rPr>
      </w:pPr>
      <w:r>
        <w:rPr>
          <w:rFonts w:hint="eastAsia"/>
          <w:color w:val="auto"/>
          <w:highlight w:val="none"/>
        </w:rPr>
        <w:t>实体样板间施工要求</w:t>
      </w:r>
    </w:p>
    <w:p>
      <w:pPr>
        <w:pStyle w:val="7"/>
        <w:rPr>
          <w:color w:val="auto"/>
          <w:highlight w:val="none"/>
        </w:rPr>
      </w:pPr>
      <w:r>
        <w:rPr>
          <w:rFonts w:hint="eastAsia"/>
          <w:color w:val="auto"/>
          <w:spacing w:val="-6"/>
          <w:highlight w:val="none"/>
        </w:rPr>
        <w:t>专业工程承包人</w:t>
      </w:r>
      <w:r>
        <w:rPr>
          <w:rFonts w:hint="eastAsia"/>
          <w:color w:val="auto"/>
          <w:highlight w:val="none"/>
        </w:rPr>
        <w:t>进场后须按发包人要求做进行实体样板间施工。</w:t>
      </w:r>
    </w:p>
    <w:p>
      <w:pPr>
        <w:pStyle w:val="7"/>
        <w:rPr>
          <w:color w:val="auto"/>
          <w:highlight w:val="none"/>
        </w:rPr>
      </w:pPr>
      <w:r>
        <w:rPr>
          <w:rFonts w:hint="eastAsia"/>
          <w:color w:val="auto"/>
          <w:highlight w:val="none"/>
        </w:rPr>
        <w:t>工艺样板全部验收完且合格后方可进行实体样板间施工，实体样板间必须在发包人要求规定的时间内完成。</w:t>
      </w:r>
    </w:p>
    <w:p>
      <w:pPr>
        <w:pStyle w:val="7"/>
        <w:rPr>
          <w:color w:val="auto"/>
          <w:highlight w:val="none"/>
        </w:rPr>
      </w:pPr>
      <w:r>
        <w:rPr>
          <w:rFonts w:hint="eastAsia"/>
          <w:color w:val="auto"/>
          <w:highlight w:val="none"/>
        </w:rPr>
        <w:t>两个样板阶段需由发包人及监理进行评估，如果两个阶段由于承包人原因被评估均不合格，发包人可单方面与防护中标单位解除合同；被通知解除合同的中标单位需在一周内撤离现场。</w:t>
      </w:r>
    </w:p>
    <w:p>
      <w:pPr>
        <w:pStyle w:val="7"/>
        <w:rPr>
          <w:color w:val="auto"/>
          <w:highlight w:val="none"/>
        </w:rPr>
      </w:pPr>
      <w:r>
        <w:rPr>
          <w:rFonts w:hint="eastAsia"/>
          <w:color w:val="auto"/>
          <w:highlight w:val="none"/>
        </w:rPr>
        <w:t>评估合格的实体样板间，经过监理、发包人以及使用方和委托方（如需）验收合格后才能展开批量防护工作，施工过程中必须按发包人要求做好成品保护工作。</w:t>
      </w:r>
    </w:p>
    <w:p>
      <w:pPr>
        <w:pStyle w:val="7"/>
        <w:rPr>
          <w:color w:val="auto"/>
          <w:highlight w:val="none"/>
        </w:rPr>
      </w:pPr>
      <w:r>
        <w:rPr>
          <w:rFonts w:hint="eastAsia"/>
          <w:color w:val="auto"/>
          <w:highlight w:val="none"/>
        </w:rPr>
        <w:t>验收合格的实体样板间如需拆除，必须经过发包人（发包人代表）同意后才可进行拆除工作。</w:t>
      </w:r>
    </w:p>
    <w:p>
      <w:pPr>
        <w:ind w:firstLine="581"/>
        <w:rPr>
          <w:rFonts w:ascii="Times New Roman" w:hAnsi="Times New Roman" w:cs="Times New Roman"/>
          <w:bCs/>
          <w:color w:val="auto"/>
          <w:szCs w:val="24"/>
          <w:highlight w:val="none"/>
          <w:u w:val="single"/>
          <w:lang w:eastAsia="zh-CN"/>
        </w:rPr>
      </w:pPr>
    </w:p>
    <w:p>
      <w:pPr>
        <w:pStyle w:val="4"/>
        <w:rPr>
          <w:color w:val="auto"/>
          <w:highlight w:val="none"/>
        </w:rPr>
      </w:pPr>
      <w:bookmarkStart w:id="37" w:name="_Toc122371830"/>
      <w:r>
        <w:rPr>
          <w:rFonts w:hint="eastAsia"/>
          <w:color w:val="auto"/>
          <w:highlight w:val="none"/>
        </w:rPr>
        <w:t>工序交接管理要求</w:t>
      </w:r>
      <w:bookmarkEnd w:id="37"/>
    </w:p>
    <w:p>
      <w:pPr>
        <w:pStyle w:val="5"/>
        <w:rPr>
          <w:color w:val="auto"/>
          <w:highlight w:val="none"/>
        </w:rPr>
      </w:pPr>
      <w:r>
        <w:rPr>
          <w:rFonts w:hint="eastAsia"/>
          <w:color w:val="auto"/>
          <w:highlight w:val="none"/>
        </w:rPr>
        <w:t>工序管理的一般规定</w:t>
      </w:r>
    </w:p>
    <w:p>
      <w:pPr>
        <w:pStyle w:val="7"/>
        <w:rPr>
          <w:color w:val="auto"/>
          <w:highlight w:val="none"/>
        </w:rPr>
      </w:pPr>
      <w:r>
        <w:rPr>
          <w:rFonts w:hint="eastAsia"/>
          <w:color w:val="auto"/>
          <w:highlight w:val="none"/>
        </w:rPr>
        <w:t>为保证上道工序施工质量满足下道工序施工的需要，控制专业间的工序转换工作，所有工程必须进行工序交接。</w:t>
      </w:r>
    </w:p>
    <w:p>
      <w:pPr>
        <w:pStyle w:val="7"/>
        <w:rPr>
          <w:color w:val="auto"/>
          <w:highlight w:val="none"/>
        </w:rPr>
      </w:pPr>
      <w:r>
        <w:rPr>
          <w:rFonts w:hint="eastAsia"/>
          <w:color w:val="auto"/>
          <w:highlight w:val="none"/>
        </w:rPr>
        <w:t>重要工序施工完毕并经自检合格，由上道工序质检员向监理单位提出工序交接申请。</w:t>
      </w:r>
    </w:p>
    <w:p>
      <w:pPr>
        <w:pStyle w:val="7"/>
        <w:rPr>
          <w:color w:val="auto"/>
          <w:highlight w:val="none"/>
        </w:rPr>
      </w:pPr>
      <w:r>
        <w:rPr>
          <w:rFonts w:hint="eastAsia"/>
          <w:color w:val="auto"/>
          <w:highlight w:val="none"/>
        </w:rPr>
        <w:t>监理人负责组织重要工序交接，交接双方质检员和主要技术人员参加。</w:t>
      </w:r>
    </w:p>
    <w:p>
      <w:pPr>
        <w:pStyle w:val="7"/>
        <w:rPr>
          <w:color w:val="auto"/>
          <w:highlight w:val="none"/>
        </w:rPr>
      </w:pPr>
      <w:r>
        <w:rPr>
          <w:rFonts w:hint="eastAsia"/>
          <w:color w:val="auto"/>
          <w:highlight w:val="none"/>
        </w:rPr>
        <w:t>交接检查中有异议时，由监理人组织协调，如确有不满足下道工序施工要求时，由移交方处理，处理完毕，重新进行工序交接。</w:t>
      </w:r>
    </w:p>
    <w:p>
      <w:pPr>
        <w:pStyle w:val="7"/>
        <w:rPr>
          <w:color w:val="auto"/>
          <w:highlight w:val="none"/>
        </w:rPr>
      </w:pPr>
      <w:r>
        <w:rPr>
          <w:rFonts w:hint="eastAsia"/>
          <w:color w:val="auto"/>
          <w:highlight w:val="none"/>
        </w:rPr>
        <w:t>工序控制与工程款支付相结合，付款时专业工程承包人应附上各控制表格签字情况。</w:t>
      </w:r>
      <w:r>
        <w:rPr>
          <w:rFonts w:hint="eastAsia"/>
          <w:color w:val="auto"/>
          <w:spacing w:val="-3"/>
          <w:highlight w:val="none"/>
        </w:rPr>
        <w:t>未按上述要求办理或违反上述规定时，发包人将暂停支付相关工程量的工程款。</w:t>
      </w:r>
    </w:p>
    <w:p>
      <w:pPr>
        <w:pStyle w:val="7"/>
        <w:rPr>
          <w:color w:val="auto"/>
          <w:highlight w:val="none"/>
        </w:rPr>
      </w:pPr>
      <w:r>
        <w:rPr>
          <w:rFonts w:hint="eastAsia"/>
          <w:color w:val="auto"/>
          <w:highlight w:val="none"/>
        </w:rPr>
        <w:t>关键工序关键节点的停止点检查</w:t>
      </w:r>
    </w:p>
    <w:p>
      <w:pPr>
        <w:tabs>
          <w:tab w:val="left" w:pos="1225"/>
        </w:tabs>
        <w:ind w:left="1206" w:firstLine="578"/>
        <w:jc w:val="both"/>
        <w:rPr>
          <w:rFonts w:ascii="Times New Roman" w:hAnsi="Times New Roman" w:cs="Times New Roman"/>
          <w:color w:val="auto"/>
          <w:spacing w:val="-1"/>
          <w:highlight w:val="none"/>
          <w:lang w:eastAsia="zh-CN"/>
        </w:rPr>
      </w:pPr>
      <w:r>
        <w:rPr>
          <w:rFonts w:hint="eastAsia" w:ascii="Times New Roman" w:hAnsi="Times New Roman" w:cs="Times New Roman"/>
          <w:color w:val="auto"/>
          <w:spacing w:val="-1"/>
          <w:highlight w:val="none"/>
          <w:lang w:eastAsia="zh-CN"/>
        </w:rPr>
        <w:t>放射防护及磁屏蔽专业工程承包人在以防护工程施工完成后，精装修工程施工开始之前，必须向监理工程师和发包人提报，由监理工程师、发包人及使用方（如需）检查无误后，方可进行下道工序。如未经停止点检查而造成的工程问题及发包人因效果不满意需要调整的后果均由放射防护及磁屏蔽专业工程承包人承担。</w:t>
      </w:r>
    </w:p>
    <w:p>
      <w:pPr>
        <w:pStyle w:val="5"/>
        <w:rPr>
          <w:color w:val="auto"/>
          <w:highlight w:val="none"/>
        </w:rPr>
      </w:pPr>
      <w:r>
        <w:rPr>
          <w:rFonts w:hint="eastAsia"/>
          <w:color w:val="auto"/>
          <w:highlight w:val="none"/>
        </w:rPr>
        <w:t>其他工序交接管理要求</w:t>
      </w:r>
    </w:p>
    <w:p>
      <w:pPr>
        <w:tabs>
          <w:tab w:val="left" w:pos="1045"/>
        </w:tabs>
        <w:ind w:left="1038" w:firstLine="581"/>
        <w:rPr>
          <w:rFonts w:ascii="Times New Roman" w:hAnsi="Times New Roman" w:cs="Times New Roman"/>
          <w:color w:val="auto"/>
          <w:highlight w:val="none"/>
          <w:lang w:eastAsia="zh-CN"/>
        </w:rPr>
      </w:pPr>
      <w:r>
        <w:rPr>
          <w:rFonts w:hint="eastAsia" w:ascii="Times New Roman" w:hAnsi="Times New Roman" w:cs="Times New Roman"/>
          <w:bCs/>
          <w:color w:val="auto"/>
          <w:kern w:val="2"/>
          <w:szCs w:val="24"/>
          <w:highlight w:val="none"/>
          <w:u w:val="single"/>
          <w:lang w:eastAsia="zh-CN"/>
        </w:rPr>
        <w:t>若有其他工序交接管理要求项目在此进行补充。</w:t>
      </w:r>
    </w:p>
    <w:p>
      <w:pPr>
        <w:pStyle w:val="4"/>
        <w:rPr>
          <w:color w:val="auto"/>
          <w:highlight w:val="none"/>
        </w:rPr>
      </w:pPr>
      <w:bookmarkStart w:id="38" w:name="_Toc122371831"/>
      <w:r>
        <w:rPr>
          <w:rFonts w:hint="eastAsia"/>
          <w:color w:val="auto"/>
          <w:highlight w:val="none"/>
        </w:rPr>
        <w:t>工作面交接管理要求</w:t>
      </w:r>
      <w:bookmarkEnd w:id="38"/>
    </w:p>
    <w:p>
      <w:pPr>
        <w:pStyle w:val="5"/>
        <w:rPr>
          <w:color w:val="auto"/>
          <w:highlight w:val="none"/>
        </w:rPr>
      </w:pPr>
      <w:r>
        <w:rPr>
          <w:rFonts w:hint="eastAsia"/>
          <w:color w:val="auto"/>
          <w:highlight w:val="none"/>
        </w:rPr>
        <w:t>专业工程承包人及其他专业工程承包人工作面移交的通用要求</w:t>
      </w:r>
    </w:p>
    <w:p>
      <w:pPr>
        <w:pStyle w:val="7"/>
        <w:rPr>
          <w:color w:val="auto"/>
          <w:highlight w:val="none"/>
        </w:rPr>
      </w:pPr>
      <w:r>
        <w:rPr>
          <w:rFonts w:hint="eastAsia"/>
          <w:color w:val="auto"/>
          <w:spacing w:val="-5"/>
          <w:highlight w:val="none"/>
        </w:rPr>
        <w:t>专业工程承包人应参加发包人组织的由专业工程承包人、总承包人、监理人及相关人员等参加</w:t>
      </w:r>
      <w:r>
        <w:rPr>
          <w:rFonts w:hint="eastAsia"/>
          <w:color w:val="auto"/>
          <w:highlight w:val="none"/>
        </w:rPr>
        <w:t>的工作面的检验及交接。四方共同以现场交接验收的方式确认质量缺陷责任并签字生效。对于认定的缺陷责任，限期由责任方负责安排整改完毕，经监</w:t>
      </w:r>
      <w:r>
        <w:rPr>
          <w:rFonts w:hint="eastAsia"/>
          <w:color w:val="auto"/>
          <w:spacing w:val="-4"/>
          <w:highlight w:val="none"/>
        </w:rPr>
        <w:t>理人及发包人验收合格后方可办理正式移交手续，并填写《工作面移交验收</w:t>
      </w:r>
      <w:r>
        <w:rPr>
          <w:rFonts w:hint="eastAsia"/>
          <w:color w:val="auto"/>
          <w:spacing w:val="-40"/>
          <w:highlight w:val="none"/>
        </w:rPr>
        <w:t>表》。</w:t>
      </w:r>
    </w:p>
    <w:p>
      <w:pPr>
        <w:pStyle w:val="7"/>
        <w:rPr>
          <w:color w:val="auto"/>
          <w:highlight w:val="none"/>
        </w:rPr>
      </w:pPr>
      <w:r>
        <w:rPr>
          <w:rFonts w:hint="eastAsia"/>
          <w:color w:val="auto"/>
          <w:highlight w:val="none"/>
        </w:rPr>
        <w:t>专业工程承包人负责制订移交计划，经总承包人、监理人及发包人审核通过后方可执行。同时必须保证其他专业工程承包人都具有施工工作面。</w:t>
      </w:r>
    </w:p>
    <w:p>
      <w:pPr>
        <w:pStyle w:val="7"/>
        <w:rPr>
          <w:color w:val="auto"/>
          <w:highlight w:val="none"/>
        </w:rPr>
      </w:pPr>
      <w:r>
        <w:rPr>
          <w:rFonts w:hint="eastAsia"/>
          <w:color w:val="auto"/>
          <w:highlight w:val="none"/>
        </w:rPr>
        <w:t>提前做好移交场地的清理及质量检查工作，并做好相关记录。</w:t>
      </w:r>
    </w:p>
    <w:p>
      <w:pPr>
        <w:pStyle w:val="7"/>
        <w:rPr>
          <w:color w:val="auto"/>
          <w:highlight w:val="none"/>
        </w:rPr>
      </w:pPr>
      <w:r>
        <w:rPr>
          <w:rFonts w:hint="eastAsia"/>
          <w:color w:val="auto"/>
          <w:highlight w:val="none"/>
        </w:rPr>
        <w:t>负责提供移交工作面的控制点、标高点。</w:t>
      </w:r>
    </w:p>
    <w:p>
      <w:pPr>
        <w:pStyle w:val="7"/>
        <w:rPr>
          <w:color w:val="auto"/>
          <w:highlight w:val="none"/>
        </w:rPr>
      </w:pPr>
      <w:r>
        <w:rPr>
          <w:rFonts w:hint="eastAsia"/>
          <w:color w:val="auto"/>
          <w:highlight w:val="none"/>
        </w:rPr>
        <w:t>负责提供移交工作面无质量问题，满足后续施工要求，由接收方确认。</w:t>
      </w:r>
    </w:p>
    <w:p>
      <w:pPr>
        <w:pStyle w:val="7"/>
        <w:rPr>
          <w:color w:val="auto"/>
          <w:highlight w:val="none"/>
        </w:rPr>
      </w:pPr>
      <w:r>
        <w:rPr>
          <w:rFonts w:hint="eastAsia"/>
          <w:color w:val="auto"/>
          <w:highlight w:val="none"/>
        </w:rPr>
        <w:t>根据验收意见及时编制整改计划，明确整改时间。专业工程承包人必须成立专职整改</w:t>
      </w:r>
      <w:r>
        <w:rPr>
          <w:rFonts w:hint="eastAsia"/>
          <w:color w:val="auto"/>
          <w:spacing w:val="-7"/>
          <w:highlight w:val="none"/>
        </w:rPr>
        <w:t>队伍，对整改内容和漏项工程，无偿负责整改、施工，保证施工质量及交接</w:t>
      </w:r>
      <w:r>
        <w:rPr>
          <w:rFonts w:hint="eastAsia"/>
          <w:color w:val="auto"/>
          <w:highlight w:val="none"/>
        </w:rPr>
        <w:t>进度。</w:t>
      </w:r>
    </w:p>
    <w:p>
      <w:pPr>
        <w:pStyle w:val="7"/>
        <w:rPr>
          <w:color w:val="auto"/>
          <w:highlight w:val="none"/>
        </w:rPr>
      </w:pPr>
      <w:r>
        <w:rPr>
          <w:rFonts w:hint="eastAsia"/>
          <w:color w:val="auto"/>
          <w:highlight w:val="none"/>
        </w:rPr>
        <w:t>验收项目需要专业工程承包人提供相应检测工具并配合的，专业工程承包人负责提供所需的检测工具并协助检测工作。</w:t>
      </w:r>
    </w:p>
    <w:p>
      <w:pPr>
        <w:pStyle w:val="7"/>
        <w:rPr>
          <w:color w:val="auto"/>
          <w:highlight w:val="none"/>
        </w:rPr>
      </w:pPr>
      <w:r>
        <w:rPr>
          <w:rFonts w:hint="eastAsia"/>
          <w:color w:val="auto"/>
          <w:highlight w:val="none"/>
        </w:rPr>
        <w:t>专业工程承包人与总承包人应在监理人的监督下就施工用水、用电的临时设施进行交</w:t>
      </w:r>
      <w:r>
        <w:rPr>
          <w:rFonts w:hint="eastAsia"/>
          <w:color w:val="auto"/>
          <w:spacing w:val="-7"/>
          <w:highlight w:val="none"/>
        </w:rPr>
        <w:t>接，并做好相关记录。总承包人应提供给专业工程承包人临时用水、用电接驳点，由</w:t>
      </w:r>
      <w:r>
        <w:rPr>
          <w:rFonts w:hint="eastAsia"/>
          <w:color w:val="auto"/>
          <w:spacing w:val="-3"/>
          <w:highlight w:val="none"/>
        </w:rPr>
        <w:t>此等接驳点再接出的临时用水电系统则由专业工程承包人自行负责，包括在不需要时</w:t>
      </w:r>
      <w:r>
        <w:rPr>
          <w:rFonts w:hint="eastAsia"/>
          <w:color w:val="auto"/>
          <w:highlight w:val="none"/>
        </w:rPr>
        <w:t>拆除及复原相关破损。</w:t>
      </w:r>
    </w:p>
    <w:p>
      <w:pPr>
        <w:pStyle w:val="5"/>
        <w:rPr>
          <w:color w:val="auto"/>
          <w:highlight w:val="none"/>
        </w:rPr>
      </w:pPr>
      <w:r>
        <w:rPr>
          <w:rFonts w:hint="eastAsia"/>
          <w:color w:val="auto"/>
          <w:highlight w:val="none"/>
        </w:rPr>
        <w:t>工作面移交</w:t>
      </w:r>
    </w:p>
    <w:p>
      <w:pPr>
        <w:pStyle w:val="34"/>
        <w:ind w:firstLine="480"/>
        <w:rPr>
          <w:color w:val="auto"/>
          <w:highlight w:val="none"/>
        </w:rPr>
      </w:pPr>
      <w:r>
        <w:rPr>
          <w:rFonts w:hint="eastAsia"/>
          <w:color w:val="auto"/>
          <w:highlight w:val="none"/>
        </w:rPr>
        <w:t>由总承包人向专业工程承包人移交的主要内容</w:t>
      </w:r>
      <w:r>
        <w:rPr>
          <w:color w:val="auto"/>
          <w:highlight w:val="none"/>
        </w:rPr>
        <w:t>:</w:t>
      </w:r>
    </w:p>
    <w:p>
      <w:pPr>
        <w:pStyle w:val="8"/>
        <w:numPr>
          <w:ilvl w:val="0"/>
          <w:numId w:val="43"/>
        </w:numPr>
        <w:rPr>
          <w:color w:val="auto"/>
          <w:highlight w:val="none"/>
        </w:rPr>
      </w:pPr>
      <w:r>
        <w:rPr>
          <w:rFonts w:hint="eastAsia"/>
          <w:color w:val="auto"/>
          <w:highlight w:val="none"/>
        </w:rPr>
        <w:t>基准点移交。</w:t>
      </w:r>
    </w:p>
    <w:p>
      <w:pPr>
        <w:pStyle w:val="8"/>
        <w:numPr>
          <w:ilvl w:val="0"/>
          <w:numId w:val="28"/>
        </w:numPr>
        <w:rPr>
          <w:color w:val="auto"/>
          <w:highlight w:val="none"/>
        </w:rPr>
      </w:pPr>
      <w:r>
        <w:rPr>
          <w:rFonts w:hint="eastAsia"/>
          <w:color w:val="auto"/>
          <w:highlight w:val="none"/>
        </w:rPr>
        <w:t>施工水电接驳点。</w:t>
      </w:r>
    </w:p>
    <w:p>
      <w:pPr>
        <w:pStyle w:val="8"/>
        <w:numPr>
          <w:ilvl w:val="0"/>
          <w:numId w:val="28"/>
        </w:numPr>
        <w:rPr>
          <w:color w:val="auto"/>
          <w:highlight w:val="none"/>
        </w:rPr>
      </w:pPr>
      <w:r>
        <w:rPr>
          <w:rFonts w:hint="eastAsia"/>
          <w:color w:val="auto"/>
          <w:highlight w:val="none"/>
        </w:rPr>
        <w:t>施工场地移交。</w:t>
      </w:r>
    </w:p>
    <w:p>
      <w:pPr>
        <w:pStyle w:val="8"/>
        <w:numPr>
          <w:ilvl w:val="0"/>
          <w:numId w:val="28"/>
        </w:numPr>
        <w:rPr>
          <w:color w:val="auto"/>
          <w:highlight w:val="none"/>
        </w:rPr>
      </w:pPr>
      <w:r>
        <w:rPr>
          <w:rFonts w:hint="eastAsia"/>
          <w:color w:val="auto"/>
          <w:highlight w:val="none"/>
        </w:rPr>
        <w:t>其他相关工程移交。</w:t>
      </w:r>
    </w:p>
    <w:p>
      <w:pPr>
        <w:pStyle w:val="4"/>
        <w:rPr>
          <w:color w:val="auto"/>
          <w:highlight w:val="none"/>
        </w:rPr>
      </w:pPr>
      <w:bookmarkStart w:id="39" w:name="_Toc122371832"/>
      <w:r>
        <w:rPr>
          <w:rFonts w:hint="eastAsia"/>
          <w:color w:val="auto"/>
          <w:highlight w:val="none"/>
        </w:rPr>
        <w:t>成品保护要求</w:t>
      </w:r>
      <w:bookmarkEnd w:id="39"/>
    </w:p>
    <w:p>
      <w:pPr>
        <w:pStyle w:val="5"/>
        <w:rPr>
          <w:color w:val="auto"/>
          <w:highlight w:val="none"/>
        </w:rPr>
      </w:pPr>
      <w:r>
        <w:rPr>
          <w:rFonts w:hint="eastAsia"/>
          <w:color w:val="auto"/>
          <w:highlight w:val="none"/>
        </w:rPr>
        <w:t>总则</w:t>
      </w:r>
    </w:p>
    <w:p>
      <w:pPr>
        <w:pStyle w:val="34"/>
        <w:ind w:firstLine="480"/>
        <w:rPr>
          <w:color w:val="auto"/>
          <w:highlight w:val="none"/>
        </w:rPr>
      </w:pPr>
      <w:r>
        <w:rPr>
          <w:rFonts w:hint="eastAsia"/>
          <w:color w:val="auto"/>
          <w:highlight w:val="none"/>
        </w:rPr>
        <w:t>工程竣工移交前，专业工程承包人负责其自身承建工程项目的成品保护责任。相关费用由专业工程承包人在投标报价中予以考虑。</w:t>
      </w:r>
    </w:p>
    <w:p>
      <w:pPr>
        <w:pStyle w:val="5"/>
        <w:rPr>
          <w:color w:val="auto"/>
          <w:highlight w:val="none"/>
        </w:rPr>
      </w:pPr>
      <w:r>
        <w:rPr>
          <w:rFonts w:hint="eastAsia"/>
          <w:color w:val="auto"/>
          <w:highlight w:val="none"/>
        </w:rPr>
        <w:t>责任划分</w:t>
      </w:r>
    </w:p>
    <w:p>
      <w:pPr>
        <w:pStyle w:val="7"/>
        <w:rPr>
          <w:color w:val="auto"/>
          <w:highlight w:val="none"/>
        </w:rPr>
      </w:pPr>
      <w:r>
        <w:rPr>
          <w:rFonts w:hint="eastAsia"/>
          <w:color w:val="auto"/>
          <w:highlight w:val="none"/>
        </w:rPr>
        <w:t>成品保护应遵循</w:t>
      </w:r>
      <w:r>
        <w:rPr>
          <w:color w:val="auto"/>
          <w:highlight w:val="none"/>
        </w:rPr>
        <w:t>“</w:t>
      </w:r>
      <w:r>
        <w:rPr>
          <w:rFonts w:hint="eastAsia"/>
          <w:color w:val="auto"/>
          <w:highlight w:val="none"/>
        </w:rPr>
        <w:t>谁生产，谁保护</w:t>
      </w:r>
      <w:r>
        <w:rPr>
          <w:color w:val="auto"/>
          <w:highlight w:val="none"/>
        </w:rPr>
        <w:t>”</w:t>
      </w:r>
      <w:r>
        <w:rPr>
          <w:rFonts w:hint="eastAsia"/>
          <w:color w:val="auto"/>
          <w:highlight w:val="none"/>
        </w:rPr>
        <w:t>、</w:t>
      </w:r>
      <w:r>
        <w:rPr>
          <w:color w:val="auto"/>
          <w:highlight w:val="none"/>
        </w:rPr>
        <w:t>“</w:t>
      </w:r>
      <w:r>
        <w:rPr>
          <w:rFonts w:hint="eastAsia"/>
          <w:color w:val="auto"/>
          <w:highlight w:val="none"/>
        </w:rPr>
        <w:t>谁破坏，谁负责</w:t>
      </w:r>
      <w:r>
        <w:rPr>
          <w:color w:val="auto"/>
          <w:highlight w:val="none"/>
        </w:rPr>
        <w:t>”</w:t>
      </w:r>
      <w:r>
        <w:rPr>
          <w:rFonts w:hint="eastAsia"/>
          <w:color w:val="auto"/>
          <w:highlight w:val="none"/>
        </w:rPr>
        <w:t>、</w:t>
      </w:r>
      <w:r>
        <w:rPr>
          <w:color w:val="auto"/>
          <w:highlight w:val="none"/>
        </w:rPr>
        <w:t>“</w:t>
      </w:r>
      <w:r>
        <w:rPr>
          <w:rFonts w:hint="eastAsia"/>
          <w:color w:val="auto"/>
          <w:highlight w:val="none"/>
        </w:rPr>
        <w:t>专业工程承包人监管</w:t>
      </w:r>
      <w:r>
        <w:rPr>
          <w:color w:val="auto"/>
          <w:highlight w:val="none"/>
        </w:rPr>
        <w:t>”</w:t>
      </w:r>
      <w:r>
        <w:rPr>
          <w:rFonts w:hint="eastAsia"/>
          <w:color w:val="auto"/>
          <w:highlight w:val="none"/>
        </w:rPr>
        <w:t>原则。</w:t>
      </w:r>
    </w:p>
    <w:p>
      <w:pPr>
        <w:pStyle w:val="7"/>
        <w:rPr>
          <w:color w:val="auto"/>
          <w:highlight w:val="none"/>
        </w:rPr>
      </w:pPr>
      <w:r>
        <w:rPr>
          <w:rFonts w:hint="eastAsia"/>
          <w:color w:val="auto"/>
          <w:highlight w:val="none"/>
        </w:rPr>
        <w:t>如果成品保护责任方未按要求完成成品保护工作，或未做到位而造成的成品破坏，无论是否有明确责任单位，所有损失由成品保护责任方承担。</w:t>
      </w:r>
    </w:p>
    <w:p>
      <w:pPr>
        <w:pStyle w:val="7"/>
        <w:rPr>
          <w:color w:val="auto"/>
          <w:highlight w:val="none"/>
        </w:rPr>
      </w:pPr>
      <w:r>
        <w:rPr>
          <w:rFonts w:hint="eastAsia"/>
          <w:color w:val="auto"/>
          <w:highlight w:val="none"/>
        </w:rPr>
        <w:t>如果成品保护责任方已按要求完成成品保护工作，其产品仍被破坏，若成品</w:t>
      </w:r>
      <w:r>
        <w:rPr>
          <w:rFonts w:hint="eastAsia"/>
          <w:color w:val="auto"/>
          <w:spacing w:val="-4"/>
          <w:highlight w:val="none"/>
        </w:rPr>
        <w:t>保护责任方有明确证据指证责任单位的，由责任单位赔付所有直接和间接损</w:t>
      </w:r>
      <w:r>
        <w:rPr>
          <w:rFonts w:hint="eastAsia"/>
          <w:color w:val="auto"/>
          <w:spacing w:val="-7"/>
          <w:highlight w:val="none"/>
        </w:rPr>
        <w:t>失。若不能明确责任单位，则由成品保护责任方负责。如各当事方对责任争</w:t>
      </w:r>
      <w:r>
        <w:rPr>
          <w:rFonts w:hint="eastAsia"/>
          <w:color w:val="auto"/>
          <w:highlight w:val="none"/>
        </w:rPr>
        <w:t>执不下，则由监理人鉴定责任，发包人给出结果。</w:t>
      </w:r>
    </w:p>
    <w:p>
      <w:pPr>
        <w:pStyle w:val="5"/>
        <w:rPr>
          <w:color w:val="auto"/>
          <w:highlight w:val="none"/>
        </w:rPr>
      </w:pPr>
      <w:r>
        <w:rPr>
          <w:rFonts w:hint="eastAsia"/>
          <w:color w:val="auto"/>
          <w:highlight w:val="none"/>
        </w:rPr>
        <w:t>实施细则</w:t>
      </w:r>
    </w:p>
    <w:p>
      <w:pPr>
        <w:pStyle w:val="7"/>
        <w:rPr>
          <w:color w:val="auto"/>
          <w:highlight w:val="none"/>
        </w:rPr>
      </w:pPr>
      <w:r>
        <w:rPr>
          <w:rFonts w:hint="eastAsia"/>
          <w:color w:val="auto"/>
          <w:highlight w:val="none"/>
        </w:rPr>
        <w:t>专业工程承包人须根据总承包人的成品保护制度和措施向总承包人提供详细的成品</w:t>
      </w:r>
      <w:r>
        <w:rPr>
          <w:rFonts w:hint="eastAsia"/>
          <w:color w:val="auto"/>
          <w:spacing w:val="-4"/>
          <w:highlight w:val="none"/>
        </w:rPr>
        <w:t>保护方案。必须包括相关工序的具体成品、半成品保护措施，并对其承建范</w:t>
      </w:r>
      <w:r>
        <w:rPr>
          <w:rFonts w:hint="eastAsia"/>
          <w:color w:val="auto"/>
          <w:highlight w:val="none"/>
        </w:rPr>
        <w:t>围内的工程项目的成品保护负责。</w:t>
      </w:r>
    </w:p>
    <w:p>
      <w:pPr>
        <w:pStyle w:val="7"/>
        <w:rPr>
          <w:color w:val="auto"/>
          <w:highlight w:val="none"/>
        </w:rPr>
      </w:pPr>
      <w:r>
        <w:rPr>
          <w:rFonts w:hint="eastAsia"/>
          <w:color w:val="auto"/>
          <w:highlight w:val="none"/>
        </w:rPr>
        <w:t>专业工程承包人现场成品保护有专人负责对整个施工现场巡视和检查，防止成品、半成品被破坏。</w:t>
      </w:r>
    </w:p>
    <w:p>
      <w:pPr>
        <w:pStyle w:val="7"/>
        <w:rPr>
          <w:color w:val="auto"/>
          <w:highlight w:val="none"/>
        </w:rPr>
      </w:pPr>
      <w:r>
        <w:rPr>
          <w:rFonts w:hint="eastAsia"/>
          <w:color w:val="auto"/>
          <w:highlight w:val="none"/>
        </w:rPr>
        <w:t>先施工的单位必须向后施工办理书面交接手续，双方签字认可，后施工单位应对施工区域内的所有成品、半成品履行保护的责任和义务。</w:t>
      </w:r>
    </w:p>
    <w:p>
      <w:pPr>
        <w:pStyle w:val="7"/>
        <w:rPr>
          <w:color w:val="auto"/>
          <w:highlight w:val="none"/>
        </w:rPr>
      </w:pPr>
      <w:r>
        <w:rPr>
          <w:rFonts w:hint="eastAsia"/>
          <w:color w:val="auto"/>
          <w:highlight w:val="none"/>
        </w:rPr>
        <w:t>施工过程中未按成品保护方案执行或成品保护执行严重不到位的，将处以处罚。</w:t>
      </w:r>
    </w:p>
    <w:p>
      <w:pPr>
        <w:pStyle w:val="7"/>
        <w:rPr>
          <w:color w:val="auto"/>
          <w:highlight w:val="none"/>
        </w:rPr>
      </w:pPr>
      <w:r>
        <w:rPr>
          <w:rFonts w:hint="eastAsia"/>
          <w:color w:val="auto"/>
          <w:highlight w:val="none"/>
        </w:rPr>
        <w:t>工程交接验收单、成品移交以监理人</w:t>
      </w:r>
      <w:r>
        <w:rPr>
          <w:color w:val="auto"/>
          <w:highlight w:val="none"/>
        </w:rPr>
        <w:t>/</w:t>
      </w:r>
      <w:r>
        <w:rPr>
          <w:rFonts w:hint="eastAsia"/>
          <w:color w:val="auto"/>
          <w:highlight w:val="none"/>
        </w:rPr>
        <w:t>发包人签字确认为准。无正式工程交接验收单，成品或半成品损坏丢失由专业工程承包人自行承担。</w:t>
      </w:r>
    </w:p>
    <w:p>
      <w:pPr>
        <w:pStyle w:val="4"/>
        <w:rPr>
          <w:color w:val="auto"/>
          <w:highlight w:val="none"/>
        </w:rPr>
      </w:pPr>
      <w:bookmarkStart w:id="40" w:name="_Toc122371833"/>
      <w:r>
        <w:rPr>
          <w:rFonts w:hint="eastAsia"/>
          <w:color w:val="auto"/>
          <w:highlight w:val="none"/>
        </w:rPr>
        <w:t>甲供物资管理要求</w:t>
      </w:r>
      <w:bookmarkEnd w:id="40"/>
    </w:p>
    <w:p>
      <w:pPr>
        <w:pStyle w:val="5"/>
        <w:rPr>
          <w:color w:val="auto"/>
          <w:highlight w:val="none"/>
        </w:rPr>
      </w:pPr>
      <w:r>
        <w:rPr>
          <w:rFonts w:hint="eastAsia"/>
          <w:color w:val="auto"/>
          <w:highlight w:val="none"/>
        </w:rPr>
        <w:t>甲供物资</w:t>
      </w:r>
    </w:p>
    <w:p>
      <w:pPr>
        <w:pStyle w:val="34"/>
        <w:ind w:firstLine="480"/>
        <w:rPr>
          <w:color w:val="auto"/>
          <w:highlight w:val="none"/>
        </w:rPr>
      </w:pPr>
      <w:r>
        <w:rPr>
          <w:rFonts w:hint="eastAsia"/>
          <w:color w:val="auto"/>
          <w:highlight w:val="none"/>
        </w:rPr>
        <w:t>发包人招标，与供应商签订供货合同，发包人直接付款。</w:t>
      </w:r>
    </w:p>
    <w:p>
      <w:pPr>
        <w:pStyle w:val="5"/>
        <w:rPr>
          <w:color w:val="auto"/>
          <w:highlight w:val="none"/>
        </w:rPr>
      </w:pPr>
      <w:r>
        <w:rPr>
          <w:rFonts w:hint="eastAsia"/>
          <w:color w:val="auto"/>
          <w:highlight w:val="none"/>
        </w:rPr>
        <w:t>供应计划管理流程</w:t>
      </w:r>
    </w:p>
    <w:p>
      <w:pPr>
        <w:pStyle w:val="34"/>
        <w:ind w:firstLine="480"/>
        <w:rPr>
          <w:color w:val="auto"/>
          <w:highlight w:val="none"/>
        </w:rPr>
      </w:pPr>
      <w:r>
        <w:rPr>
          <w:rFonts w:hint="eastAsia"/>
          <w:color w:val="auto"/>
          <w:highlight w:val="none"/>
        </w:rPr>
        <w:t>专业工程承包人编制并提交《甲供物资供应计划表》，报总承包人，再报监理人审核确</w:t>
      </w:r>
      <w:r>
        <w:rPr>
          <w:rFonts w:hint="eastAsia"/>
          <w:color w:val="auto"/>
          <w:spacing w:val="-7"/>
          <w:highlight w:val="none"/>
        </w:rPr>
        <w:t>认→发包人审核确认→发包人核对供货合约，确认→发包人下发采购指令→发</w:t>
      </w:r>
      <w:r>
        <w:rPr>
          <w:rFonts w:hint="eastAsia"/>
          <w:color w:val="auto"/>
          <w:highlight w:val="none"/>
        </w:rPr>
        <w:t>包人督促供应商按要求及时、保质、足量交货，对供应结果进行跟踪。</w:t>
      </w:r>
    </w:p>
    <w:p>
      <w:pPr>
        <w:pStyle w:val="5"/>
        <w:rPr>
          <w:color w:val="auto"/>
          <w:highlight w:val="none"/>
        </w:rPr>
      </w:pPr>
      <w:r>
        <w:rPr>
          <w:rFonts w:hint="eastAsia"/>
          <w:color w:val="auto"/>
          <w:highlight w:val="none"/>
        </w:rPr>
        <w:t>甲供物资采购供应计划编制与排产</w:t>
      </w:r>
    </w:p>
    <w:p>
      <w:pPr>
        <w:pStyle w:val="7"/>
        <w:rPr>
          <w:color w:val="auto"/>
          <w:highlight w:val="none"/>
        </w:rPr>
      </w:pPr>
      <w:r>
        <w:rPr>
          <w:rFonts w:hint="eastAsia"/>
          <w:color w:val="auto"/>
          <w:spacing w:val="-13"/>
          <w:highlight w:val="none"/>
        </w:rPr>
        <w:t>专业工程承包人依据合同约定，根据已审批的工程总施工进度计划，考虑招标、排产、</w:t>
      </w:r>
      <w:r>
        <w:rPr>
          <w:rFonts w:hint="eastAsia"/>
          <w:color w:val="auto"/>
          <w:highlight w:val="none"/>
        </w:rPr>
        <w:t>加工、运输、验收等因素，提前编制合理的《甲供物资进场计划》并报总承包人、监理人、发包人。</w:t>
      </w:r>
    </w:p>
    <w:p>
      <w:pPr>
        <w:pStyle w:val="7"/>
        <w:rPr>
          <w:color w:val="auto"/>
          <w:highlight w:val="none"/>
        </w:rPr>
      </w:pPr>
      <w:r>
        <w:rPr>
          <w:rFonts w:hint="eastAsia"/>
          <w:color w:val="auto"/>
          <w:highlight w:val="none"/>
        </w:rPr>
        <w:t>发包人根据每种甲供物资现场使用时间及各自的制造周期，适时向供应商发出甲供物资排产通知单。</w:t>
      </w:r>
    </w:p>
    <w:p>
      <w:pPr>
        <w:pStyle w:val="5"/>
        <w:rPr>
          <w:color w:val="auto"/>
          <w:highlight w:val="none"/>
        </w:rPr>
      </w:pPr>
      <w:r>
        <w:rPr>
          <w:rFonts w:hint="eastAsia"/>
          <w:color w:val="auto"/>
          <w:highlight w:val="none"/>
        </w:rPr>
        <w:t>甲供物资管理</w:t>
      </w:r>
    </w:p>
    <w:p>
      <w:pPr>
        <w:pStyle w:val="7"/>
        <w:rPr>
          <w:color w:val="auto"/>
          <w:highlight w:val="none"/>
        </w:rPr>
      </w:pPr>
      <w:r>
        <w:rPr>
          <w:rFonts w:hint="eastAsia"/>
          <w:color w:val="auto"/>
          <w:highlight w:val="none"/>
        </w:rPr>
        <w:t>首批甲供物资到场</w:t>
      </w:r>
      <w:r>
        <w:rPr>
          <w:color w:val="auto"/>
          <w:highlight w:val="none"/>
        </w:rPr>
        <w:t>:</w:t>
      </w:r>
      <w:r>
        <w:rPr>
          <w:rFonts w:hint="eastAsia"/>
          <w:color w:val="auto"/>
          <w:highlight w:val="none"/>
        </w:rPr>
        <w:t>发包人在接到通知后组织监理人、总承包人、专业工程承包人等</w:t>
      </w:r>
      <w:r>
        <w:rPr>
          <w:rFonts w:hint="eastAsia"/>
          <w:color w:val="auto"/>
          <w:spacing w:val="-8"/>
          <w:highlight w:val="none"/>
        </w:rPr>
        <w:t>参与到货验收。专业工程承包人填报《工程材料、构配件、设备报审表》，并报监理</w:t>
      </w:r>
      <w:r>
        <w:rPr>
          <w:rFonts w:hint="eastAsia"/>
          <w:color w:val="auto"/>
          <w:highlight w:val="none"/>
        </w:rPr>
        <w:t>人。</w:t>
      </w:r>
    </w:p>
    <w:p>
      <w:pPr>
        <w:pStyle w:val="7"/>
        <w:rPr>
          <w:color w:val="auto"/>
          <w:highlight w:val="none"/>
        </w:rPr>
      </w:pPr>
      <w:r>
        <w:rPr>
          <w:rFonts w:hint="eastAsia"/>
          <w:color w:val="auto"/>
          <w:highlight w:val="none"/>
        </w:rPr>
        <w:t>以后批次物资进场</w:t>
      </w:r>
      <w:r>
        <w:rPr>
          <w:color w:val="auto"/>
          <w:highlight w:val="none"/>
        </w:rPr>
        <w:t>:</w:t>
      </w:r>
      <w:r>
        <w:rPr>
          <w:rFonts w:hint="eastAsia"/>
          <w:color w:val="auto"/>
          <w:highlight w:val="none"/>
        </w:rPr>
        <w:t>由监理人组织供货商、专业工程承包人、总承包人、发包人等相关单位共同验收。</w:t>
      </w:r>
    </w:p>
    <w:p>
      <w:pPr>
        <w:pStyle w:val="7"/>
        <w:rPr>
          <w:color w:val="auto"/>
          <w:highlight w:val="none"/>
        </w:rPr>
      </w:pPr>
      <w:r>
        <w:rPr>
          <w:rFonts w:hint="eastAsia"/>
          <w:color w:val="auto"/>
          <w:highlight w:val="none"/>
        </w:rPr>
        <w:t>参加验收人员应按供货合同以及供货样板核验材料设备质保文件、物资质量、型号、规格、观感及数量等。</w:t>
      </w:r>
    </w:p>
    <w:p>
      <w:pPr>
        <w:pStyle w:val="7"/>
        <w:rPr>
          <w:color w:val="auto"/>
          <w:highlight w:val="none"/>
        </w:rPr>
      </w:pPr>
      <w:r>
        <w:rPr>
          <w:rFonts w:hint="eastAsia"/>
          <w:color w:val="auto"/>
          <w:highlight w:val="none"/>
        </w:rPr>
        <w:t>各方检查验收结束后，应填写《甲供物资进场验收单》一式四份，各方签字并注明意见及日期，有不合格材料设备需退场的应注明。</w:t>
      </w:r>
    </w:p>
    <w:p>
      <w:pPr>
        <w:pStyle w:val="7"/>
        <w:rPr>
          <w:color w:val="auto"/>
          <w:highlight w:val="none"/>
        </w:rPr>
      </w:pPr>
      <w:r>
        <w:rPr>
          <w:rFonts w:hint="eastAsia"/>
          <w:color w:val="auto"/>
          <w:highlight w:val="none"/>
        </w:rPr>
        <w:t>若甲供物资需现场见证送检的，由监理人见证取样，由相关施工安装单位送检，检验所需费用按合同有关规定执行，检验所需时间应纳入计划。</w:t>
      </w:r>
    </w:p>
    <w:p>
      <w:pPr>
        <w:pStyle w:val="7"/>
        <w:rPr>
          <w:color w:val="auto"/>
          <w:highlight w:val="none"/>
        </w:rPr>
      </w:pPr>
      <w:r>
        <w:rPr>
          <w:rFonts w:hint="eastAsia"/>
          <w:color w:val="auto"/>
          <w:highlight w:val="none"/>
        </w:rPr>
        <w:t>对重要物资，必要时，发包人组织监理人、总承包人及专业工程承包人相关人员到工厂进行驻场监造，费用由各自单位承担。</w:t>
      </w:r>
    </w:p>
    <w:p>
      <w:pPr>
        <w:pStyle w:val="7"/>
        <w:rPr>
          <w:color w:val="auto"/>
          <w:highlight w:val="none"/>
        </w:rPr>
      </w:pPr>
      <w:r>
        <w:rPr>
          <w:rFonts w:hint="eastAsia"/>
          <w:color w:val="auto"/>
          <w:highlight w:val="none"/>
        </w:rPr>
        <w:t>专业工程承包人应根据《甲供物资进场验收单》登记《甲供物资验收入库台帐》，每月统计一次报送发包人。</w:t>
      </w:r>
    </w:p>
    <w:p>
      <w:pPr>
        <w:pStyle w:val="7"/>
        <w:rPr>
          <w:color w:val="auto"/>
          <w:highlight w:val="none"/>
        </w:rPr>
      </w:pPr>
      <w:r>
        <w:rPr>
          <w:rFonts w:hint="eastAsia"/>
          <w:color w:val="auto"/>
          <w:spacing w:val="3"/>
          <w:highlight w:val="none"/>
        </w:rPr>
        <w:t>所有发包人采购供应的物资由供应商运送到甲方施工工地现场并卸货至甲</w:t>
      </w:r>
      <w:r>
        <w:rPr>
          <w:rFonts w:hint="eastAsia"/>
          <w:color w:val="auto"/>
          <w:highlight w:val="none"/>
        </w:rPr>
        <w:t>方指定地点（汽车可到达区域</w:t>
      </w:r>
      <w:r>
        <w:rPr>
          <w:rFonts w:hint="eastAsia"/>
          <w:color w:val="auto"/>
          <w:spacing w:val="-12"/>
          <w:highlight w:val="none"/>
        </w:rPr>
        <w:t>）</w:t>
      </w:r>
      <w:r>
        <w:rPr>
          <w:rFonts w:hint="eastAsia"/>
          <w:color w:val="auto"/>
          <w:highlight w:val="none"/>
        </w:rPr>
        <w:t>。到场后，由专业工程承包人负责上述材料设备的二次运输和搬运、接收、验收、保管等管理工作。若因专业工程承包人管理不当造成的损失，专业工程承包人负责补偿。</w:t>
      </w:r>
    </w:p>
    <w:p>
      <w:pPr>
        <w:pStyle w:val="4"/>
        <w:rPr>
          <w:color w:val="auto"/>
          <w:highlight w:val="none"/>
        </w:rPr>
      </w:pPr>
      <w:bookmarkStart w:id="41" w:name="_Toc122371834"/>
      <w:r>
        <w:rPr>
          <w:rFonts w:hint="eastAsia"/>
          <w:color w:val="auto"/>
          <w:highlight w:val="none"/>
        </w:rPr>
        <w:t>乙供物资管理要求</w:t>
      </w:r>
      <w:bookmarkEnd w:id="41"/>
    </w:p>
    <w:p>
      <w:pPr>
        <w:pStyle w:val="5"/>
        <w:rPr>
          <w:color w:val="auto"/>
          <w:highlight w:val="none"/>
        </w:rPr>
      </w:pPr>
      <w:r>
        <w:rPr>
          <w:rFonts w:hint="eastAsia"/>
          <w:color w:val="auto"/>
          <w:highlight w:val="none"/>
        </w:rPr>
        <w:t>乙供物资分类</w:t>
      </w:r>
    </w:p>
    <w:p>
      <w:pPr>
        <w:pStyle w:val="7"/>
        <w:rPr>
          <w:color w:val="auto"/>
          <w:highlight w:val="none"/>
        </w:rPr>
      </w:pPr>
      <w:r>
        <w:rPr>
          <w:rFonts w:hint="eastAsia"/>
          <w:color w:val="auto"/>
          <w:highlight w:val="none"/>
        </w:rPr>
        <w:t>甲限乙供</w:t>
      </w:r>
      <w:r>
        <w:rPr>
          <w:color w:val="auto"/>
          <w:highlight w:val="none"/>
        </w:rPr>
        <w:t>:</w:t>
      </w:r>
      <w:r>
        <w:rPr>
          <w:rFonts w:hint="eastAsia"/>
          <w:color w:val="auto"/>
          <w:highlight w:val="none"/>
        </w:rPr>
        <w:t>发包人限定品牌范围，由专业工程承包人在此范围内选择，专业工程承包人与供应商签订合同并付款。</w:t>
      </w:r>
    </w:p>
    <w:p>
      <w:pPr>
        <w:pStyle w:val="7"/>
        <w:rPr>
          <w:color w:val="auto"/>
          <w:highlight w:val="none"/>
        </w:rPr>
      </w:pPr>
      <w:r>
        <w:rPr>
          <w:rFonts w:hint="eastAsia"/>
          <w:color w:val="auto"/>
          <w:highlight w:val="none"/>
        </w:rPr>
        <w:t>乙方供应</w:t>
      </w:r>
      <w:r>
        <w:rPr>
          <w:color w:val="auto"/>
          <w:highlight w:val="none"/>
        </w:rPr>
        <w:t>:</w:t>
      </w:r>
      <w:r>
        <w:rPr>
          <w:rFonts w:hint="eastAsia"/>
          <w:color w:val="auto"/>
          <w:highlight w:val="none"/>
        </w:rPr>
        <w:t>发包人不限定品牌范围，专业工程承包人自行与供应商签订合同并付款。</w:t>
      </w:r>
    </w:p>
    <w:p>
      <w:pPr>
        <w:pStyle w:val="5"/>
        <w:rPr>
          <w:color w:val="auto"/>
          <w:highlight w:val="none"/>
        </w:rPr>
      </w:pPr>
      <w:r>
        <w:rPr>
          <w:rFonts w:hint="eastAsia"/>
          <w:color w:val="auto"/>
          <w:highlight w:val="none"/>
        </w:rPr>
        <w:t>乙供物资管理</w:t>
      </w:r>
    </w:p>
    <w:p>
      <w:pPr>
        <w:pStyle w:val="7"/>
        <w:rPr>
          <w:color w:val="auto"/>
          <w:highlight w:val="none"/>
        </w:rPr>
      </w:pPr>
      <w:r>
        <w:rPr>
          <w:rFonts w:hint="eastAsia"/>
          <w:color w:val="auto"/>
          <w:highlight w:val="none"/>
        </w:rPr>
        <w:t>甲限乙供物资样板：专业工程承包人应根据合约规定的品牌、规格、型号等要求提前组织，承包人应在进场后</w:t>
      </w:r>
      <w:r>
        <w:rPr>
          <w:color w:val="auto"/>
          <w:highlight w:val="none"/>
        </w:rPr>
        <w:t>1</w:t>
      </w:r>
      <w:r>
        <w:rPr>
          <w:rFonts w:hint="eastAsia"/>
          <w:color w:val="auto"/>
          <w:highlight w:val="none"/>
        </w:rPr>
        <w:t>个月内（涉及承包人分包的分部分项工程需在分包人进场后</w:t>
      </w:r>
      <w:r>
        <w:rPr>
          <w:color w:val="auto"/>
          <w:highlight w:val="none"/>
        </w:rPr>
        <w:t>1</w:t>
      </w:r>
      <w:r>
        <w:rPr>
          <w:rFonts w:hint="eastAsia"/>
          <w:color w:val="auto"/>
          <w:highlight w:val="none"/>
        </w:rPr>
        <w:t>个月内，且需在相关工程施工前</w:t>
      </w:r>
      <w:r>
        <w:rPr>
          <w:color w:val="auto"/>
          <w:highlight w:val="none"/>
        </w:rPr>
        <w:t>1</w:t>
      </w:r>
      <w:r>
        <w:rPr>
          <w:rFonts w:hint="eastAsia"/>
          <w:color w:val="auto"/>
          <w:highlight w:val="none"/>
        </w:rPr>
        <w:t>个月）提供需使用物资的品牌、样板实物、技术规格说明书以及有效的生产企业资信证明文件。经发包人组织样板验收程序，验收确认后，专业工程承包人需提供一式三份作为封样用，分别存放在发包人、监理人及专业工程承包人处；样板验收未通过的，专业工程承包人必须另行组织直到通过为止。</w:t>
      </w:r>
    </w:p>
    <w:p>
      <w:pPr>
        <w:pStyle w:val="7"/>
        <w:rPr>
          <w:color w:val="auto"/>
          <w:highlight w:val="none"/>
        </w:rPr>
      </w:pPr>
      <w:r>
        <w:rPr>
          <w:rFonts w:hint="eastAsia"/>
          <w:color w:val="auto"/>
          <w:spacing w:val="-6"/>
          <w:highlight w:val="none"/>
        </w:rPr>
        <w:t>乙方供应物资，专业工程承包人需要提前提供技术方案，明确所用材料的品牌（至少三家），需要</w:t>
      </w:r>
      <w:r>
        <w:rPr>
          <w:rFonts w:hint="eastAsia"/>
          <w:color w:val="auto"/>
          <w:spacing w:val="-8"/>
          <w:highlight w:val="none"/>
        </w:rPr>
        <w:t>提供实物样板和有效的企业资信证明文件报总承包人、监理人、发包人审批，</w:t>
      </w:r>
      <w:r>
        <w:rPr>
          <w:color w:val="auto"/>
          <w:spacing w:val="-8"/>
          <w:highlight w:val="none"/>
        </w:rPr>
        <w:t xml:space="preserve"> </w:t>
      </w:r>
      <w:r>
        <w:rPr>
          <w:rFonts w:hint="eastAsia"/>
          <w:color w:val="auto"/>
          <w:highlight w:val="none"/>
        </w:rPr>
        <w:t>需要组织考察的提前组织考察，考察合格后，专业工程承包人必须填报《非甲限乙供材料设备品牌报审表》。</w:t>
      </w:r>
    </w:p>
    <w:p>
      <w:pPr>
        <w:pStyle w:val="7"/>
        <w:rPr>
          <w:color w:val="auto"/>
          <w:highlight w:val="none"/>
        </w:rPr>
      </w:pPr>
      <w:r>
        <w:rPr>
          <w:rFonts w:hint="eastAsia"/>
          <w:color w:val="auto"/>
          <w:spacing w:val="-2"/>
          <w:highlight w:val="none"/>
        </w:rPr>
        <w:t>发包人方根据考察结果及合同约定审批《</w:t>
      </w:r>
      <w:r>
        <w:rPr>
          <w:rFonts w:hint="eastAsia"/>
          <w:color w:val="auto"/>
          <w:highlight w:val="none"/>
        </w:rPr>
        <w:t>甲限乙供材料设备品牌报审表》、《非甲限乙供材料设备品牌报审表》。</w:t>
      </w:r>
    </w:p>
    <w:p>
      <w:pPr>
        <w:pStyle w:val="7"/>
        <w:rPr>
          <w:color w:val="auto"/>
          <w:highlight w:val="none"/>
        </w:rPr>
      </w:pPr>
      <w:r>
        <w:rPr>
          <w:rFonts w:hint="eastAsia"/>
          <w:color w:val="auto"/>
          <w:highlight w:val="none"/>
        </w:rPr>
        <w:t>甲限乙供物资品牌一经审批后，原则上不允许更换。若由于特殊原因需更换，如在甲限品牌范围内更换，专业工程承包人需报监理人及发包人审批后，方可采购；如在甲限品牌范围外更换，专业工程承包人需书面说明更换原因，并对拟换品牌组织考察，经发包人及监理人审批后，方可采购。</w:t>
      </w:r>
    </w:p>
    <w:p>
      <w:pPr>
        <w:pStyle w:val="7"/>
        <w:rPr>
          <w:color w:val="auto"/>
          <w:highlight w:val="none"/>
        </w:rPr>
      </w:pPr>
      <w:r>
        <w:rPr>
          <w:rFonts w:hint="eastAsia"/>
          <w:color w:val="auto"/>
          <w:highlight w:val="none"/>
        </w:rPr>
        <w:t>专业工程承包人在物资进场前通知监理人，并填报《工程材料、构配件、设备报审表》。</w:t>
      </w:r>
    </w:p>
    <w:p>
      <w:pPr>
        <w:pStyle w:val="7"/>
        <w:rPr>
          <w:color w:val="auto"/>
          <w:highlight w:val="none"/>
        </w:rPr>
      </w:pPr>
      <w:r>
        <w:rPr>
          <w:rFonts w:hint="eastAsia"/>
          <w:color w:val="auto"/>
          <w:spacing w:val="3"/>
          <w:highlight w:val="none"/>
        </w:rPr>
        <w:t>监理人组织参与验收人员根据随货同行资料按照合同约定和相关标准对比</w:t>
      </w:r>
      <w:r>
        <w:rPr>
          <w:rFonts w:hint="eastAsia"/>
          <w:color w:val="auto"/>
          <w:highlight w:val="none"/>
        </w:rPr>
        <w:t>封存样板进行验收，需要进行复试、检验和试验的材料设备，由监理人、发</w:t>
      </w:r>
      <w:r>
        <w:rPr>
          <w:rFonts w:hint="eastAsia"/>
          <w:color w:val="auto"/>
          <w:spacing w:val="-6"/>
          <w:highlight w:val="none"/>
        </w:rPr>
        <w:t>包人现场见证取样送检，待复试、检验和试验完成后连同检验合格报告作为</w:t>
      </w:r>
      <w:r>
        <w:rPr>
          <w:rFonts w:hint="eastAsia"/>
          <w:color w:val="auto"/>
          <w:highlight w:val="none"/>
        </w:rPr>
        <w:t>完整验收资料附件。</w:t>
      </w:r>
    </w:p>
    <w:p>
      <w:pPr>
        <w:pStyle w:val="7"/>
        <w:rPr>
          <w:color w:val="auto"/>
          <w:highlight w:val="none"/>
        </w:rPr>
      </w:pPr>
      <w:r>
        <w:rPr>
          <w:rFonts w:hint="eastAsia"/>
          <w:color w:val="auto"/>
          <w:highlight w:val="none"/>
        </w:rPr>
        <w:t>所有乙供物资进场前须报监理人验收，监理人出具验收意见并报送发包人备案。</w:t>
      </w:r>
    </w:p>
    <w:p>
      <w:pPr>
        <w:pStyle w:val="7"/>
        <w:rPr>
          <w:color w:val="auto"/>
          <w:highlight w:val="none"/>
        </w:rPr>
      </w:pPr>
      <w:r>
        <w:rPr>
          <w:rFonts w:hint="eastAsia"/>
          <w:color w:val="auto"/>
          <w:highlight w:val="none"/>
        </w:rPr>
        <w:t>甲限乙供材料设备参考品牌清单及管理要求详见第</w:t>
      </w:r>
      <w:r>
        <w:rPr>
          <w:color w:val="auto"/>
          <w:highlight w:val="none"/>
        </w:rPr>
        <w:t xml:space="preserve"> 10 </w:t>
      </w:r>
      <w:r>
        <w:rPr>
          <w:rFonts w:hint="eastAsia"/>
          <w:color w:val="auto"/>
          <w:highlight w:val="none"/>
        </w:rPr>
        <w:t>章及附件。</w:t>
      </w:r>
    </w:p>
    <w:p>
      <w:pPr>
        <w:pStyle w:val="4"/>
        <w:rPr>
          <w:color w:val="auto"/>
          <w:highlight w:val="none"/>
        </w:rPr>
      </w:pPr>
      <w:bookmarkStart w:id="42" w:name="_Toc122371835"/>
      <w:r>
        <w:rPr>
          <w:rFonts w:hint="eastAsia"/>
          <w:color w:val="auto"/>
          <w:highlight w:val="none"/>
        </w:rPr>
        <w:t>劳务队伍选择要求</w:t>
      </w:r>
      <w:bookmarkEnd w:id="42"/>
    </w:p>
    <w:p>
      <w:pPr>
        <w:pStyle w:val="5"/>
        <w:rPr>
          <w:color w:val="auto"/>
          <w:highlight w:val="none"/>
        </w:rPr>
      </w:pPr>
      <w:r>
        <w:rPr>
          <w:rFonts w:hint="eastAsia"/>
          <w:color w:val="auto"/>
          <w:highlight w:val="none"/>
        </w:rPr>
        <w:t>劳务队伍的选定</w:t>
      </w:r>
    </w:p>
    <w:p>
      <w:pPr>
        <w:pStyle w:val="7"/>
        <w:rPr>
          <w:color w:val="auto"/>
          <w:highlight w:val="none"/>
        </w:rPr>
      </w:pPr>
      <w:r>
        <w:rPr>
          <w:rFonts w:hint="eastAsia"/>
          <w:color w:val="auto"/>
          <w:highlight w:val="none"/>
        </w:rPr>
        <w:t>具有劳务分包资质，不存在被停止招投标、安全生产许可证被暂扣或吊销等情况，已完成项目所在地备案手续。</w:t>
      </w:r>
    </w:p>
    <w:p>
      <w:pPr>
        <w:pStyle w:val="7"/>
        <w:rPr>
          <w:color w:val="auto"/>
          <w:highlight w:val="none"/>
        </w:rPr>
      </w:pPr>
      <w:r>
        <w:rPr>
          <w:rFonts w:hint="eastAsia"/>
          <w:color w:val="auto"/>
          <w:highlight w:val="none"/>
        </w:rPr>
        <w:t>具备与招标项目类似的项目工程经验。</w:t>
      </w:r>
    </w:p>
    <w:p>
      <w:pPr>
        <w:pStyle w:val="7"/>
        <w:rPr>
          <w:color w:val="auto"/>
          <w:highlight w:val="none"/>
        </w:rPr>
      </w:pPr>
      <w:r>
        <w:rPr>
          <w:rFonts w:hint="eastAsia"/>
          <w:color w:val="auto"/>
          <w:highlight w:val="none"/>
        </w:rPr>
        <w:t>近</w:t>
      </w:r>
      <w:r>
        <w:rPr>
          <w:color w:val="auto"/>
          <w:highlight w:val="none"/>
        </w:rPr>
        <w:t>3</w:t>
      </w:r>
      <w:r>
        <w:rPr>
          <w:rFonts w:hint="eastAsia"/>
          <w:color w:val="auto"/>
          <w:highlight w:val="none"/>
        </w:rPr>
        <w:t>年内与专业工程承包人无劳务纠纷、群众事件、集体上访事件。</w:t>
      </w:r>
    </w:p>
    <w:p>
      <w:pPr>
        <w:pStyle w:val="7"/>
        <w:rPr>
          <w:color w:val="auto"/>
          <w:highlight w:val="none"/>
        </w:rPr>
      </w:pPr>
      <w:r>
        <w:rPr>
          <w:rFonts w:hint="eastAsia"/>
          <w:color w:val="auto"/>
          <w:highlight w:val="none"/>
        </w:rPr>
        <w:t>不得使用建筑业信用警戒提示企业名单、个人名单内的劳务企业及施工队长。</w:t>
      </w:r>
    </w:p>
    <w:p>
      <w:pPr>
        <w:pStyle w:val="5"/>
        <w:rPr>
          <w:color w:val="auto"/>
          <w:highlight w:val="none"/>
        </w:rPr>
      </w:pPr>
      <w:r>
        <w:rPr>
          <w:rFonts w:hint="eastAsia"/>
          <w:color w:val="auto"/>
          <w:highlight w:val="none"/>
        </w:rPr>
        <w:t>劳务队伍的管理要求</w:t>
      </w:r>
    </w:p>
    <w:p>
      <w:pPr>
        <w:pStyle w:val="7"/>
        <w:rPr>
          <w:color w:val="auto"/>
          <w:highlight w:val="none"/>
        </w:rPr>
      </w:pPr>
      <w:r>
        <w:rPr>
          <w:rFonts w:hint="eastAsia"/>
          <w:color w:val="auto"/>
          <w:highlight w:val="none"/>
        </w:rPr>
        <w:t>劳务分包的组织机构健全，有完整的管理体系。</w:t>
      </w:r>
    </w:p>
    <w:p>
      <w:pPr>
        <w:pStyle w:val="7"/>
        <w:rPr>
          <w:color w:val="auto"/>
          <w:highlight w:val="none"/>
        </w:rPr>
      </w:pPr>
      <w:r>
        <w:rPr>
          <w:rFonts w:hint="eastAsia"/>
          <w:color w:val="auto"/>
          <w:highlight w:val="none"/>
        </w:rPr>
        <w:t>劳务分包的项目人员架构齐整，并有相应的资格证书。</w:t>
      </w:r>
    </w:p>
    <w:p>
      <w:pPr>
        <w:pStyle w:val="7"/>
        <w:rPr>
          <w:color w:val="auto"/>
          <w:highlight w:val="none"/>
        </w:rPr>
      </w:pPr>
      <w:r>
        <w:rPr>
          <w:rFonts w:hint="eastAsia"/>
          <w:color w:val="auto"/>
          <w:highlight w:val="none"/>
        </w:rPr>
        <w:t>专业工程承包人需要向发包人提交与劳务公司的具体承包方式及材料设备界面</w:t>
      </w:r>
      <w:r>
        <w:rPr>
          <w:rFonts w:hint="eastAsia"/>
          <w:color w:val="auto"/>
          <w:spacing w:val="-18"/>
          <w:highlight w:val="none"/>
        </w:rPr>
        <w:t>划</w:t>
      </w:r>
      <w:r>
        <w:rPr>
          <w:rFonts w:hint="eastAsia"/>
          <w:color w:val="auto"/>
          <w:highlight w:val="none"/>
        </w:rPr>
        <w:t>分等详细信息。</w:t>
      </w:r>
    </w:p>
    <w:p>
      <w:pPr>
        <w:pStyle w:val="7"/>
        <w:rPr>
          <w:color w:val="auto"/>
          <w:highlight w:val="none"/>
        </w:rPr>
      </w:pPr>
      <w:r>
        <w:rPr>
          <w:rFonts w:hint="eastAsia"/>
          <w:color w:val="auto"/>
          <w:highlight w:val="none"/>
        </w:rPr>
        <w:t>劳务分包的机器设备应在专业工程承包人的指导和检查下使用，统一管理。</w:t>
      </w:r>
    </w:p>
    <w:p>
      <w:pPr>
        <w:pStyle w:val="5"/>
        <w:rPr>
          <w:color w:val="auto"/>
          <w:highlight w:val="none"/>
        </w:rPr>
      </w:pPr>
      <w:r>
        <w:rPr>
          <w:rFonts w:hint="eastAsia"/>
          <w:color w:val="auto"/>
          <w:highlight w:val="none"/>
        </w:rPr>
        <w:t>劳务队伍的选择和考察</w:t>
      </w:r>
    </w:p>
    <w:p>
      <w:pPr>
        <w:pStyle w:val="7"/>
        <w:rPr>
          <w:color w:val="auto"/>
          <w:highlight w:val="none"/>
        </w:rPr>
      </w:pPr>
      <w:r>
        <w:rPr>
          <w:rFonts w:hint="eastAsia"/>
          <w:color w:val="auto"/>
          <w:highlight w:val="none"/>
        </w:rPr>
        <w:t>专业工程承包人对劳务分包的工程业绩资料（包含承包项目参加第三方检查成绩等</w:t>
      </w:r>
      <w:r>
        <w:rPr>
          <w:rFonts w:hint="eastAsia"/>
          <w:color w:val="auto"/>
          <w:spacing w:val="-120"/>
          <w:highlight w:val="none"/>
        </w:rPr>
        <w:t>）</w:t>
      </w:r>
      <w:r>
        <w:rPr>
          <w:rFonts w:hint="eastAsia"/>
          <w:color w:val="auto"/>
          <w:spacing w:val="-16"/>
          <w:highlight w:val="none"/>
        </w:rPr>
        <w:t>、</w:t>
      </w:r>
      <w:r>
        <w:rPr>
          <w:rFonts w:hint="eastAsia"/>
          <w:color w:val="auto"/>
          <w:highlight w:val="none"/>
        </w:rPr>
        <w:t>资质证书、安全资格认可证、特种作业许可证等资质证明及内部管理制度文件作资格审查并报送监理人与发包人。</w:t>
      </w:r>
    </w:p>
    <w:p>
      <w:pPr>
        <w:pStyle w:val="7"/>
        <w:rPr>
          <w:color w:val="auto"/>
          <w:highlight w:val="none"/>
        </w:rPr>
      </w:pPr>
      <w:r>
        <w:rPr>
          <w:rFonts w:hint="eastAsia"/>
          <w:color w:val="auto"/>
          <w:spacing w:val="-10"/>
          <w:highlight w:val="none"/>
        </w:rPr>
        <w:t>监理人、发包人参与专业工程承包人对劳务分包的考察，对拟选用的劳务分包考察其</w:t>
      </w:r>
      <w:r>
        <w:rPr>
          <w:rFonts w:hint="eastAsia"/>
          <w:color w:val="auto"/>
          <w:highlight w:val="none"/>
        </w:rPr>
        <w:t>在建项目。考察结果作为专业工程承包人劳务分包进场条件，发包人具有一票否决权。</w:t>
      </w:r>
    </w:p>
    <w:p>
      <w:pPr>
        <w:pStyle w:val="5"/>
        <w:rPr>
          <w:color w:val="auto"/>
          <w:highlight w:val="none"/>
        </w:rPr>
      </w:pPr>
      <w:r>
        <w:rPr>
          <w:rFonts w:hint="eastAsia"/>
          <w:color w:val="auto"/>
          <w:highlight w:val="none"/>
        </w:rPr>
        <w:t>按规定落实实名制及分账制要求。</w:t>
      </w:r>
    </w:p>
    <w:p>
      <w:pPr>
        <w:pStyle w:val="4"/>
        <w:rPr>
          <w:color w:val="auto"/>
          <w:highlight w:val="none"/>
        </w:rPr>
      </w:pPr>
      <w:bookmarkStart w:id="43" w:name="_Toc122371836"/>
      <w:r>
        <w:rPr>
          <w:rFonts w:hint="eastAsia"/>
          <w:color w:val="auto"/>
          <w:highlight w:val="none"/>
        </w:rPr>
        <w:t>工程验收及移交要求</w:t>
      </w:r>
      <w:bookmarkEnd w:id="43"/>
    </w:p>
    <w:p>
      <w:pPr>
        <w:pStyle w:val="5"/>
        <w:rPr>
          <w:color w:val="auto"/>
          <w:highlight w:val="none"/>
        </w:rPr>
      </w:pPr>
      <w:r>
        <w:rPr>
          <w:rFonts w:hint="eastAsia"/>
          <w:color w:val="auto"/>
          <w:highlight w:val="none"/>
        </w:rPr>
        <w:t>竣工验收</w:t>
      </w:r>
    </w:p>
    <w:p>
      <w:pPr>
        <w:pStyle w:val="7"/>
        <w:rPr>
          <w:color w:val="auto"/>
          <w:highlight w:val="none"/>
        </w:rPr>
      </w:pPr>
      <w:r>
        <w:rPr>
          <w:rFonts w:hint="eastAsia"/>
          <w:color w:val="auto"/>
          <w:highlight w:val="none"/>
        </w:rPr>
        <w:t>工程具备竣工验收条件时，专业工程承包人应按竣工验收的各项规定，申请竣工验收，</w:t>
      </w:r>
      <w:r>
        <w:rPr>
          <w:color w:val="auto"/>
          <w:highlight w:val="none"/>
        </w:rPr>
        <w:t xml:space="preserve"> </w:t>
      </w:r>
      <w:r>
        <w:rPr>
          <w:rFonts w:hint="eastAsia"/>
          <w:color w:val="auto"/>
          <w:highlight w:val="none"/>
        </w:rPr>
        <w:t>并对验收中发现的问题积极进行整改。</w:t>
      </w:r>
    </w:p>
    <w:p>
      <w:pPr>
        <w:pStyle w:val="7"/>
        <w:rPr>
          <w:color w:val="auto"/>
          <w:highlight w:val="none"/>
        </w:rPr>
      </w:pPr>
      <w:r>
        <w:rPr>
          <w:rFonts w:hint="eastAsia"/>
          <w:color w:val="auto"/>
          <w:highlight w:val="none"/>
        </w:rPr>
        <w:t>资料整理及归档要求</w:t>
      </w:r>
    </w:p>
    <w:p>
      <w:pPr>
        <w:pStyle w:val="34"/>
        <w:ind w:firstLine="480"/>
        <w:rPr>
          <w:color w:val="auto"/>
          <w:highlight w:val="none"/>
        </w:rPr>
      </w:pPr>
      <w:r>
        <w:rPr>
          <w:rFonts w:hint="eastAsia"/>
          <w:color w:val="auto"/>
          <w:highlight w:val="none"/>
        </w:rPr>
        <w:t>本工程的资料整合和归档必须符合《城市建设档案着录规范》和《代建项目竣工档案管理写着》的要求。专业工程承包人的档案资料由专业工程承包人完善后提交总承包人归总、装订，总承包人对此提供协助。总承包人应及时为专业工程承包人的档案资料办理签字盖章等手续。</w:t>
      </w:r>
    </w:p>
    <w:p>
      <w:pPr>
        <w:pStyle w:val="5"/>
        <w:rPr>
          <w:color w:val="auto"/>
          <w:highlight w:val="none"/>
        </w:rPr>
      </w:pPr>
      <w:r>
        <w:rPr>
          <w:rFonts w:hint="eastAsia"/>
          <w:color w:val="auto"/>
          <w:highlight w:val="none"/>
        </w:rPr>
        <w:t>保洁要求</w:t>
      </w:r>
    </w:p>
    <w:p>
      <w:pPr>
        <w:pStyle w:val="34"/>
        <w:ind w:firstLine="480"/>
        <w:rPr>
          <w:color w:val="auto"/>
          <w:highlight w:val="none"/>
        </w:rPr>
      </w:pPr>
      <w:r>
        <w:rPr>
          <w:rFonts w:hint="eastAsia"/>
          <w:color w:val="auto"/>
          <w:highlight w:val="none"/>
        </w:rPr>
        <w:t>工程竣工完成后，专业工程承包人必须进行清理保洁，所有保洁工作需满足发包人的移交标准。</w:t>
      </w:r>
    </w:p>
    <w:p>
      <w:pPr>
        <w:pStyle w:val="34"/>
        <w:ind w:firstLine="480"/>
        <w:rPr>
          <w:color w:val="auto"/>
          <w:highlight w:val="none"/>
        </w:rPr>
      </w:pPr>
      <w:r>
        <w:rPr>
          <w:rFonts w:hint="eastAsia"/>
          <w:color w:val="auto"/>
          <w:highlight w:val="none"/>
        </w:rPr>
        <w:t>工程完成后，专业工程承包人清理放射防护及磁屏蔽工程所有工程项目，除去一切标志、污斑、垃圾和其它的油污等，以及清理所有的沟渠和下水道等。</w:t>
      </w:r>
    </w:p>
    <w:p>
      <w:pPr>
        <w:pStyle w:val="5"/>
        <w:rPr>
          <w:color w:val="auto"/>
          <w:highlight w:val="none"/>
        </w:rPr>
      </w:pPr>
      <w:r>
        <w:rPr>
          <w:rFonts w:hint="eastAsia"/>
          <w:color w:val="auto"/>
          <w:highlight w:val="none"/>
        </w:rPr>
        <w:t>工程移交</w:t>
      </w:r>
    </w:p>
    <w:p>
      <w:pPr>
        <w:pStyle w:val="34"/>
        <w:ind w:firstLine="472"/>
        <w:rPr>
          <w:color w:val="auto"/>
          <w:highlight w:val="none"/>
        </w:rPr>
      </w:pPr>
      <w:r>
        <w:rPr>
          <w:rFonts w:hint="eastAsia"/>
          <w:color w:val="auto"/>
          <w:spacing w:val="-4"/>
          <w:highlight w:val="none"/>
        </w:rPr>
        <w:t>竣工备案完成且移交验收完成合格后</w:t>
      </w:r>
      <w:r>
        <w:rPr>
          <w:color w:val="auto"/>
          <w:spacing w:val="-4"/>
          <w:highlight w:val="none"/>
        </w:rPr>
        <w:t xml:space="preserve"> </w:t>
      </w:r>
      <w:r>
        <w:rPr>
          <w:color w:val="auto"/>
          <w:highlight w:val="none"/>
        </w:rPr>
        <w:t>7</w:t>
      </w:r>
      <w:r>
        <w:rPr>
          <w:color w:val="auto"/>
          <w:spacing w:val="-22"/>
          <w:highlight w:val="none"/>
        </w:rPr>
        <w:t xml:space="preserve"> </w:t>
      </w:r>
      <w:r>
        <w:rPr>
          <w:rFonts w:hint="eastAsia"/>
          <w:color w:val="auto"/>
          <w:spacing w:val="-22"/>
          <w:highlight w:val="none"/>
        </w:rPr>
        <w:t>日内，专业工程承包人提交《工程移交书》，经</w:t>
      </w:r>
      <w:r>
        <w:rPr>
          <w:rFonts w:hint="eastAsia"/>
          <w:color w:val="auto"/>
          <w:highlight w:val="none"/>
        </w:rPr>
        <w:t>发包人、委托人单位（或运营方）</w:t>
      </w:r>
      <w:r>
        <w:rPr>
          <w:rFonts w:hint="eastAsia"/>
          <w:color w:val="auto"/>
          <w:spacing w:val="-2"/>
          <w:highlight w:val="none"/>
        </w:rPr>
        <w:t>检查确认合同范围内工作已</w:t>
      </w:r>
      <w:r>
        <w:rPr>
          <w:rFonts w:hint="eastAsia"/>
          <w:color w:val="auto"/>
          <w:highlight w:val="none"/>
        </w:rPr>
        <w:t>完成后签字认可，工程移交完成。</w:t>
      </w:r>
    </w:p>
    <w:p>
      <w:pPr>
        <w:pStyle w:val="5"/>
        <w:rPr>
          <w:color w:val="auto"/>
          <w:highlight w:val="none"/>
        </w:rPr>
      </w:pPr>
      <w:r>
        <w:rPr>
          <w:rFonts w:hint="eastAsia"/>
          <w:color w:val="auto"/>
          <w:highlight w:val="none"/>
        </w:rPr>
        <w:t>竣工资料</w:t>
      </w:r>
    </w:p>
    <w:p>
      <w:pPr>
        <w:pStyle w:val="34"/>
        <w:ind w:firstLine="480"/>
        <w:rPr>
          <w:color w:val="auto"/>
          <w:highlight w:val="none"/>
        </w:rPr>
      </w:pPr>
      <w:r>
        <w:rPr>
          <w:rFonts w:hint="eastAsia"/>
          <w:color w:val="auto"/>
          <w:highlight w:val="none"/>
        </w:rPr>
        <w:t>专业工程承包人必须向发包人提交完整的按档案馆规定格式装订成册的竣工资料</w:t>
      </w:r>
      <w:r>
        <w:rPr>
          <w:color w:val="auto"/>
          <w:highlight w:val="none"/>
        </w:rPr>
        <w:t>4</w:t>
      </w:r>
      <w:r>
        <w:rPr>
          <w:rFonts w:hint="eastAsia"/>
          <w:color w:val="auto"/>
          <w:highlight w:val="none"/>
        </w:rPr>
        <w:t>套、电子资料</w:t>
      </w:r>
      <w:r>
        <w:rPr>
          <w:color w:val="auto"/>
          <w:highlight w:val="none"/>
        </w:rPr>
        <w:t>1</w:t>
      </w:r>
      <w:r>
        <w:rPr>
          <w:rFonts w:hint="eastAsia"/>
          <w:color w:val="auto"/>
          <w:highlight w:val="none"/>
        </w:rPr>
        <w:t>套。</w:t>
      </w:r>
    </w:p>
    <w:p>
      <w:pPr>
        <w:pStyle w:val="4"/>
        <w:rPr>
          <w:color w:val="auto"/>
          <w:highlight w:val="none"/>
        </w:rPr>
      </w:pPr>
      <w:bookmarkStart w:id="44" w:name="_Toc122371837"/>
      <w:r>
        <w:rPr>
          <w:rFonts w:hint="eastAsia"/>
          <w:color w:val="auto"/>
          <w:highlight w:val="none"/>
        </w:rPr>
        <w:t>检测与试验要求</w:t>
      </w:r>
      <w:bookmarkEnd w:id="44"/>
    </w:p>
    <w:p>
      <w:pPr>
        <w:pStyle w:val="34"/>
        <w:ind w:firstLine="480"/>
        <w:rPr>
          <w:color w:val="auto"/>
          <w:highlight w:val="none"/>
        </w:rPr>
      </w:pPr>
      <w:r>
        <w:rPr>
          <w:rFonts w:hint="eastAsia"/>
          <w:color w:val="auto"/>
          <w:highlight w:val="none"/>
        </w:rPr>
        <w:t>专业工程承包人负责承包范围内的所有涉及到的检测、试验、监测等工作（规定必须由发包人负责委托的除外），所产生的费用已在综合单价中考虑，结算时不单独立项计取，承包人不得以此项工作主张任何费用。</w:t>
      </w:r>
    </w:p>
    <w:p>
      <w:pPr>
        <w:pStyle w:val="34"/>
        <w:ind w:firstLine="480"/>
        <w:rPr>
          <w:color w:val="auto"/>
          <w:highlight w:val="none"/>
        </w:rPr>
      </w:pPr>
      <w:r>
        <w:rPr>
          <w:rFonts w:hint="eastAsia"/>
          <w:color w:val="auto"/>
          <w:highlight w:val="none"/>
        </w:rPr>
        <w:t>专业工程承包人需做的材料检测和试验包括但不限于</w:t>
      </w:r>
      <w:r>
        <w:rPr>
          <w:color w:val="auto"/>
          <w:highlight w:val="none"/>
        </w:rPr>
        <w:t>:</w:t>
      </w:r>
    </w:p>
    <w:p>
      <w:pPr>
        <w:pStyle w:val="5"/>
        <w:rPr>
          <w:color w:val="auto"/>
          <w:highlight w:val="none"/>
        </w:rPr>
      </w:pPr>
      <w:r>
        <w:rPr>
          <w:rFonts w:hint="eastAsia"/>
          <w:color w:val="auto"/>
          <w:highlight w:val="none"/>
        </w:rPr>
        <w:t>材料检测</w:t>
      </w:r>
    </w:p>
    <w:p>
      <w:pPr>
        <w:pStyle w:val="34"/>
        <w:ind w:firstLine="480"/>
        <w:rPr>
          <w:color w:val="auto"/>
          <w:highlight w:val="none"/>
        </w:rPr>
      </w:pPr>
      <w:r>
        <w:rPr>
          <w:rFonts w:hint="eastAsia"/>
          <w:color w:val="auto"/>
          <w:highlight w:val="none"/>
        </w:rPr>
        <w:t>专业工程承包人工程范围内的进场材料等须按照国家、地方相关检验标准进行检验，合格后方可使用。</w:t>
      </w:r>
    </w:p>
    <w:p>
      <w:pPr>
        <w:pStyle w:val="5"/>
        <w:rPr>
          <w:color w:val="auto"/>
          <w:highlight w:val="none"/>
        </w:rPr>
      </w:pPr>
      <w:r>
        <w:rPr>
          <w:rFonts w:hint="eastAsia"/>
          <w:color w:val="auto"/>
          <w:highlight w:val="none"/>
        </w:rPr>
        <w:t>性能试验</w:t>
      </w:r>
    </w:p>
    <w:p>
      <w:pPr>
        <w:pStyle w:val="34"/>
        <w:ind w:firstLine="480"/>
        <w:rPr>
          <w:color w:val="auto"/>
          <w:highlight w:val="none"/>
        </w:rPr>
      </w:pPr>
      <w:r>
        <w:rPr>
          <w:rFonts w:hint="eastAsia"/>
          <w:color w:val="auto"/>
          <w:highlight w:val="none"/>
        </w:rPr>
        <w:t>专业工程承包人须按照国家、地方和发包人的相关标准进行有关性能试验，</w:t>
      </w:r>
      <w:r>
        <w:rPr>
          <w:rFonts w:hint="eastAsia"/>
          <w:color w:val="auto"/>
          <w:szCs w:val="30"/>
          <w:highlight w:val="none"/>
          <w:u w:val="single"/>
        </w:rPr>
        <w:t>具体试验内容有</w:t>
      </w:r>
      <w:r>
        <w:rPr>
          <w:color w:val="auto"/>
          <w:szCs w:val="30"/>
          <w:highlight w:val="none"/>
          <w:u w:val="single"/>
        </w:rPr>
        <w:t>:</w:t>
      </w:r>
      <w:r>
        <w:rPr>
          <w:rFonts w:hint="eastAsia"/>
          <w:color w:val="auto"/>
          <w:szCs w:val="30"/>
          <w:highlight w:val="none"/>
          <w:u w:val="single"/>
        </w:rPr>
        <w:t>（项目根据实际情况添加）</w:t>
      </w:r>
      <w:r>
        <w:rPr>
          <w:rFonts w:hint="eastAsia"/>
          <w:color w:val="auto"/>
          <w:highlight w:val="none"/>
        </w:rPr>
        <w:t>。</w:t>
      </w:r>
    </w:p>
    <w:p>
      <w:pPr>
        <w:pStyle w:val="7"/>
        <w:rPr>
          <w:color w:val="auto"/>
          <w:highlight w:val="none"/>
        </w:rPr>
      </w:pPr>
      <w:r>
        <w:rPr>
          <w:rFonts w:hint="eastAsia"/>
          <w:color w:val="auto"/>
          <w:highlight w:val="none"/>
        </w:rPr>
        <w:t>本工程所使用的材料和设备必须符合国家、地方及企业标准，有质量检验合格证明和有中文标识的产品名称、规格、型号、生产厂厂名、厂址等。禁止使用国家明令淘汰的建筑装饰装修材料和设备。</w:t>
      </w:r>
    </w:p>
    <w:p>
      <w:pPr>
        <w:pStyle w:val="7"/>
        <w:rPr>
          <w:color w:val="auto"/>
          <w:highlight w:val="none"/>
        </w:rPr>
      </w:pPr>
      <w:r>
        <w:rPr>
          <w:rFonts w:hint="eastAsia"/>
          <w:color w:val="auto"/>
          <w:highlight w:val="none"/>
        </w:rPr>
        <w:t>所有装饰材料必须满足防火要求。</w:t>
      </w:r>
    </w:p>
    <w:p>
      <w:pPr>
        <w:pStyle w:val="7"/>
        <w:rPr>
          <w:color w:val="auto"/>
          <w:highlight w:val="none"/>
        </w:rPr>
      </w:pPr>
      <w:r>
        <w:rPr>
          <w:rFonts w:hint="eastAsia"/>
          <w:color w:val="auto"/>
          <w:highlight w:val="none"/>
        </w:rPr>
        <w:t>所有装饰材料禁止使用超标的甲醛、挥发性有机化合物</w:t>
      </w:r>
      <w:r>
        <w:rPr>
          <w:color w:val="auto"/>
          <w:highlight w:val="none"/>
        </w:rPr>
        <w:t>(VOC)</w:t>
      </w:r>
      <w:r>
        <w:rPr>
          <w:rFonts w:hint="eastAsia"/>
          <w:color w:val="auto"/>
          <w:highlight w:val="none"/>
        </w:rPr>
        <w:t>、苯、甲苯、二甲苯、甲苯二异氰酸酯、铅、镉、汞、砷等有毒污染物的产品。</w:t>
      </w:r>
    </w:p>
    <w:p>
      <w:pPr>
        <w:pStyle w:val="7"/>
        <w:rPr>
          <w:color w:val="auto"/>
          <w:highlight w:val="none"/>
        </w:rPr>
      </w:pPr>
      <w:r>
        <w:rPr>
          <w:rFonts w:hint="eastAsia"/>
          <w:color w:val="auto"/>
          <w:highlight w:val="none"/>
        </w:rPr>
        <w:t>涉及使用安全及人体健康的材料，均需按相关规范要求进行复检。</w:t>
      </w:r>
    </w:p>
    <w:p>
      <w:pPr>
        <w:pStyle w:val="5"/>
        <w:rPr>
          <w:color w:val="auto"/>
          <w:highlight w:val="none"/>
        </w:rPr>
      </w:pPr>
      <w:r>
        <w:rPr>
          <w:rFonts w:hint="eastAsia"/>
          <w:color w:val="auto"/>
          <w:highlight w:val="none"/>
        </w:rPr>
        <w:t>专项检测</w:t>
      </w:r>
    </w:p>
    <w:p>
      <w:pPr>
        <w:pStyle w:val="6"/>
        <w:rPr>
          <w:color w:val="auto"/>
          <w:highlight w:val="none"/>
        </w:rPr>
      </w:pPr>
      <w:r>
        <w:rPr>
          <w:rFonts w:hint="eastAsia"/>
          <w:color w:val="auto"/>
          <w:highlight w:val="none"/>
        </w:rPr>
        <w:t>在工程完工后，承包人需委托的第三方检测单位专项检测，专项检测包括但不限于节能验收、绿建验收、环保验收等所有专项验收涉及的检测、试验、检测等工作。</w:t>
      </w:r>
    </w:p>
    <w:p>
      <w:pPr>
        <w:pStyle w:val="7"/>
        <w:rPr>
          <w:color w:val="auto"/>
          <w:highlight w:val="none"/>
        </w:rPr>
      </w:pPr>
      <w:r>
        <w:rPr>
          <w:rFonts w:hint="eastAsia"/>
          <w:color w:val="auto"/>
          <w:highlight w:val="none"/>
        </w:rPr>
        <w:t>在工程完工后，承包人需委托的第三方检测单位进行空气检测，出具室内空气质量检测报告。如果检测不合格，承包人承担违约责任。</w:t>
      </w:r>
    </w:p>
    <w:p>
      <w:pPr>
        <w:pStyle w:val="7"/>
        <w:rPr>
          <w:color w:val="auto"/>
          <w:highlight w:val="none"/>
        </w:rPr>
      </w:pPr>
      <w:r>
        <w:rPr>
          <w:rFonts w:hint="eastAsia"/>
          <w:color w:val="auto"/>
          <w:highlight w:val="none"/>
        </w:rPr>
        <w:t>在工程完工后，承包人需委托的第三方检测单位进行噪音检测，</w:t>
      </w:r>
      <w:r>
        <w:rPr>
          <w:color w:val="auto"/>
          <w:highlight w:val="none"/>
          <w:lang w:val="zh-CN"/>
        </w:rPr>
        <w:t>噪音检测包括但不限于功能房间楼板撞击声检测、功能房间楼板隔声检测、功能房间分户墙隔声检测</w:t>
      </w:r>
      <w:r>
        <w:rPr>
          <w:rFonts w:hint="eastAsia"/>
          <w:color w:val="auto"/>
          <w:highlight w:val="none"/>
          <w:lang w:val="zh-CN"/>
        </w:rPr>
        <w:t>。</w:t>
      </w:r>
    </w:p>
    <w:p>
      <w:pPr>
        <w:pStyle w:val="4"/>
        <w:rPr>
          <w:color w:val="auto"/>
          <w:highlight w:val="none"/>
        </w:rPr>
      </w:pPr>
      <w:bookmarkStart w:id="45" w:name="_Toc122371838"/>
      <w:r>
        <w:rPr>
          <w:rFonts w:hint="eastAsia"/>
          <w:color w:val="auto"/>
          <w:highlight w:val="none"/>
        </w:rPr>
        <w:t>撤场程序</w:t>
      </w:r>
      <w:bookmarkEnd w:id="45"/>
    </w:p>
    <w:p>
      <w:pPr>
        <w:pStyle w:val="5"/>
        <w:rPr>
          <w:color w:val="auto"/>
          <w:highlight w:val="none"/>
        </w:rPr>
      </w:pPr>
      <w:r>
        <w:rPr>
          <w:rFonts w:hint="eastAsia"/>
          <w:color w:val="auto"/>
          <w:highlight w:val="none"/>
        </w:rPr>
        <w:t>总则</w:t>
      </w:r>
    </w:p>
    <w:p>
      <w:pPr>
        <w:pStyle w:val="34"/>
        <w:ind w:firstLine="480"/>
        <w:rPr>
          <w:color w:val="auto"/>
          <w:highlight w:val="none"/>
        </w:rPr>
      </w:pPr>
      <w:r>
        <w:rPr>
          <w:rFonts w:hint="eastAsia"/>
          <w:color w:val="auto"/>
          <w:highlight w:val="none"/>
        </w:rPr>
        <w:t>必要情况下，经友好协商，专业工程承包人同意调整原合同的施工范围，同意撤场。具体各方在权责、范围等事宜由后期发包人与专业工程承包人签订的“放射防护及磁屏蔽工程合同补充协议”中详细说明。</w:t>
      </w:r>
    </w:p>
    <w:p>
      <w:pPr>
        <w:pStyle w:val="5"/>
        <w:rPr>
          <w:color w:val="auto"/>
          <w:highlight w:val="none"/>
        </w:rPr>
      </w:pPr>
      <w:r>
        <w:rPr>
          <w:rFonts w:hint="eastAsia"/>
          <w:color w:val="auto"/>
          <w:highlight w:val="none"/>
        </w:rPr>
        <w:t>成立撤场协调小组</w:t>
      </w:r>
    </w:p>
    <w:p>
      <w:pPr>
        <w:pStyle w:val="34"/>
        <w:ind w:firstLine="474"/>
        <w:rPr>
          <w:color w:val="auto"/>
          <w:highlight w:val="none"/>
        </w:rPr>
      </w:pPr>
      <w:r>
        <w:rPr>
          <w:rFonts w:hint="eastAsia"/>
          <w:color w:val="auto"/>
          <w:spacing w:val="-3"/>
          <w:highlight w:val="none"/>
        </w:rPr>
        <w:t>明确专业工程承包人撤场的大原则情况下，双方需在</w:t>
      </w:r>
      <w:r>
        <w:rPr>
          <w:color w:val="auto"/>
          <w:spacing w:val="-3"/>
          <w:highlight w:val="none"/>
        </w:rPr>
        <w:t xml:space="preserve"> </w:t>
      </w:r>
      <w:r>
        <w:rPr>
          <w:color w:val="auto"/>
          <w:highlight w:val="none"/>
        </w:rPr>
        <w:t>2</w:t>
      </w:r>
      <w:r>
        <w:rPr>
          <w:color w:val="auto"/>
          <w:spacing w:val="-9"/>
          <w:highlight w:val="none"/>
        </w:rPr>
        <w:t xml:space="preserve"> </w:t>
      </w:r>
      <w:r>
        <w:rPr>
          <w:rFonts w:hint="eastAsia"/>
          <w:color w:val="auto"/>
          <w:spacing w:val="-9"/>
          <w:highlight w:val="none"/>
        </w:rPr>
        <w:t>个工作日内成立各自的撤场协</w:t>
      </w:r>
      <w:r>
        <w:rPr>
          <w:rFonts w:hint="eastAsia"/>
          <w:color w:val="auto"/>
          <w:highlight w:val="none"/>
        </w:rPr>
        <w:t>调小组，明确小组成员、分工及详细的工作职责和义务。小组成员应包括但不限于双方的法人或法定授权人、项目经理、合约人员等。</w:t>
      </w:r>
    </w:p>
    <w:p>
      <w:pPr>
        <w:pStyle w:val="5"/>
        <w:rPr>
          <w:color w:val="auto"/>
          <w:highlight w:val="none"/>
        </w:rPr>
      </w:pPr>
      <w:r>
        <w:rPr>
          <w:rFonts w:hint="eastAsia"/>
          <w:color w:val="auto"/>
          <w:highlight w:val="none"/>
        </w:rPr>
        <w:t>现场盘点</w:t>
      </w:r>
    </w:p>
    <w:p>
      <w:pPr>
        <w:pStyle w:val="7"/>
        <w:rPr>
          <w:color w:val="auto"/>
          <w:highlight w:val="none"/>
        </w:rPr>
      </w:pPr>
      <w:r>
        <w:rPr>
          <w:rFonts w:hint="eastAsia"/>
          <w:color w:val="auto"/>
          <w:spacing w:val="-4"/>
          <w:highlight w:val="none"/>
        </w:rPr>
        <w:t>工程实体的盘点</w:t>
      </w:r>
      <w:r>
        <w:rPr>
          <w:color w:val="auto"/>
          <w:spacing w:val="-4"/>
          <w:highlight w:val="none"/>
        </w:rPr>
        <w:t>:</w:t>
      </w:r>
      <w:r>
        <w:rPr>
          <w:rFonts w:hint="eastAsia"/>
          <w:color w:val="auto"/>
          <w:spacing w:val="-4"/>
          <w:highlight w:val="none"/>
        </w:rPr>
        <w:t>双方对专业工程承包人自身完成的工程实体工作量确认，专业工程承包人需</w:t>
      </w:r>
      <w:r>
        <w:rPr>
          <w:rFonts w:hint="eastAsia"/>
          <w:color w:val="auto"/>
          <w:highlight w:val="none"/>
        </w:rPr>
        <w:t>保证已完成的实体工程质量满足合同、国家、地方政府质量验收标准与规</w:t>
      </w:r>
      <w:r>
        <w:rPr>
          <w:rFonts w:hint="eastAsia"/>
          <w:color w:val="auto"/>
          <w:spacing w:val="-8"/>
          <w:highlight w:val="none"/>
        </w:rPr>
        <w:t>范要求。此项工作在专业工程承包人收到发包人撤场通知单后，双方</w:t>
      </w:r>
      <w:r>
        <w:rPr>
          <w:color w:val="auto"/>
          <w:spacing w:val="-8"/>
          <w:highlight w:val="none"/>
        </w:rPr>
        <w:t xml:space="preserve"> </w:t>
      </w:r>
      <w:r>
        <w:rPr>
          <w:color w:val="auto"/>
          <w:highlight w:val="none"/>
        </w:rPr>
        <w:t>15</w:t>
      </w:r>
      <w:r>
        <w:rPr>
          <w:color w:val="auto"/>
          <w:spacing w:val="-13"/>
          <w:highlight w:val="none"/>
        </w:rPr>
        <w:t xml:space="preserve"> </w:t>
      </w:r>
      <w:r>
        <w:rPr>
          <w:rFonts w:hint="eastAsia"/>
          <w:color w:val="auto"/>
          <w:spacing w:val="-13"/>
          <w:highlight w:val="none"/>
        </w:rPr>
        <w:t>天内完成全</w:t>
      </w:r>
      <w:r>
        <w:rPr>
          <w:rFonts w:hint="eastAsia"/>
          <w:color w:val="auto"/>
          <w:spacing w:val="-4"/>
          <w:highlight w:val="none"/>
        </w:rPr>
        <w:t>部盘点工作，</w:t>
      </w:r>
      <w:r>
        <w:rPr>
          <w:color w:val="auto"/>
          <w:spacing w:val="-18"/>
          <w:highlight w:val="none"/>
        </w:rPr>
        <w:t>20</w:t>
      </w:r>
      <w:r>
        <w:rPr>
          <w:color w:val="auto"/>
          <w:spacing w:val="-14"/>
          <w:highlight w:val="none"/>
        </w:rPr>
        <w:t xml:space="preserve"> </w:t>
      </w:r>
      <w:r>
        <w:rPr>
          <w:rFonts w:hint="eastAsia"/>
          <w:color w:val="auto"/>
          <w:spacing w:val="-14"/>
          <w:highlight w:val="none"/>
        </w:rPr>
        <w:t>天内专业工程承包人逐步提供后续施工的工作面，并最终在</w:t>
      </w:r>
      <w:r>
        <w:rPr>
          <w:color w:val="auto"/>
          <w:spacing w:val="-14"/>
          <w:highlight w:val="none"/>
        </w:rPr>
        <w:t xml:space="preserve"> </w:t>
      </w:r>
      <w:r>
        <w:rPr>
          <w:color w:val="auto"/>
          <w:highlight w:val="none"/>
        </w:rPr>
        <w:t>45</w:t>
      </w:r>
      <w:r>
        <w:rPr>
          <w:color w:val="auto"/>
          <w:spacing w:val="-26"/>
          <w:highlight w:val="none"/>
        </w:rPr>
        <w:t xml:space="preserve"> </w:t>
      </w:r>
      <w:r>
        <w:rPr>
          <w:rFonts w:hint="eastAsia"/>
          <w:color w:val="auto"/>
          <w:spacing w:val="-26"/>
          <w:highlight w:val="none"/>
        </w:rPr>
        <w:t>天内</w:t>
      </w:r>
      <w:r>
        <w:rPr>
          <w:rFonts w:hint="eastAsia"/>
          <w:color w:val="auto"/>
          <w:highlight w:val="none"/>
        </w:rPr>
        <w:t>完成质量整改工作和全部撤场工作。</w:t>
      </w:r>
    </w:p>
    <w:p>
      <w:pPr>
        <w:pStyle w:val="7"/>
        <w:rPr>
          <w:color w:val="auto"/>
          <w:highlight w:val="none"/>
        </w:rPr>
      </w:pPr>
      <w:r>
        <w:rPr>
          <w:rFonts w:hint="eastAsia"/>
          <w:color w:val="auto"/>
          <w:spacing w:val="-4"/>
          <w:highlight w:val="none"/>
        </w:rPr>
        <w:t>现场材料及配套设施的盘点</w:t>
      </w:r>
      <w:r>
        <w:rPr>
          <w:color w:val="auto"/>
          <w:spacing w:val="-4"/>
          <w:highlight w:val="none"/>
        </w:rPr>
        <w:t>:</w:t>
      </w:r>
      <w:r>
        <w:rPr>
          <w:rFonts w:hint="eastAsia"/>
          <w:color w:val="auto"/>
          <w:spacing w:val="-4"/>
          <w:highlight w:val="none"/>
        </w:rPr>
        <w:t>双方对现场剩余材料，临时水电、办公区、场</w:t>
      </w:r>
      <w:r>
        <w:rPr>
          <w:rFonts w:hint="eastAsia"/>
          <w:color w:val="auto"/>
          <w:highlight w:val="none"/>
        </w:rPr>
        <w:t>地硬化、施工机械设备、临时防护、临时设施等进行盘点后，由发包人告知专业工程承包人需要撤场的配套物资、材料、机械设施等。</w:t>
      </w:r>
    </w:p>
    <w:p>
      <w:pPr>
        <w:pStyle w:val="7"/>
        <w:rPr>
          <w:color w:val="auto"/>
          <w:highlight w:val="none"/>
        </w:rPr>
      </w:pPr>
      <w:r>
        <w:rPr>
          <w:rFonts w:hint="eastAsia"/>
          <w:color w:val="auto"/>
          <w:highlight w:val="none"/>
        </w:rPr>
        <w:t>若“放射防护及磁屏蔽工程合同协议”包含上述内容，按协议执行。</w:t>
      </w:r>
    </w:p>
    <w:p>
      <w:pPr>
        <w:pStyle w:val="5"/>
        <w:rPr>
          <w:color w:val="auto"/>
          <w:highlight w:val="none"/>
        </w:rPr>
      </w:pPr>
      <w:r>
        <w:rPr>
          <w:rFonts w:hint="eastAsia"/>
          <w:color w:val="auto"/>
          <w:highlight w:val="none"/>
        </w:rPr>
        <w:t>专业工程承包人尚需要完成的工作</w:t>
      </w:r>
    </w:p>
    <w:p>
      <w:pPr>
        <w:pStyle w:val="34"/>
        <w:ind w:firstLine="480"/>
        <w:rPr>
          <w:color w:val="auto"/>
          <w:highlight w:val="none"/>
        </w:rPr>
      </w:pPr>
      <w:r>
        <w:rPr>
          <w:rFonts w:hint="eastAsia"/>
          <w:color w:val="auto"/>
          <w:highlight w:val="none"/>
        </w:rPr>
        <w:t>专业工程承包人必须在</w:t>
      </w:r>
      <w:r>
        <w:rPr>
          <w:color w:val="auto"/>
          <w:highlight w:val="none"/>
        </w:rPr>
        <w:t xml:space="preserve"> 45 </w:t>
      </w:r>
      <w:r>
        <w:rPr>
          <w:rFonts w:hint="eastAsia"/>
          <w:color w:val="auto"/>
          <w:highlight w:val="none"/>
        </w:rPr>
        <w:t>天内陆续交接并最终完成以下内容</w:t>
      </w:r>
      <w:r>
        <w:rPr>
          <w:color w:val="auto"/>
          <w:highlight w:val="none"/>
        </w:rPr>
        <w:t>:</w:t>
      </w:r>
    </w:p>
    <w:p>
      <w:pPr>
        <w:pStyle w:val="7"/>
        <w:rPr>
          <w:color w:val="auto"/>
          <w:highlight w:val="none"/>
        </w:rPr>
      </w:pPr>
      <w:r>
        <w:rPr>
          <w:rFonts w:hint="eastAsia"/>
          <w:color w:val="auto"/>
          <w:highlight w:val="none"/>
        </w:rPr>
        <w:t>专业工程承包人前期未完成的设计变更、已完工程中图纸漏项及未盘点到的相关内容。</w:t>
      </w:r>
    </w:p>
    <w:p>
      <w:pPr>
        <w:pStyle w:val="7"/>
        <w:rPr>
          <w:color w:val="auto"/>
          <w:highlight w:val="none"/>
        </w:rPr>
      </w:pPr>
      <w:r>
        <w:rPr>
          <w:rFonts w:hint="eastAsia"/>
          <w:color w:val="auto"/>
          <w:highlight w:val="none"/>
        </w:rPr>
        <w:t>由于工序、气候条件、工作界面、工料等原因需要连续作业完成的内容。</w:t>
      </w:r>
    </w:p>
    <w:p>
      <w:pPr>
        <w:pStyle w:val="7"/>
        <w:rPr>
          <w:color w:val="auto"/>
          <w:highlight w:val="none"/>
        </w:rPr>
      </w:pPr>
      <w:r>
        <w:rPr>
          <w:rFonts w:hint="eastAsia"/>
          <w:color w:val="auto"/>
          <w:highlight w:val="none"/>
        </w:rPr>
        <w:t>专业工程承包人依据合同中明确的资料内容、备案资料内容将其所涉及的全部施工过程资料移交于发包人，并签署资料移交清单。专业工程承包人同时承诺在本工程办理后续有关手续过程中提供全部配合工作。</w:t>
      </w:r>
    </w:p>
    <w:p>
      <w:pPr>
        <w:pStyle w:val="7"/>
        <w:rPr>
          <w:color w:val="auto"/>
          <w:highlight w:val="none"/>
        </w:rPr>
      </w:pPr>
      <w:r>
        <w:rPr>
          <w:rFonts w:hint="eastAsia"/>
          <w:color w:val="auto"/>
          <w:highlight w:val="none"/>
        </w:rPr>
        <w:t>专业工程承包人必须根据发包人下发的撤场通知单在规定时间内完成全部撤场（包括人员、材料、机械</w:t>
      </w:r>
      <w:r>
        <w:rPr>
          <w:rFonts w:hint="eastAsia"/>
          <w:color w:val="auto"/>
          <w:spacing w:val="-120"/>
          <w:highlight w:val="none"/>
        </w:rPr>
        <w:t>）</w:t>
      </w:r>
      <w:r>
        <w:rPr>
          <w:rFonts w:hint="eastAsia"/>
          <w:color w:val="auto"/>
          <w:highlight w:val="none"/>
        </w:rPr>
        <w:t>。</w:t>
      </w:r>
    </w:p>
    <w:p>
      <w:pPr>
        <w:pStyle w:val="7"/>
        <w:rPr>
          <w:color w:val="auto"/>
          <w:highlight w:val="none"/>
        </w:rPr>
      </w:pPr>
      <w:r>
        <w:rPr>
          <w:rFonts w:hint="eastAsia"/>
          <w:color w:val="auto"/>
          <w:highlight w:val="none"/>
        </w:rPr>
        <w:t>专业工程承包人必须自行妥善处理农民工、材料商、租赁公司等与专业工程承包人有合同关系单位的一切纠纷，并完成上述单位的结算，保证不会影响交接和后续施工进程。</w:t>
      </w:r>
    </w:p>
    <w:p>
      <w:pPr>
        <w:pStyle w:val="5"/>
        <w:rPr>
          <w:color w:val="auto"/>
          <w:highlight w:val="none"/>
        </w:rPr>
      </w:pPr>
      <w:r>
        <w:rPr>
          <w:rFonts w:hint="eastAsia"/>
          <w:color w:val="auto"/>
          <w:highlight w:val="none"/>
        </w:rPr>
        <w:t>责任和义务</w:t>
      </w:r>
    </w:p>
    <w:p>
      <w:pPr>
        <w:pStyle w:val="7"/>
        <w:rPr>
          <w:color w:val="auto"/>
          <w:highlight w:val="none"/>
        </w:rPr>
      </w:pPr>
      <w:r>
        <w:rPr>
          <w:rFonts w:hint="eastAsia"/>
          <w:color w:val="auto"/>
          <w:spacing w:val="-8"/>
          <w:highlight w:val="none"/>
        </w:rPr>
        <w:t>专业工程承包人应积极、及时、有效的配合发包人面积测绘、环保验收、消防验收、</w:t>
      </w:r>
      <w:r>
        <w:rPr>
          <w:rFonts w:hint="eastAsia"/>
          <w:color w:val="auto"/>
          <w:highlight w:val="none"/>
        </w:rPr>
        <w:t>规划验收、电梯准用检测、卫生防疫验收、配套工程验收、竣工备案等一</w:t>
      </w:r>
      <w:r>
        <w:rPr>
          <w:rFonts w:hint="eastAsia"/>
          <w:color w:val="auto"/>
          <w:spacing w:val="-2"/>
          <w:highlight w:val="none"/>
        </w:rPr>
        <w:t>切后续验收及备案工作。在接到需要配合的通知后</w:t>
      </w:r>
      <w:r>
        <w:rPr>
          <w:color w:val="auto"/>
          <w:spacing w:val="-2"/>
          <w:highlight w:val="none"/>
        </w:rPr>
        <w:t xml:space="preserve"> </w:t>
      </w:r>
      <w:r>
        <w:rPr>
          <w:color w:val="auto"/>
          <w:highlight w:val="none"/>
        </w:rPr>
        <w:t>3</w:t>
      </w:r>
      <w:r>
        <w:rPr>
          <w:color w:val="auto"/>
          <w:spacing w:val="-5"/>
          <w:highlight w:val="none"/>
        </w:rPr>
        <w:t xml:space="preserve"> </w:t>
      </w:r>
      <w:r>
        <w:rPr>
          <w:rFonts w:hint="eastAsia"/>
          <w:color w:val="auto"/>
          <w:spacing w:val="-5"/>
          <w:highlight w:val="none"/>
        </w:rPr>
        <w:t>日内按照通知要求派</w:t>
      </w:r>
      <w:r>
        <w:rPr>
          <w:rFonts w:hint="eastAsia"/>
          <w:color w:val="auto"/>
          <w:spacing w:val="-4"/>
          <w:highlight w:val="none"/>
        </w:rPr>
        <w:t>相关人员到场履行配合工作，若遇签字或盖章等需要，须在接到通知后</w:t>
      </w:r>
      <w:r>
        <w:rPr>
          <w:color w:val="auto"/>
          <w:spacing w:val="-4"/>
          <w:highlight w:val="none"/>
        </w:rPr>
        <w:t xml:space="preserve"> </w:t>
      </w:r>
      <w:r>
        <w:rPr>
          <w:color w:val="auto"/>
          <w:highlight w:val="none"/>
        </w:rPr>
        <w:t xml:space="preserve">3 </w:t>
      </w:r>
      <w:r>
        <w:rPr>
          <w:rFonts w:hint="eastAsia"/>
          <w:color w:val="auto"/>
          <w:highlight w:val="none"/>
        </w:rPr>
        <w:t>日内完成相应的签字及盖章工作。</w:t>
      </w:r>
    </w:p>
    <w:p>
      <w:pPr>
        <w:pStyle w:val="7"/>
        <w:rPr>
          <w:color w:val="auto"/>
          <w:highlight w:val="none"/>
        </w:rPr>
      </w:pPr>
      <w:r>
        <w:rPr>
          <w:rFonts w:hint="eastAsia"/>
          <w:color w:val="auto"/>
          <w:highlight w:val="none"/>
        </w:rPr>
        <w:t>双方协议撤场后，安全文明措施费、社保费、农民工保证金依据地方政府法律法规或依据发包人与专业工程承包人后期签署的“放射防护及磁屏蔽工程合同补充协议”执行，水电费依据水表、电表进行确定。</w:t>
      </w:r>
    </w:p>
    <w:p>
      <w:pPr>
        <w:pStyle w:val="7"/>
        <w:rPr>
          <w:color w:val="auto"/>
          <w:highlight w:val="none"/>
        </w:rPr>
      </w:pPr>
      <w:r>
        <w:rPr>
          <w:rFonts w:hint="eastAsia"/>
          <w:color w:val="auto"/>
          <w:highlight w:val="none"/>
        </w:rPr>
        <w:t>专业工程承包人对其施工的工程质量负有维保的义务。</w:t>
      </w:r>
    </w:p>
    <w:p>
      <w:pPr>
        <w:pStyle w:val="4"/>
        <w:rPr>
          <w:color w:val="auto"/>
          <w:highlight w:val="none"/>
        </w:rPr>
      </w:pPr>
      <w:bookmarkStart w:id="46" w:name="_Toc122371839"/>
      <w:r>
        <w:rPr>
          <w:rFonts w:hint="eastAsia"/>
          <w:color w:val="auto"/>
          <w:highlight w:val="none"/>
        </w:rPr>
        <w:t>治污减霾要求</w:t>
      </w:r>
      <w:bookmarkEnd w:id="46"/>
    </w:p>
    <w:p>
      <w:pPr>
        <w:pStyle w:val="7"/>
        <w:rPr>
          <w:color w:val="auto"/>
          <w:highlight w:val="none"/>
        </w:rPr>
      </w:pPr>
      <w:r>
        <w:rPr>
          <w:rFonts w:hint="eastAsia"/>
          <w:color w:val="auto"/>
          <w:highlight w:val="none"/>
        </w:rPr>
        <w:t>专业工程承包人应充分了解当地政府治污减霾、大气污染综合治理的要求，落实相关措施。</w:t>
      </w:r>
    </w:p>
    <w:p>
      <w:pPr>
        <w:pStyle w:val="7"/>
        <w:rPr>
          <w:color w:val="auto"/>
          <w:highlight w:val="none"/>
        </w:rPr>
      </w:pPr>
      <w:r>
        <w:rPr>
          <w:rFonts w:hint="eastAsia"/>
          <w:color w:val="auto"/>
          <w:highlight w:val="none"/>
        </w:rPr>
        <w:t>专业工程承包人应积极应对雾霾天气对施工的影响，采取必要的措施，确保工程质量、安全、进度等目标的实现。</w:t>
      </w:r>
    </w:p>
    <w:p>
      <w:pPr>
        <w:pStyle w:val="4"/>
        <w:rPr>
          <w:color w:val="auto"/>
          <w:highlight w:val="none"/>
        </w:rPr>
      </w:pPr>
      <w:bookmarkStart w:id="47" w:name="_Toc122371841"/>
      <w:r>
        <w:rPr>
          <w:rFonts w:hint="eastAsia"/>
          <w:color w:val="auto"/>
          <w:highlight w:val="none"/>
        </w:rPr>
        <w:t>项目管理系统使用及维护要求</w:t>
      </w:r>
      <w:bookmarkEnd w:id="47"/>
    </w:p>
    <w:p>
      <w:pPr>
        <w:pStyle w:val="34"/>
        <w:ind w:firstLine="480"/>
        <w:rPr>
          <w:color w:val="auto"/>
          <w:highlight w:val="none"/>
        </w:rPr>
      </w:pPr>
      <w:r>
        <w:rPr>
          <w:rFonts w:hint="eastAsia"/>
          <w:color w:val="auto"/>
          <w:highlight w:val="none"/>
        </w:rPr>
        <w:t>项目管理系统是华润置地开发的工程管理信息化平台，软件由华润置地免费提供给各相关方使用。项目管理系统以工程项目现场管理为对象，以安全生产为基础，质</w:t>
      </w:r>
      <w:r>
        <w:rPr>
          <w:rFonts w:hint="eastAsia"/>
          <w:color w:val="auto"/>
          <w:spacing w:val="-10"/>
          <w:highlight w:val="none"/>
        </w:rPr>
        <w:t>量管理为核心，进度管理为纽带，以赋能一线为目标，是总承包人、专业工程承包人、</w:t>
      </w:r>
      <w:r>
        <w:rPr>
          <w:rFonts w:hint="eastAsia"/>
          <w:color w:val="auto"/>
          <w:highlight w:val="none"/>
        </w:rPr>
        <w:t>监理人和发包人多方协作的管理平台。平台内置总部、大区质量管理、安全管理的体系化制度和文件，依托项目管理系统平台做到在全置地范围内工程项目一线管理打法一致，动作统一，风险可控。</w:t>
      </w:r>
    </w:p>
    <w:p>
      <w:pPr>
        <w:pStyle w:val="5"/>
        <w:rPr>
          <w:color w:val="auto"/>
          <w:highlight w:val="none"/>
        </w:rPr>
      </w:pPr>
      <w:r>
        <w:rPr>
          <w:rFonts w:hint="eastAsia"/>
          <w:color w:val="auto"/>
          <w:highlight w:val="none"/>
        </w:rPr>
        <w:t>专业工程承包人应有专岗负责承接项目管理系统的系统功能培训、操作及对专业分包、劳务班组的转训、指导工作。</w:t>
      </w:r>
    </w:p>
    <w:p>
      <w:pPr>
        <w:pStyle w:val="5"/>
        <w:rPr>
          <w:color w:val="auto"/>
          <w:highlight w:val="none"/>
        </w:rPr>
      </w:pPr>
      <w:r>
        <w:rPr>
          <w:rFonts w:hint="eastAsia"/>
          <w:color w:val="auto"/>
          <w:highlight w:val="none"/>
        </w:rPr>
        <w:t>对于由于人员流动造成岗位职能缺失的，必须进行信息化相关内容的交接，</w:t>
      </w:r>
      <w:r>
        <w:rPr>
          <w:color w:val="auto"/>
          <w:highlight w:val="none"/>
        </w:rPr>
        <w:t xml:space="preserve"> </w:t>
      </w:r>
      <w:r>
        <w:rPr>
          <w:rFonts w:hint="eastAsia"/>
          <w:color w:val="auto"/>
          <w:highlight w:val="none"/>
        </w:rPr>
        <w:t>并保留记录。</w:t>
      </w:r>
    </w:p>
    <w:p>
      <w:pPr>
        <w:pStyle w:val="5"/>
        <w:rPr>
          <w:color w:val="auto"/>
          <w:highlight w:val="none"/>
        </w:rPr>
      </w:pPr>
      <w:r>
        <w:rPr>
          <w:rFonts w:hint="eastAsia"/>
          <w:color w:val="auto"/>
          <w:spacing w:val="-2"/>
          <w:highlight w:val="none"/>
        </w:rPr>
        <w:t>积极推广使用</w:t>
      </w:r>
      <w:r>
        <w:rPr>
          <w:rFonts w:hint="eastAsia"/>
          <w:color w:val="auto"/>
          <w:szCs w:val="24"/>
          <w:highlight w:val="none"/>
        </w:rPr>
        <w:t>项目管理系统</w:t>
      </w:r>
      <w:r>
        <w:rPr>
          <w:rFonts w:hint="eastAsia"/>
          <w:color w:val="auto"/>
          <w:spacing w:val="-2"/>
          <w:highlight w:val="none"/>
        </w:rPr>
        <w:t>系统，并在放射防护及磁屏蔽工程专业工程承包人内部强制使用</w:t>
      </w:r>
      <w:r>
        <w:rPr>
          <w:rFonts w:hint="eastAsia"/>
          <w:color w:val="auto"/>
          <w:szCs w:val="24"/>
          <w:highlight w:val="none"/>
        </w:rPr>
        <w:t>项目管理系统</w:t>
      </w:r>
      <w:r>
        <w:rPr>
          <w:rFonts w:hint="eastAsia"/>
          <w:color w:val="auto"/>
          <w:spacing w:val="-2"/>
          <w:highlight w:val="none"/>
        </w:rPr>
        <w:t>系</w:t>
      </w:r>
      <w:r>
        <w:rPr>
          <w:rFonts w:hint="eastAsia"/>
          <w:color w:val="auto"/>
          <w:highlight w:val="none"/>
        </w:rPr>
        <w:t>统，并将</w:t>
      </w:r>
      <w:r>
        <w:rPr>
          <w:rFonts w:hint="eastAsia"/>
          <w:color w:val="auto"/>
          <w:szCs w:val="24"/>
          <w:highlight w:val="none"/>
        </w:rPr>
        <w:t>项目管理</w:t>
      </w:r>
      <w:r>
        <w:rPr>
          <w:rFonts w:hint="eastAsia"/>
          <w:color w:val="auto"/>
          <w:highlight w:val="none"/>
        </w:rPr>
        <w:t>系统作为与各专业分包、总承包人、监理人、发包人等协作方的沟通平台，积极引导各方使用</w:t>
      </w:r>
      <w:r>
        <w:rPr>
          <w:rFonts w:hint="eastAsia"/>
          <w:color w:val="auto"/>
          <w:szCs w:val="24"/>
          <w:highlight w:val="none"/>
        </w:rPr>
        <w:t>项目管理系统</w:t>
      </w:r>
      <w:r>
        <w:rPr>
          <w:rFonts w:hint="eastAsia"/>
          <w:color w:val="auto"/>
          <w:highlight w:val="none"/>
        </w:rPr>
        <w:t>，并将使用效果纳入到对放射防护及磁屏蔽工程专业工程承包人的考核。</w:t>
      </w:r>
    </w:p>
    <w:p>
      <w:pPr>
        <w:pStyle w:val="5"/>
        <w:rPr>
          <w:color w:val="auto"/>
          <w:highlight w:val="none"/>
        </w:rPr>
      </w:pPr>
      <w:r>
        <w:rPr>
          <w:rFonts w:hint="eastAsia"/>
          <w:color w:val="auto"/>
          <w:highlight w:val="none"/>
        </w:rPr>
        <w:t>系统的使用，必须保证数据录入的真实性、及时性和准确性，杜绝数据的后补、造假。</w:t>
      </w:r>
    </w:p>
    <w:p>
      <w:pPr>
        <w:pStyle w:val="5"/>
        <w:rPr>
          <w:color w:val="auto"/>
          <w:highlight w:val="none"/>
        </w:rPr>
      </w:pPr>
      <w:r>
        <w:rPr>
          <w:rFonts w:hint="eastAsia"/>
          <w:color w:val="auto"/>
          <w:szCs w:val="24"/>
          <w:highlight w:val="none"/>
        </w:rPr>
        <w:t>项目管理系统</w:t>
      </w:r>
      <w:r>
        <w:rPr>
          <w:rFonts w:hint="eastAsia"/>
          <w:color w:val="auto"/>
          <w:spacing w:val="-3"/>
          <w:highlight w:val="none"/>
        </w:rPr>
        <w:t>会在使用过程中不断更新、完善系统功能，所使用系统的具体内</w:t>
      </w:r>
      <w:r>
        <w:rPr>
          <w:rFonts w:hint="eastAsia"/>
          <w:color w:val="auto"/>
          <w:highlight w:val="none"/>
        </w:rPr>
        <w:t>容以</w:t>
      </w:r>
      <w:r>
        <w:rPr>
          <w:rFonts w:hint="eastAsia"/>
          <w:color w:val="auto"/>
          <w:szCs w:val="24"/>
          <w:highlight w:val="none"/>
        </w:rPr>
        <w:t>项目管理系统</w:t>
      </w:r>
      <w:r>
        <w:rPr>
          <w:rFonts w:hint="eastAsia"/>
          <w:color w:val="auto"/>
          <w:highlight w:val="none"/>
        </w:rPr>
        <w:t>统的当前版本为准。</w:t>
      </w:r>
    </w:p>
    <w:p>
      <w:pPr>
        <w:pStyle w:val="5"/>
        <w:rPr>
          <w:color w:val="auto"/>
          <w:highlight w:val="none"/>
        </w:rPr>
      </w:pPr>
      <w:r>
        <w:rPr>
          <w:rFonts w:hint="eastAsia"/>
          <w:color w:val="auto"/>
          <w:highlight w:val="none"/>
        </w:rPr>
        <w:t>按照</w:t>
      </w:r>
      <w:r>
        <w:rPr>
          <w:color w:val="auto"/>
          <w:highlight w:val="none"/>
        </w:rPr>
        <w:t>“</w:t>
      </w:r>
      <w:r>
        <w:rPr>
          <w:rFonts w:hint="eastAsia"/>
          <w:color w:val="auto"/>
          <w:highlight w:val="none"/>
        </w:rPr>
        <w:t>一人一账号</w:t>
      </w:r>
      <w:r>
        <w:rPr>
          <w:color w:val="auto"/>
          <w:highlight w:val="none"/>
        </w:rPr>
        <w:t>”</w:t>
      </w:r>
      <w:r>
        <w:rPr>
          <w:rFonts w:hint="eastAsia"/>
          <w:color w:val="auto"/>
          <w:highlight w:val="none"/>
        </w:rPr>
        <w:t>的使用原则，不可恶意使用他人账号进行操作使用。</w:t>
      </w:r>
    </w:p>
    <w:p>
      <w:pPr>
        <w:pStyle w:val="5"/>
        <w:rPr>
          <w:color w:val="auto"/>
          <w:highlight w:val="none"/>
        </w:rPr>
      </w:pPr>
      <w:r>
        <w:rPr>
          <w:rFonts w:hint="eastAsia"/>
          <w:color w:val="auto"/>
          <w:highlight w:val="none"/>
        </w:rPr>
        <w:t>设备及系统要求</w:t>
      </w:r>
      <w:r>
        <w:rPr>
          <w:color w:val="auto"/>
          <w:highlight w:val="none"/>
        </w:rPr>
        <w:t>:Window 7</w:t>
      </w:r>
      <w:r>
        <w:rPr>
          <w:color w:val="auto"/>
          <w:spacing w:val="-12"/>
          <w:highlight w:val="none"/>
        </w:rPr>
        <w:t xml:space="preserve"> </w:t>
      </w:r>
      <w:r>
        <w:rPr>
          <w:rFonts w:hint="eastAsia"/>
          <w:color w:val="auto"/>
          <w:spacing w:val="-12"/>
          <w:highlight w:val="none"/>
        </w:rPr>
        <w:t>以上操作系统，建议使用</w:t>
      </w:r>
      <w:r>
        <w:rPr>
          <w:color w:val="auto"/>
          <w:spacing w:val="-12"/>
          <w:highlight w:val="none"/>
        </w:rPr>
        <w:t xml:space="preserve"> </w:t>
      </w:r>
      <w:r>
        <w:rPr>
          <w:color w:val="auto"/>
          <w:highlight w:val="none"/>
        </w:rPr>
        <w:t>google</w:t>
      </w:r>
      <w:r>
        <w:rPr>
          <w:rFonts w:hint="eastAsia"/>
          <w:color w:val="auto"/>
          <w:spacing w:val="-3"/>
          <w:highlight w:val="none"/>
        </w:rPr>
        <w:t>、火狐浏览器，</w:t>
      </w:r>
      <w:r>
        <w:rPr>
          <w:color w:val="auto"/>
          <w:spacing w:val="-3"/>
          <w:highlight w:val="none"/>
        </w:rPr>
        <w:t xml:space="preserve"> </w:t>
      </w:r>
      <w:r>
        <w:rPr>
          <w:rFonts w:hint="eastAsia"/>
          <w:color w:val="auto"/>
          <w:spacing w:val="-3"/>
          <w:highlight w:val="none"/>
        </w:rPr>
        <w:t>加载速度更快，兼容性更好。支持</w:t>
      </w:r>
      <w:r>
        <w:rPr>
          <w:color w:val="auto"/>
          <w:spacing w:val="-3"/>
          <w:highlight w:val="none"/>
        </w:rPr>
        <w:t xml:space="preserve"> </w:t>
      </w:r>
      <w:r>
        <w:rPr>
          <w:color w:val="auto"/>
          <w:highlight w:val="none"/>
        </w:rPr>
        <w:t>IOS</w:t>
      </w:r>
      <w:r>
        <w:rPr>
          <w:color w:val="auto"/>
          <w:spacing w:val="-12"/>
          <w:highlight w:val="none"/>
        </w:rPr>
        <w:t xml:space="preserve"> </w:t>
      </w:r>
      <w:r>
        <w:rPr>
          <w:rFonts w:hint="eastAsia"/>
          <w:color w:val="auto"/>
          <w:spacing w:val="-12"/>
          <w:highlight w:val="none"/>
        </w:rPr>
        <w:t>系统</w:t>
      </w:r>
      <w:r>
        <w:rPr>
          <w:color w:val="auto"/>
          <w:spacing w:val="-12"/>
          <w:highlight w:val="none"/>
        </w:rPr>
        <w:t xml:space="preserve"> </w:t>
      </w:r>
      <w:r>
        <w:rPr>
          <w:color w:val="auto"/>
          <w:highlight w:val="none"/>
        </w:rPr>
        <w:t>10.0</w:t>
      </w:r>
      <w:r>
        <w:rPr>
          <w:color w:val="auto"/>
          <w:spacing w:val="-15"/>
          <w:highlight w:val="none"/>
        </w:rPr>
        <w:t xml:space="preserve"> </w:t>
      </w:r>
      <w:r>
        <w:rPr>
          <w:rFonts w:hint="eastAsia"/>
          <w:color w:val="auto"/>
          <w:spacing w:val="-15"/>
          <w:highlight w:val="none"/>
        </w:rPr>
        <w:t>版本以上和</w:t>
      </w:r>
      <w:r>
        <w:rPr>
          <w:color w:val="auto"/>
          <w:spacing w:val="-15"/>
          <w:highlight w:val="none"/>
        </w:rPr>
        <w:t xml:space="preserve"> </w:t>
      </w:r>
      <w:r>
        <w:rPr>
          <w:color w:val="auto"/>
          <w:highlight w:val="none"/>
        </w:rPr>
        <w:t>Android</w:t>
      </w:r>
      <w:r>
        <w:rPr>
          <w:color w:val="auto"/>
          <w:spacing w:val="-20"/>
          <w:highlight w:val="none"/>
        </w:rPr>
        <w:t xml:space="preserve"> </w:t>
      </w:r>
      <w:r>
        <w:rPr>
          <w:rFonts w:hint="eastAsia"/>
          <w:color w:val="auto"/>
          <w:spacing w:val="-20"/>
          <w:highlight w:val="none"/>
        </w:rPr>
        <w:t>系统</w:t>
      </w:r>
      <w:r>
        <w:rPr>
          <w:rFonts w:hint="eastAsia"/>
          <w:color w:val="auto"/>
          <w:highlight w:val="none"/>
        </w:rPr>
        <w:t>的目前较新版本。</w:t>
      </w:r>
    </w:p>
    <w:p>
      <w:pPr>
        <w:pStyle w:val="4"/>
        <w:rPr>
          <w:color w:val="auto"/>
          <w:highlight w:val="none"/>
        </w:rPr>
      </w:pPr>
      <w:bookmarkStart w:id="48" w:name="_Toc122371842"/>
      <w:r>
        <w:rPr>
          <w:rFonts w:hint="eastAsia"/>
          <w:color w:val="auto"/>
          <w:highlight w:val="none"/>
        </w:rPr>
        <w:t>维保要求</w:t>
      </w:r>
      <w:bookmarkEnd w:id="48"/>
    </w:p>
    <w:p>
      <w:pPr>
        <w:pStyle w:val="5"/>
        <w:rPr>
          <w:color w:val="auto"/>
          <w:highlight w:val="none"/>
        </w:rPr>
      </w:pPr>
      <w:r>
        <w:rPr>
          <w:rFonts w:hint="eastAsia"/>
          <w:color w:val="auto"/>
          <w:highlight w:val="none"/>
        </w:rPr>
        <w:t>维保要求</w:t>
      </w:r>
    </w:p>
    <w:p>
      <w:pPr>
        <w:pStyle w:val="34"/>
        <w:ind w:firstLine="480"/>
        <w:rPr>
          <w:color w:val="auto"/>
          <w:highlight w:val="none"/>
        </w:rPr>
      </w:pPr>
      <w:r>
        <w:rPr>
          <w:rFonts w:hint="eastAsia"/>
          <w:color w:val="auto"/>
          <w:highlight w:val="none"/>
        </w:rPr>
        <w:t>放射防护及磁屏蔽专业工程承包人应在合同要求的维保期</w:t>
      </w:r>
      <w:r>
        <w:rPr>
          <w:rFonts w:hint="eastAsia"/>
          <w:color w:val="auto"/>
          <w:highlight w:val="none"/>
          <w:u w:val="single"/>
        </w:rPr>
        <w:t>（</w:t>
      </w:r>
      <w:r>
        <w:rPr>
          <w:color w:val="auto"/>
          <w:highlight w:val="none"/>
          <w:u w:val="single"/>
        </w:rPr>
        <w:t>2</w:t>
      </w:r>
      <w:r>
        <w:rPr>
          <w:rFonts w:hint="eastAsia"/>
          <w:color w:val="auto"/>
          <w:highlight w:val="none"/>
          <w:u w:val="single"/>
        </w:rPr>
        <w:t>年）</w:t>
      </w:r>
      <w:r>
        <w:rPr>
          <w:rFonts w:hint="eastAsia"/>
          <w:color w:val="auto"/>
          <w:highlight w:val="none"/>
        </w:rPr>
        <w:t>内负责对所施工区域的后期维护工作，并对工程范围内的品质效果负责。维保期内由于施工质量及材料问题所造成的破损、毁坏、等须即时进行无条件维修、更换。维修期间须服从物业公司的管理及要求，如发生维修严重滞后或接到物业要求维修通知后仍无采取相应措施的，发包人将有权进行处罚并从维护费中扣除。</w:t>
      </w:r>
    </w:p>
    <w:p>
      <w:pPr>
        <w:pStyle w:val="4"/>
        <w:rPr>
          <w:color w:val="auto"/>
          <w:highlight w:val="none"/>
        </w:rPr>
      </w:pPr>
      <w:bookmarkStart w:id="49" w:name="_Toc122371843"/>
      <w:r>
        <w:rPr>
          <w:rFonts w:hint="eastAsia"/>
          <w:color w:val="auto"/>
          <w:highlight w:val="none"/>
        </w:rPr>
        <w:t>资料管理要求</w:t>
      </w:r>
      <w:bookmarkEnd w:id="49"/>
    </w:p>
    <w:p>
      <w:pPr>
        <w:pStyle w:val="5"/>
        <w:rPr>
          <w:color w:val="auto"/>
          <w:highlight w:val="none"/>
        </w:rPr>
      </w:pPr>
      <w:r>
        <w:rPr>
          <w:rFonts w:hint="eastAsia"/>
          <w:color w:val="auto"/>
          <w:highlight w:val="none"/>
        </w:rPr>
        <w:t>承包人对资料管理除按国家、省市等有关归档要求对自身资料进行收集整理外，且需满足《代建项目竣工档案管理细则》，并使整个工程资料达到国家、省、市优质样板工程资料归档的要求，产生的费用已在综合单价中考虑，结算时不单独立项计取，承包人不得以此项工作主张任何费用。</w:t>
      </w:r>
    </w:p>
    <w:p>
      <w:pPr>
        <w:pStyle w:val="5"/>
        <w:rPr>
          <w:color w:val="auto"/>
          <w:highlight w:val="none"/>
        </w:rPr>
      </w:pPr>
      <w:r>
        <w:rPr>
          <w:rFonts w:hint="eastAsia"/>
          <w:color w:val="auto"/>
          <w:highlight w:val="none"/>
        </w:rPr>
        <w:t>资料存档：承包人所有资料，必须扫描保存电子档，纸质版按文件盒分类存放。</w:t>
      </w:r>
    </w:p>
    <w:p>
      <w:pPr>
        <w:pStyle w:val="5"/>
        <w:rPr>
          <w:color w:val="auto"/>
          <w:highlight w:val="none"/>
        </w:rPr>
      </w:pPr>
      <w:r>
        <w:rPr>
          <w:rFonts w:hint="eastAsia"/>
          <w:color w:val="auto"/>
          <w:highlight w:val="none"/>
        </w:rPr>
        <w:t>影像资料：承包人须在施工全过程必须保留影像资料，不限于材料进场验收、材料见证送检、工作面移交、施工样板段</w:t>
      </w:r>
      <w:r>
        <w:rPr>
          <w:color w:val="auto"/>
          <w:highlight w:val="none"/>
        </w:rPr>
        <w:t>/</w:t>
      </w:r>
      <w:r>
        <w:rPr>
          <w:rFonts w:hint="eastAsia"/>
          <w:color w:val="auto"/>
          <w:highlight w:val="none"/>
        </w:rPr>
        <w:t>房评审、隐蔽工程验收等，统一水印相机模板。</w:t>
      </w:r>
    </w:p>
    <w:p>
      <w:pPr>
        <w:pStyle w:val="5"/>
        <w:rPr>
          <w:color w:val="auto"/>
          <w:highlight w:val="none"/>
        </w:rPr>
      </w:pPr>
      <w:r>
        <w:rPr>
          <w:rFonts w:hint="eastAsia"/>
          <w:color w:val="auto"/>
          <w:highlight w:val="none"/>
        </w:rPr>
        <w:t>周报资料：承包人在周例会前一天将</w:t>
      </w:r>
      <w:r>
        <w:rPr>
          <w:color w:val="auto"/>
          <w:highlight w:val="none"/>
        </w:rPr>
        <w:t>word</w:t>
      </w:r>
      <w:r>
        <w:rPr>
          <w:rFonts w:hint="eastAsia"/>
          <w:color w:val="auto"/>
          <w:highlight w:val="none"/>
        </w:rPr>
        <w:t>纸质版和</w:t>
      </w:r>
      <w:r>
        <w:rPr>
          <w:color w:val="auto"/>
          <w:highlight w:val="none"/>
        </w:rPr>
        <w:t>PPT</w:t>
      </w:r>
      <w:r>
        <w:rPr>
          <w:rFonts w:hint="eastAsia"/>
          <w:color w:val="auto"/>
          <w:highlight w:val="none"/>
        </w:rPr>
        <w:t>电子版汇报文件提交至监理项目部和发包方项目部；</w:t>
      </w:r>
    </w:p>
    <w:p>
      <w:pPr>
        <w:pStyle w:val="5"/>
        <w:rPr>
          <w:color w:val="auto"/>
          <w:highlight w:val="none"/>
        </w:rPr>
      </w:pPr>
      <w:r>
        <w:rPr>
          <w:rFonts w:hint="eastAsia"/>
          <w:color w:val="auto"/>
          <w:highlight w:val="none"/>
        </w:rPr>
        <w:t>月报资料：承包人在每月</w:t>
      </w:r>
      <w:r>
        <w:rPr>
          <w:color w:val="auto"/>
          <w:highlight w:val="none"/>
        </w:rPr>
        <w:t>25</w:t>
      </w:r>
      <w:r>
        <w:rPr>
          <w:rFonts w:hint="eastAsia"/>
          <w:color w:val="auto"/>
          <w:highlight w:val="none"/>
        </w:rPr>
        <w:t>日将</w:t>
      </w:r>
      <w:r>
        <w:rPr>
          <w:color w:val="auto"/>
          <w:highlight w:val="none"/>
        </w:rPr>
        <w:t>word</w:t>
      </w:r>
      <w:r>
        <w:rPr>
          <w:rFonts w:hint="eastAsia"/>
          <w:color w:val="auto"/>
          <w:highlight w:val="none"/>
        </w:rPr>
        <w:t>纸质版和</w:t>
      </w:r>
      <w:r>
        <w:rPr>
          <w:color w:val="auto"/>
          <w:highlight w:val="none"/>
        </w:rPr>
        <w:t>PPT</w:t>
      </w:r>
      <w:r>
        <w:rPr>
          <w:rFonts w:hint="eastAsia"/>
          <w:color w:val="auto"/>
          <w:highlight w:val="none"/>
        </w:rPr>
        <w:t>电子版月报文件提交至监理项目部和发包方项目部：</w:t>
      </w:r>
    </w:p>
    <w:p>
      <w:pPr>
        <w:pStyle w:val="5"/>
        <w:rPr>
          <w:color w:val="auto"/>
          <w:highlight w:val="none"/>
        </w:rPr>
      </w:pPr>
      <w:r>
        <w:rPr>
          <w:rFonts w:hint="eastAsia"/>
          <w:color w:val="auto"/>
          <w:highlight w:val="none"/>
        </w:rPr>
        <w:t>考勤记录：承包人每月</w:t>
      </w:r>
      <w:r>
        <w:rPr>
          <w:color w:val="auto"/>
          <w:highlight w:val="none"/>
        </w:rPr>
        <w:t>30</w:t>
      </w:r>
      <w:r>
        <w:rPr>
          <w:rFonts w:hint="eastAsia"/>
          <w:color w:val="auto"/>
          <w:highlight w:val="none"/>
        </w:rPr>
        <w:t>日将项目主要管理人员考勤记录至发包方项目部。</w:t>
      </w:r>
    </w:p>
    <w:p>
      <w:pPr>
        <w:pStyle w:val="5"/>
        <w:rPr>
          <w:color w:val="auto"/>
          <w:highlight w:val="none"/>
        </w:rPr>
      </w:pPr>
      <w:r>
        <w:rPr>
          <w:rFonts w:hint="eastAsia"/>
          <w:color w:val="auto"/>
          <w:highlight w:val="none"/>
        </w:rPr>
        <w:t>材料进场资料：承包人每月初制定本月材料进场计划，并在每月底向监理上报本月材料进场台账，确保材料品牌和合同要求完全一致。</w:t>
      </w:r>
    </w:p>
    <w:p>
      <w:pPr>
        <w:pStyle w:val="5"/>
        <w:rPr>
          <w:color w:val="auto"/>
          <w:highlight w:val="none"/>
        </w:rPr>
      </w:pPr>
      <w:r>
        <w:rPr>
          <w:rFonts w:hint="eastAsia"/>
          <w:color w:val="auto"/>
          <w:highlight w:val="none"/>
        </w:rPr>
        <w:t>第三方质量安全检查资料：承包人对发包人组织的第三方质量、安全检查的整改问题需在一周内完成整改并回复，如未按要求整改或回复的，将按合同相关条款进行处罚。</w:t>
      </w:r>
    </w:p>
    <w:p>
      <w:pPr>
        <w:pStyle w:val="5"/>
        <w:rPr>
          <w:color w:val="auto"/>
          <w:highlight w:val="none"/>
        </w:rPr>
      </w:pPr>
      <w:r>
        <w:rPr>
          <w:rFonts w:hint="eastAsia"/>
          <w:color w:val="auto"/>
          <w:highlight w:val="none"/>
        </w:rPr>
        <w:t>设计巡场资料：承包人对发包人设计部和设计院组织的设计巡场问题需在一周内完成整改并回复，如未按要求整改或回复的，将按合同相关条款进行处罚。</w:t>
      </w:r>
    </w:p>
    <w:p>
      <w:pPr>
        <w:pStyle w:val="5"/>
        <w:rPr>
          <w:color w:val="auto"/>
          <w:highlight w:val="none"/>
        </w:rPr>
      </w:pPr>
      <w:r>
        <w:rPr>
          <w:rFonts w:hint="eastAsia"/>
          <w:color w:val="auto"/>
          <w:highlight w:val="none"/>
        </w:rPr>
        <w:t>变更、结算资料：承包人应按照合同要求编制和上报工程变更、结算资料至发包人审核，若承包人不按要求在规定时间报送变更和结算资料，发包人可对承包人发催报书面通知，在书面通知规定期限内仍不报送结算的，发包人有权按已有资料进行变更和结算审核，并记录承包人不良行为。</w:t>
      </w:r>
    </w:p>
    <w:p>
      <w:pPr>
        <w:pStyle w:val="4"/>
        <w:rPr>
          <w:color w:val="auto"/>
          <w:highlight w:val="none"/>
        </w:rPr>
      </w:pPr>
      <w:bookmarkStart w:id="50" w:name="_Toc122371844"/>
      <w:r>
        <w:rPr>
          <w:color w:val="auto"/>
          <w:highlight w:val="none"/>
        </w:rPr>
        <w:t>EIM</w:t>
      </w:r>
      <w:r>
        <w:rPr>
          <w:rFonts w:hint="eastAsia"/>
          <w:color w:val="auto"/>
          <w:highlight w:val="none"/>
        </w:rPr>
        <w:t>系统使用要求</w:t>
      </w:r>
      <w:bookmarkEnd w:id="50"/>
    </w:p>
    <w:p>
      <w:pPr>
        <w:pStyle w:val="5"/>
        <w:rPr>
          <w:color w:val="auto"/>
          <w:highlight w:val="none"/>
        </w:rPr>
      </w:pPr>
      <w:r>
        <w:rPr>
          <w:rFonts w:hint="eastAsia"/>
          <w:color w:val="auto"/>
          <w:highlight w:val="none"/>
        </w:rPr>
        <w:t>对已建立线上档案管理平台系统（</w:t>
      </w:r>
      <w:r>
        <w:rPr>
          <w:color w:val="auto"/>
          <w:highlight w:val="none"/>
        </w:rPr>
        <w:t>EIM</w:t>
      </w:r>
      <w:r>
        <w:rPr>
          <w:rFonts w:hint="eastAsia"/>
          <w:color w:val="auto"/>
          <w:highlight w:val="none"/>
        </w:rPr>
        <w:t>）的项目工程，承包人需安排资料专员负责该系统的使用和管理，资料专员应参与由发包人组织的关于档案管理平台（</w:t>
      </w:r>
      <w:r>
        <w:rPr>
          <w:color w:val="auto"/>
          <w:highlight w:val="none"/>
        </w:rPr>
        <w:t>EIM</w:t>
      </w:r>
      <w:r>
        <w:rPr>
          <w:rFonts w:hint="eastAsia"/>
          <w:color w:val="auto"/>
          <w:highlight w:val="none"/>
        </w:rPr>
        <w:t>）的培训；在项目施工全过程中，须按发包人要求及时录入工程资料（不限于工程准备阶段文件、施工资料、竣工图、工程竣工文件、影像文件等）并进行组卷归档，以备为竣工后的资料移交提前做准备。</w:t>
      </w:r>
    </w:p>
    <w:p>
      <w:pPr>
        <w:pStyle w:val="4"/>
        <w:rPr>
          <w:color w:val="auto"/>
          <w:highlight w:val="none"/>
        </w:rPr>
      </w:pPr>
      <w:bookmarkStart w:id="51" w:name="_Toc122371845"/>
      <w:r>
        <w:rPr>
          <w:rFonts w:hint="eastAsia" w:ascii="黑体" w:hAnsi="黑体"/>
          <w:color w:val="auto"/>
          <w:highlight w:val="none"/>
        </w:rPr>
        <w:t>精细化管理要求</w:t>
      </w:r>
      <w:bookmarkEnd w:id="51"/>
    </w:p>
    <w:p>
      <w:pPr>
        <w:pStyle w:val="5"/>
        <w:rPr>
          <w:color w:val="auto"/>
          <w:highlight w:val="none"/>
        </w:rPr>
      </w:pPr>
      <w:r>
        <w:rPr>
          <w:rFonts w:hint="eastAsia"/>
          <w:color w:val="auto"/>
          <w:highlight w:val="none"/>
        </w:rPr>
        <w:t>承包人进场后需结合地域环境的差异性、工程特点、精细化管理分档落地实施表及华润置地精细化管理相应制度文件，制定本工程的“精细化”管理动作清单及方案（提交文件时需提供</w:t>
      </w:r>
      <w:r>
        <w:rPr>
          <w:color w:val="auto"/>
          <w:highlight w:val="none"/>
        </w:rPr>
        <w:t>PDF</w:t>
      </w:r>
      <w:r>
        <w:rPr>
          <w:rFonts w:hint="eastAsia"/>
          <w:color w:val="auto"/>
          <w:highlight w:val="none"/>
        </w:rPr>
        <w:t>版和可编辑的电子版本），报发包方</w:t>
      </w:r>
      <w:r>
        <w:rPr>
          <w:color w:val="auto"/>
          <w:highlight w:val="none"/>
        </w:rPr>
        <w:t>/</w:t>
      </w:r>
      <w:r>
        <w:rPr>
          <w:rFonts w:hint="eastAsia"/>
          <w:color w:val="auto"/>
          <w:highlight w:val="none"/>
        </w:rPr>
        <w:t>监理单位审批及备案。</w:t>
      </w:r>
    </w:p>
    <w:p>
      <w:pPr>
        <w:pStyle w:val="5"/>
        <w:rPr>
          <w:color w:val="auto"/>
          <w:highlight w:val="none"/>
        </w:rPr>
      </w:pPr>
      <w:r>
        <w:rPr>
          <w:rFonts w:hint="eastAsia"/>
          <w:color w:val="auto"/>
          <w:highlight w:val="none"/>
        </w:rPr>
        <w:t>施工过程中，承包人需按照“精细化管理动作方案”严格进行现场管理，并接受华润置地华南大区工程部等部门对“精细化”管理执行情况的检查及考评。承包单位对于检查及考评过程中遇到的问题及不足，应积极响应并限时整改。</w:t>
      </w:r>
    </w:p>
    <w:p>
      <w:pPr>
        <w:pStyle w:val="5"/>
        <w:rPr>
          <w:color w:val="auto"/>
          <w:highlight w:val="none"/>
        </w:rPr>
      </w:pPr>
      <w:r>
        <w:rPr>
          <w:rFonts w:hint="eastAsia"/>
          <w:color w:val="auto"/>
          <w:highlight w:val="none"/>
        </w:rPr>
        <w:t>华润置地精细化管理制度文件包括：《华南大区项目工程精细化管理专篇》、《华南大区工程影响记录管理指引》、《华润置地工程精细化管理手册》。</w:t>
      </w:r>
    </w:p>
    <w:p>
      <w:pPr>
        <w:ind w:firstLine="578"/>
        <w:rPr>
          <w:rFonts w:ascii="Times New Roman" w:hAnsi="Times New Roman" w:cs="Times New Roman"/>
          <w:color w:val="auto"/>
          <w:spacing w:val="-1"/>
          <w:highlight w:val="none"/>
          <w:lang w:eastAsia="zh-CN"/>
        </w:rPr>
      </w:pPr>
      <w:r>
        <w:rPr>
          <w:rFonts w:ascii="Times New Roman" w:hAnsi="Times New Roman" w:cs="Times New Roman"/>
          <w:color w:val="auto"/>
          <w:spacing w:val="-1"/>
          <w:highlight w:val="none"/>
          <w:lang w:eastAsia="zh-CN"/>
        </w:rPr>
        <w:br w:type="page"/>
      </w:r>
    </w:p>
    <w:p>
      <w:pPr>
        <w:pStyle w:val="3"/>
        <w:rPr>
          <w:color w:val="auto"/>
          <w:highlight w:val="none"/>
        </w:rPr>
      </w:pPr>
      <w:r>
        <w:rPr>
          <w:rFonts w:hint="eastAsia"/>
          <w:color w:val="auto"/>
          <w:highlight w:val="none"/>
        </w:rPr>
        <w:t>放射防护及磁屏蔽工程</w:t>
      </w:r>
      <w:r>
        <w:rPr>
          <w:color w:val="auto"/>
          <w:highlight w:val="none"/>
        </w:rPr>
        <w:tab/>
      </w:r>
      <w:bookmarkStart w:id="52" w:name="_Toc122371846"/>
      <w:r>
        <w:rPr>
          <w:rFonts w:hint="eastAsia"/>
          <w:color w:val="auto"/>
          <w:highlight w:val="none"/>
        </w:rPr>
        <w:t>技术要求</w:t>
      </w:r>
      <w:bookmarkEnd w:id="52"/>
    </w:p>
    <w:p>
      <w:pPr>
        <w:pStyle w:val="4"/>
        <w:rPr>
          <w:color w:val="auto"/>
          <w:highlight w:val="none"/>
        </w:rPr>
      </w:pPr>
      <w:bookmarkStart w:id="53" w:name="_Toc122371847"/>
      <w:r>
        <w:rPr>
          <w:rFonts w:hint="eastAsia"/>
          <w:color w:val="auto"/>
          <w:highlight w:val="none"/>
        </w:rPr>
        <w:t>技术规范和标准</w:t>
      </w:r>
      <w:bookmarkEnd w:id="53"/>
    </w:p>
    <w:p>
      <w:pPr>
        <w:ind w:firstLine="169"/>
        <w:rPr>
          <w:rFonts w:ascii="Times New Roman" w:hAnsi="Times New Roman" w:cs="Times New Roman"/>
          <w:color w:val="auto"/>
          <w:sz w:val="7"/>
          <w:szCs w:val="24"/>
          <w:highlight w:val="none"/>
        </w:rPr>
      </w:pPr>
    </w:p>
    <w:p>
      <w:pPr>
        <w:pStyle w:val="34"/>
        <w:ind w:firstLine="480"/>
        <w:rPr>
          <w:color w:val="auto"/>
          <w:highlight w:val="none"/>
        </w:rPr>
      </w:pPr>
      <w:r>
        <w:rPr>
          <w:color w:val="auto"/>
          <w:highlight w:val="none"/>
        </w:rPr>
        <w:t>1</w:t>
      </w:r>
      <w:r>
        <w:rPr>
          <w:rFonts w:hint="eastAsia"/>
          <w:color w:val="auto"/>
          <w:highlight w:val="none"/>
        </w:rPr>
        <w:t>、承包人应严格执行最新的现行国家、行业和地方相关技术规范和标准。若上述规范和标准内容有互相抵触时，应按较严格的条款执行。</w:t>
      </w:r>
    </w:p>
    <w:p>
      <w:pPr>
        <w:pStyle w:val="34"/>
        <w:ind w:firstLine="480"/>
        <w:rPr>
          <w:color w:val="auto"/>
          <w:highlight w:val="none"/>
        </w:rPr>
      </w:pPr>
      <w:r>
        <w:rPr>
          <w:color w:val="auto"/>
          <w:highlight w:val="none"/>
        </w:rPr>
        <w:t>2</w:t>
      </w:r>
      <w:r>
        <w:rPr>
          <w:rFonts w:hint="eastAsia"/>
          <w:color w:val="auto"/>
          <w:highlight w:val="none"/>
        </w:rPr>
        <w:t>、承包人应严格执行设计图纸要求的标准，按设计要求施工。若设计标准与国家、地方现行相关技术规范和标准内容不同时，按较严格的条款执行。</w:t>
      </w:r>
    </w:p>
    <w:p>
      <w:pPr>
        <w:pStyle w:val="34"/>
        <w:ind w:firstLine="480"/>
        <w:rPr>
          <w:color w:val="auto"/>
          <w:highlight w:val="none"/>
        </w:rPr>
      </w:pPr>
      <w:r>
        <w:rPr>
          <w:color w:val="auto"/>
          <w:highlight w:val="none"/>
        </w:rPr>
        <w:t>3</w:t>
      </w:r>
      <w:r>
        <w:rPr>
          <w:rFonts w:hint="eastAsia"/>
          <w:color w:val="auto"/>
          <w:highlight w:val="none"/>
        </w:rPr>
        <w:t>、检测验收标准（防护工程）</w:t>
      </w:r>
    </w:p>
    <w:p>
      <w:pPr>
        <w:pStyle w:val="34"/>
        <w:ind w:firstLine="480"/>
        <w:rPr>
          <w:color w:val="auto"/>
          <w:highlight w:val="none"/>
        </w:rPr>
      </w:pPr>
      <w:r>
        <w:rPr>
          <w:rFonts w:hint="eastAsia"/>
          <w:color w:val="auto"/>
          <w:highlight w:val="none"/>
        </w:rPr>
        <w:t>中华人民共和国主席令《中华人民共和国放射性污染防治法》</w:t>
      </w:r>
    </w:p>
    <w:p>
      <w:pPr>
        <w:pStyle w:val="34"/>
        <w:ind w:firstLine="480"/>
        <w:rPr>
          <w:color w:val="auto"/>
          <w:highlight w:val="none"/>
        </w:rPr>
      </w:pPr>
      <w:r>
        <w:rPr>
          <w:rFonts w:hint="eastAsia"/>
          <w:color w:val="auto"/>
          <w:highlight w:val="none"/>
        </w:rPr>
        <w:t>中华人民共和国主席令《中华人民共和国职业病防治法》</w:t>
      </w:r>
    </w:p>
    <w:p>
      <w:pPr>
        <w:pStyle w:val="34"/>
        <w:ind w:firstLine="480"/>
        <w:rPr>
          <w:color w:val="auto"/>
          <w:highlight w:val="none"/>
        </w:rPr>
      </w:pPr>
      <w:r>
        <w:rPr>
          <w:rFonts w:hint="eastAsia"/>
          <w:color w:val="auto"/>
          <w:highlight w:val="none"/>
        </w:rPr>
        <w:t>中华人民共和国国务院令《放射性同位素与射线装置安全和防护条例》</w:t>
      </w:r>
    </w:p>
    <w:p>
      <w:pPr>
        <w:pStyle w:val="34"/>
        <w:ind w:firstLine="480"/>
        <w:rPr>
          <w:color w:val="auto"/>
          <w:highlight w:val="none"/>
        </w:rPr>
      </w:pPr>
      <w:r>
        <w:rPr>
          <w:rFonts w:hint="eastAsia"/>
          <w:color w:val="auto"/>
          <w:highlight w:val="none"/>
        </w:rPr>
        <w:t>中华人民共和国卫生部《建设项目职业病危害评价规范》</w:t>
      </w:r>
    </w:p>
    <w:p>
      <w:pPr>
        <w:pStyle w:val="34"/>
        <w:ind w:firstLine="480"/>
        <w:rPr>
          <w:color w:val="auto"/>
          <w:highlight w:val="none"/>
        </w:rPr>
      </w:pPr>
      <w:r>
        <w:rPr>
          <w:rFonts w:hint="eastAsia"/>
          <w:color w:val="auto"/>
          <w:highlight w:val="none"/>
        </w:rPr>
        <w:t>中华人民共和国卫生部《放射卫生工作防护管理办法》</w:t>
      </w:r>
    </w:p>
    <w:p>
      <w:pPr>
        <w:pStyle w:val="34"/>
        <w:ind w:firstLine="480"/>
        <w:rPr>
          <w:color w:val="auto"/>
          <w:highlight w:val="none"/>
        </w:rPr>
      </w:pPr>
      <w:r>
        <w:rPr>
          <w:rFonts w:hint="eastAsia"/>
          <w:color w:val="auto"/>
          <w:highlight w:val="none"/>
        </w:rPr>
        <w:t>中华人民共和国卫生部《放射卫生人员健康管理办法》</w:t>
      </w:r>
    </w:p>
    <w:p>
      <w:pPr>
        <w:pStyle w:val="34"/>
        <w:ind w:firstLine="480"/>
        <w:rPr>
          <w:color w:val="auto"/>
          <w:highlight w:val="none"/>
        </w:rPr>
      </w:pPr>
      <w:r>
        <w:rPr>
          <w:rFonts w:hint="eastAsia"/>
          <w:color w:val="auto"/>
          <w:highlight w:val="none"/>
        </w:rPr>
        <w:t>国家标准：</w:t>
      </w:r>
      <w:r>
        <w:rPr>
          <w:color w:val="auto"/>
          <w:highlight w:val="none"/>
        </w:rPr>
        <w:t>GB18871</w:t>
      </w:r>
      <w:r>
        <w:rPr>
          <w:rFonts w:hint="eastAsia"/>
          <w:color w:val="auto"/>
          <w:highlight w:val="none"/>
        </w:rPr>
        <w:t>-2002《电离辐射防护与辐射源安全基本标准》</w:t>
      </w:r>
    </w:p>
    <w:p>
      <w:pPr>
        <w:pStyle w:val="34"/>
        <w:ind w:firstLine="480"/>
        <w:rPr>
          <w:color w:val="auto"/>
          <w:highlight w:val="none"/>
        </w:rPr>
      </w:pPr>
      <w:r>
        <w:rPr>
          <w:rFonts w:hint="eastAsia"/>
          <w:color w:val="auto"/>
          <w:highlight w:val="none"/>
        </w:rPr>
        <w:t>国家标准：</w:t>
      </w:r>
      <w:r>
        <w:rPr>
          <w:color w:val="auto"/>
          <w:highlight w:val="none"/>
        </w:rPr>
        <w:t>GBZ1</w:t>
      </w:r>
      <w:r>
        <w:rPr>
          <w:rFonts w:hint="eastAsia"/>
          <w:color w:val="auto"/>
          <w:highlight w:val="none"/>
        </w:rPr>
        <w:t>2</w:t>
      </w:r>
      <w:r>
        <w:rPr>
          <w:color w:val="auto"/>
          <w:highlight w:val="none"/>
        </w:rPr>
        <w:t>0</w:t>
      </w:r>
      <w:r>
        <w:rPr>
          <w:rFonts w:hint="eastAsia"/>
          <w:color w:val="auto"/>
          <w:highlight w:val="none"/>
        </w:rPr>
        <w:t>-2020《</w:t>
      </w:r>
      <w:r>
        <w:rPr>
          <w:rFonts w:hint="eastAsia"/>
          <w:color w:val="auto"/>
          <w:highlight w:val="none"/>
        </w:rPr>
        <w:tab/>
      </w:r>
      <w:r>
        <w:rPr>
          <w:rFonts w:hint="eastAsia"/>
          <w:color w:val="auto"/>
          <w:highlight w:val="none"/>
        </w:rPr>
        <w:t>核医学放射防护要求》</w:t>
      </w:r>
    </w:p>
    <w:p>
      <w:pPr>
        <w:pStyle w:val="34"/>
        <w:ind w:firstLine="480"/>
        <w:rPr>
          <w:color w:val="auto"/>
          <w:highlight w:val="none"/>
        </w:rPr>
      </w:pPr>
      <w:r>
        <w:rPr>
          <w:rFonts w:hint="eastAsia"/>
          <w:color w:val="auto"/>
          <w:highlight w:val="none"/>
        </w:rPr>
        <w:t>国家标准：</w:t>
      </w:r>
      <w:r>
        <w:rPr>
          <w:color w:val="auto"/>
          <w:highlight w:val="none"/>
        </w:rPr>
        <w:t>GBZ1</w:t>
      </w:r>
      <w:r>
        <w:rPr>
          <w:rFonts w:hint="eastAsia"/>
          <w:color w:val="auto"/>
          <w:highlight w:val="none"/>
        </w:rPr>
        <w:t>21-2020《放射治疗放射防护要求》</w:t>
      </w:r>
    </w:p>
    <w:p>
      <w:pPr>
        <w:pStyle w:val="34"/>
        <w:ind w:firstLine="480"/>
        <w:rPr>
          <w:color w:val="auto"/>
          <w:highlight w:val="none"/>
        </w:rPr>
      </w:pPr>
      <w:r>
        <w:rPr>
          <w:rFonts w:hint="eastAsia"/>
          <w:color w:val="auto"/>
          <w:highlight w:val="none"/>
        </w:rPr>
        <w:t>国家标准：GBZ130-2020《放射诊断放射防护要求》</w:t>
      </w:r>
    </w:p>
    <w:p>
      <w:pPr>
        <w:pStyle w:val="34"/>
        <w:ind w:firstLine="480"/>
        <w:rPr>
          <w:color w:val="auto"/>
          <w:highlight w:val="none"/>
        </w:rPr>
      </w:pPr>
      <w:r>
        <w:rPr>
          <w:rFonts w:hint="eastAsia"/>
          <w:color w:val="auto"/>
          <w:highlight w:val="none"/>
        </w:rPr>
        <w:t>国家现行的有关规范、标准和规定</w:t>
      </w:r>
    </w:p>
    <w:p>
      <w:pPr>
        <w:pStyle w:val="34"/>
        <w:ind w:firstLine="480"/>
        <w:rPr>
          <w:color w:val="auto"/>
          <w:highlight w:val="none"/>
        </w:rPr>
      </w:pPr>
      <w:r>
        <w:rPr>
          <w:rFonts w:hint="eastAsia"/>
          <w:color w:val="auto"/>
          <w:highlight w:val="none"/>
        </w:rPr>
        <w:t>其他国家及省、市现行施工、验收规范、规定、标准</w:t>
      </w:r>
    </w:p>
    <w:p>
      <w:pPr>
        <w:pStyle w:val="4"/>
        <w:rPr>
          <w:color w:val="auto"/>
          <w:highlight w:val="none"/>
        </w:rPr>
      </w:pPr>
      <w:bookmarkStart w:id="54" w:name="_Toc122371848"/>
      <w:r>
        <w:rPr>
          <w:rFonts w:hint="eastAsia"/>
          <w:color w:val="auto"/>
          <w:highlight w:val="none"/>
        </w:rPr>
        <w:t>通用要求</w:t>
      </w:r>
      <w:bookmarkEnd w:id="54"/>
    </w:p>
    <w:p>
      <w:pPr>
        <w:pStyle w:val="5"/>
        <w:rPr>
          <w:color w:val="auto"/>
          <w:highlight w:val="none"/>
        </w:rPr>
      </w:pPr>
      <w:r>
        <w:rPr>
          <w:rFonts w:hint="eastAsia"/>
          <w:color w:val="auto"/>
          <w:highlight w:val="none"/>
        </w:rPr>
        <w:t>本工程执行国家现行技术标准和技术规范，工程所用材料、工程技术与质量应符合本章中的有关规定。</w:t>
      </w:r>
    </w:p>
    <w:p>
      <w:pPr>
        <w:pStyle w:val="5"/>
        <w:rPr>
          <w:color w:val="auto"/>
          <w:highlight w:val="none"/>
        </w:rPr>
      </w:pPr>
      <w:r>
        <w:rPr>
          <w:rFonts w:hint="eastAsia"/>
          <w:color w:val="auto"/>
          <w:highlight w:val="none"/>
        </w:rPr>
        <w:t>在合同履行期间，本工程所采用的标准或规范若有修改或新颁或不完整，监理工程师认为有必要采用时，在报经发包人批准后，向承包人发出变更指令。</w:t>
      </w:r>
    </w:p>
    <w:p>
      <w:pPr>
        <w:pStyle w:val="5"/>
        <w:rPr>
          <w:color w:val="auto"/>
          <w:highlight w:val="none"/>
        </w:rPr>
      </w:pPr>
      <w:r>
        <w:rPr>
          <w:rFonts w:hint="eastAsia"/>
          <w:color w:val="auto"/>
          <w:highlight w:val="none"/>
        </w:rPr>
        <w:t>本工程要求承包人必须以</w:t>
      </w:r>
      <w:r>
        <w:rPr>
          <w:color w:val="auto"/>
          <w:highlight w:val="none"/>
        </w:rPr>
        <w:t>ISO9001</w:t>
      </w:r>
      <w:r>
        <w:rPr>
          <w:rFonts w:hint="eastAsia"/>
          <w:color w:val="auto"/>
          <w:highlight w:val="none"/>
        </w:rPr>
        <w:t>（</w:t>
      </w:r>
      <w:r>
        <w:rPr>
          <w:color w:val="auto"/>
          <w:highlight w:val="none"/>
        </w:rPr>
        <w:t>2000</w:t>
      </w:r>
      <w:r>
        <w:rPr>
          <w:rFonts w:hint="eastAsia"/>
          <w:color w:val="auto"/>
          <w:highlight w:val="none"/>
        </w:rPr>
        <w:t>）质量体系为标准，建立健全的工程质量保证体系。</w:t>
      </w:r>
    </w:p>
    <w:p>
      <w:pPr>
        <w:pStyle w:val="5"/>
        <w:rPr>
          <w:color w:val="auto"/>
          <w:highlight w:val="none"/>
        </w:rPr>
      </w:pPr>
      <w:r>
        <w:rPr>
          <w:rFonts w:hint="eastAsia"/>
          <w:color w:val="auto"/>
          <w:highlight w:val="none"/>
        </w:rPr>
        <w:t>承包人应严格按照现行各项规范和标准，从材料到安装施工过程的各个方面入手，严把质量关，坚决杜绝把不合格的材料用到本项目上。</w:t>
      </w:r>
    </w:p>
    <w:p>
      <w:pPr>
        <w:pStyle w:val="5"/>
        <w:rPr>
          <w:color w:val="auto"/>
          <w:highlight w:val="none"/>
        </w:rPr>
      </w:pPr>
      <w:r>
        <w:rPr>
          <w:rFonts w:hint="eastAsia"/>
          <w:color w:val="auto"/>
          <w:highlight w:val="none"/>
        </w:rPr>
        <w:t>承包人在施工前须完成各种必要的试验。承包人应承担在生产场地和施工现场对材料和工程的任何部分进行的所有检验费用，并支付招标文件说明要由其执行的试验费用；无论何时承包人准备好进行检验的都应留出足够时间预先就检查地点和时间通知发包人，承包人应保证从任何有关的第三方获得必要的许可，以使发包人的检验人员能参加检验。</w:t>
      </w:r>
    </w:p>
    <w:p>
      <w:pPr>
        <w:pStyle w:val="5"/>
        <w:rPr>
          <w:color w:val="auto"/>
          <w:highlight w:val="none"/>
        </w:rPr>
      </w:pPr>
      <w:r>
        <w:rPr>
          <w:rFonts w:hint="eastAsia"/>
          <w:color w:val="auto"/>
          <w:highlight w:val="none"/>
        </w:rPr>
        <w:t>承包人必须做好与相关单位的配合。</w:t>
      </w:r>
    </w:p>
    <w:p>
      <w:pPr>
        <w:pStyle w:val="5"/>
        <w:rPr>
          <w:color w:val="auto"/>
          <w:highlight w:val="none"/>
        </w:rPr>
      </w:pPr>
      <w:r>
        <w:rPr>
          <w:rFonts w:hint="eastAsia"/>
          <w:color w:val="auto"/>
          <w:highlight w:val="none"/>
        </w:rPr>
        <w:t>承包人应对投标内容所涉及的一切专利承担责任，并负责保护发包人的利益不受任何损害。一切由于文字、商标和技术专利等侵权引起的法律诉讼和裁决及其发生的所有费用均由承包人负责，与发包人无关。</w:t>
      </w:r>
    </w:p>
    <w:p>
      <w:pPr>
        <w:pStyle w:val="5"/>
        <w:rPr>
          <w:color w:val="auto"/>
          <w:highlight w:val="none"/>
        </w:rPr>
      </w:pPr>
      <w:r>
        <w:rPr>
          <w:rFonts w:hint="eastAsia"/>
          <w:color w:val="auto"/>
          <w:highlight w:val="none"/>
        </w:rPr>
        <w:t>本技术要求与合同条件、图纸的规定和要求是一致的，应互相对照阅读和使用。如果技术要求与图纸中有明显未提到的任何细节，或涉及到本技术要求中任何条款的叙述中没有明显规定的，都应被认为指的是采用监理工程师可以接受的我市建设工程的习惯作法。</w:t>
      </w:r>
    </w:p>
    <w:p>
      <w:pPr>
        <w:pStyle w:val="5"/>
        <w:rPr>
          <w:color w:val="auto"/>
          <w:highlight w:val="none"/>
        </w:rPr>
      </w:pPr>
      <w:r>
        <w:rPr>
          <w:rFonts w:hint="eastAsia"/>
          <w:color w:val="auto"/>
          <w:highlight w:val="none"/>
        </w:rPr>
        <w:t>承包人应在装饰项目施工前先在原位加工样板，经建筑设计师及发包人查看同意后，才许批量施工。</w:t>
      </w:r>
    </w:p>
    <w:p>
      <w:pPr>
        <w:pStyle w:val="5"/>
        <w:rPr>
          <w:color w:val="auto"/>
          <w:highlight w:val="none"/>
        </w:rPr>
      </w:pPr>
      <w:r>
        <w:rPr>
          <w:rFonts w:hint="eastAsia"/>
          <w:color w:val="auto"/>
          <w:highlight w:val="none"/>
        </w:rPr>
        <w:t>本技术要求在执行中，某些条文如有不明确和矛盾之处，以要求较高者为准。</w:t>
      </w:r>
    </w:p>
    <w:p>
      <w:pPr>
        <w:ind w:left="426" w:firstLine="583" w:firstLineChars="243"/>
        <w:jc w:val="both"/>
        <w:rPr>
          <w:rFonts w:ascii="Times New Roman" w:hAnsi="Times New Roman" w:cs="Times New Roman"/>
          <w:color w:val="auto"/>
          <w:szCs w:val="24"/>
          <w:highlight w:val="none"/>
          <w:lang w:eastAsia="zh-CN"/>
        </w:rPr>
      </w:pPr>
    </w:p>
    <w:p>
      <w:pPr>
        <w:pStyle w:val="4"/>
        <w:rPr>
          <w:color w:val="auto"/>
          <w:highlight w:val="none"/>
        </w:rPr>
      </w:pPr>
      <w:r>
        <w:rPr>
          <w:rFonts w:hint="eastAsia"/>
          <w:color w:val="auto"/>
          <w:highlight w:val="none"/>
        </w:rPr>
        <w:t xml:space="preserve"> </w:t>
      </w:r>
      <w:r>
        <w:rPr>
          <w:color w:val="auto"/>
          <w:highlight w:val="none"/>
        </w:rPr>
        <w:t xml:space="preserve"> </w:t>
      </w:r>
      <w:bookmarkStart w:id="55" w:name="_Toc122371849"/>
      <w:r>
        <w:rPr>
          <w:rFonts w:hint="eastAsia"/>
          <w:color w:val="auto"/>
          <w:highlight w:val="none"/>
        </w:rPr>
        <w:t>电动</w:t>
      </w:r>
      <w:r>
        <w:rPr>
          <w:color w:val="auto"/>
          <w:highlight w:val="none"/>
        </w:rPr>
        <w:t>/</w:t>
      </w:r>
      <w:r>
        <w:rPr>
          <w:rFonts w:hint="eastAsia"/>
          <w:color w:val="auto"/>
          <w:highlight w:val="none"/>
        </w:rPr>
        <w:t>手动防护门及铅玻璃观察窗技术要求</w:t>
      </w:r>
      <w:bookmarkEnd w:id="55"/>
      <w:r>
        <w:rPr>
          <w:rFonts w:hint="eastAsia"/>
          <w:color w:val="auto"/>
          <w:highlight w:val="none"/>
        </w:rPr>
        <w:t xml:space="preserve"> </w:t>
      </w:r>
      <w:r>
        <w:rPr>
          <w:color w:val="auto"/>
          <w:highlight w:val="none"/>
        </w:rPr>
        <w:t xml:space="preserve">                                                                          </w:t>
      </w:r>
    </w:p>
    <w:p>
      <w:pPr>
        <w:pStyle w:val="5"/>
        <w:rPr>
          <w:color w:val="auto"/>
          <w:highlight w:val="none"/>
        </w:rPr>
      </w:pPr>
      <w:r>
        <w:rPr>
          <w:rFonts w:hint="eastAsia"/>
          <w:color w:val="auto"/>
          <w:highlight w:val="none"/>
        </w:rPr>
        <w:t>电动防护门</w:t>
      </w:r>
    </w:p>
    <w:p>
      <w:pPr>
        <w:widowControl/>
        <w:ind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详见图纸（外观需满足设计风格及外观要求，与整体风格协调，门体表面颜色可选。</w:t>
      </w:r>
    </w:p>
    <w:p>
      <w:pPr>
        <w:pStyle w:val="7"/>
        <w:rPr>
          <w:color w:val="auto"/>
          <w:highlight w:val="none"/>
        </w:rPr>
      </w:pPr>
      <w:r>
        <w:rPr>
          <w:rFonts w:hint="eastAsia"/>
          <w:color w:val="auto"/>
          <w:highlight w:val="none"/>
        </w:rPr>
        <w:t>尺寸要求：见防护设计参数</w:t>
      </w:r>
    </w:p>
    <w:p>
      <w:pPr>
        <w:pStyle w:val="7"/>
        <w:rPr>
          <w:color w:val="auto"/>
          <w:highlight w:val="none"/>
        </w:rPr>
      </w:pPr>
      <w:r>
        <w:rPr>
          <w:rFonts w:hint="eastAsia"/>
          <w:color w:val="auto"/>
          <w:highlight w:val="none"/>
        </w:rPr>
        <w:t>防护要求：见防护设计参数。</w:t>
      </w:r>
    </w:p>
    <w:p>
      <w:pPr>
        <w:pStyle w:val="7"/>
        <w:rPr>
          <w:color w:val="auto"/>
          <w:highlight w:val="none"/>
        </w:rPr>
      </w:pPr>
      <w:r>
        <w:rPr>
          <w:rFonts w:hint="eastAsia"/>
          <w:color w:val="auto"/>
          <w:highlight w:val="none"/>
        </w:rPr>
        <w:t>配置：采用进口微电脑成套控制系统、配备门机联锁装置。</w:t>
      </w:r>
    </w:p>
    <w:p>
      <w:pPr>
        <w:pStyle w:val="7"/>
        <w:rPr>
          <w:color w:val="auto"/>
          <w:highlight w:val="none"/>
        </w:rPr>
      </w:pPr>
      <w:r>
        <w:rPr>
          <w:rFonts w:hint="eastAsia"/>
          <w:color w:val="auto"/>
          <w:highlight w:val="none"/>
        </w:rPr>
        <w:t>开启方式：按钮开关开启、没电情况下手动开启，详见防护设计参数并满足医院使用要求。</w:t>
      </w:r>
    </w:p>
    <w:p>
      <w:pPr>
        <w:pStyle w:val="7"/>
        <w:rPr>
          <w:color w:val="auto"/>
          <w:highlight w:val="none"/>
        </w:rPr>
      </w:pPr>
      <w:r>
        <w:rPr>
          <w:rFonts w:hint="eastAsia"/>
          <w:color w:val="auto"/>
          <w:highlight w:val="none"/>
        </w:rPr>
        <w:t>行走结构：轨道式，运行平稳，无噪音，无地轨，确保无障碍通行且不漏射线。</w:t>
      </w:r>
    </w:p>
    <w:p>
      <w:pPr>
        <w:pStyle w:val="7"/>
        <w:rPr>
          <w:color w:val="auto"/>
          <w:highlight w:val="none"/>
        </w:rPr>
      </w:pPr>
      <w:r>
        <w:rPr>
          <w:rFonts w:hint="eastAsia"/>
          <w:color w:val="auto"/>
          <w:highlight w:val="none"/>
        </w:rPr>
        <w:t>附属配置：</w:t>
      </w:r>
    </w:p>
    <w:p>
      <w:pPr>
        <w:ind w:firstLine="480" w:firstLineChars="200"/>
        <w:rPr>
          <w:color w:val="auto"/>
          <w:highlight w:val="none"/>
          <w:lang w:eastAsia="zh-CN"/>
        </w:rPr>
      </w:pPr>
      <w:r>
        <w:rPr>
          <w:rFonts w:hint="eastAsia"/>
          <w:color w:val="auto"/>
          <w:highlight w:val="none"/>
          <w:lang w:eastAsia="zh-CN"/>
        </w:rPr>
        <w:t>电离辐射标志及微电脑控制滚动工作警示灯，红外线光幕保护装置。按国家标准</w:t>
      </w:r>
      <w:r>
        <w:rPr>
          <w:color w:val="auto"/>
          <w:highlight w:val="none"/>
          <w:lang w:eastAsia="zh-CN"/>
        </w:rPr>
        <w:t>GB18871-2002</w:t>
      </w:r>
      <w:r>
        <w:rPr>
          <w:rFonts w:hint="eastAsia"/>
          <w:color w:val="auto"/>
          <w:highlight w:val="none"/>
          <w:lang w:eastAsia="zh-CN"/>
        </w:rPr>
        <w:t>确定规格制造的“当心电离辐射”警示牌及工作指示灯。电离辐射警示灯采用</w:t>
      </w:r>
      <w:r>
        <w:rPr>
          <w:color w:val="auto"/>
          <w:highlight w:val="none"/>
          <w:lang w:eastAsia="zh-CN"/>
        </w:rPr>
        <w:t>LED</w:t>
      </w:r>
      <w:r>
        <w:rPr>
          <w:rFonts w:hint="eastAsia"/>
          <w:color w:val="auto"/>
          <w:highlight w:val="none"/>
          <w:lang w:eastAsia="zh-CN"/>
        </w:rPr>
        <w:t>光源，使用电压为交流</w:t>
      </w:r>
      <w:r>
        <w:rPr>
          <w:color w:val="auto"/>
          <w:highlight w:val="none"/>
          <w:lang w:eastAsia="zh-CN"/>
        </w:rPr>
        <w:t>220</w:t>
      </w:r>
      <w:r>
        <w:rPr>
          <w:rFonts w:hint="eastAsia"/>
          <w:color w:val="auto"/>
          <w:highlight w:val="none"/>
          <w:lang w:eastAsia="zh-CN"/>
        </w:rPr>
        <w:t>伏。</w:t>
      </w:r>
    </w:p>
    <w:p>
      <w:pPr>
        <w:pStyle w:val="7"/>
        <w:rPr>
          <w:color w:val="auto"/>
          <w:highlight w:val="none"/>
        </w:rPr>
      </w:pPr>
      <w:r>
        <w:rPr>
          <w:rFonts w:hint="eastAsia"/>
          <w:color w:val="auto"/>
          <w:highlight w:val="none"/>
        </w:rPr>
        <w:t>门扇的内部结构：</w:t>
      </w:r>
    </w:p>
    <w:p>
      <w:pPr>
        <w:widowControl/>
        <w:numPr>
          <w:ilvl w:val="0"/>
          <w:numId w:val="44"/>
        </w:numPr>
        <w:snapToGrid w:val="0"/>
        <w:ind w:left="0"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包括整体门套、门扇，锁具、拉手、上下轨道、电离辐射警示牌及电离辐射警示灯等的制作和安装，</w:t>
      </w:r>
    </w:p>
    <w:p>
      <w:pPr>
        <w:widowControl/>
        <w:numPr>
          <w:ilvl w:val="0"/>
          <w:numId w:val="44"/>
        </w:numPr>
        <w:snapToGrid w:val="0"/>
        <w:ind w:left="0"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门体整体结构牢固、可靠，不易变形和锈蚀。</w:t>
      </w:r>
    </w:p>
    <w:p>
      <w:pPr>
        <w:widowControl/>
        <w:numPr>
          <w:ilvl w:val="0"/>
          <w:numId w:val="44"/>
        </w:numPr>
        <w:snapToGrid w:val="0"/>
        <w:ind w:left="0"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门扇内框选用钢制结构，内部结构合理、牢固，防腐处理可靠。并填充保温隔音防火材料。门扇内衬铅板，防护当量满足设计要求，且永不变形。门扇表面材质为</w:t>
      </w:r>
      <w:r>
        <w:rPr>
          <w:rFonts w:cs="Times New Roman" w:asciiTheme="minorEastAsia" w:hAnsiTheme="minorEastAsia"/>
          <w:color w:val="auto"/>
          <w:szCs w:val="24"/>
          <w:highlight w:val="none"/>
          <w:lang w:eastAsia="zh-CN"/>
        </w:rPr>
        <w:t>304#1.0mm</w:t>
      </w:r>
      <w:r>
        <w:rPr>
          <w:rFonts w:hint="eastAsia" w:cs="Times New Roman" w:asciiTheme="minorEastAsia" w:hAnsiTheme="minorEastAsia"/>
          <w:color w:val="auto"/>
          <w:szCs w:val="24"/>
          <w:highlight w:val="none"/>
          <w:lang w:eastAsia="zh-CN"/>
        </w:rPr>
        <w:t>不锈钢，表面平整、美观。</w:t>
      </w:r>
    </w:p>
    <w:p>
      <w:pPr>
        <w:widowControl/>
        <w:numPr>
          <w:ilvl w:val="0"/>
          <w:numId w:val="44"/>
        </w:numPr>
        <w:snapToGrid w:val="0"/>
        <w:ind w:left="0"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整体门套配置与防护门相同材质，且做防护处理。</w:t>
      </w:r>
    </w:p>
    <w:p>
      <w:pPr>
        <w:widowControl/>
        <w:numPr>
          <w:ilvl w:val="0"/>
          <w:numId w:val="44"/>
        </w:numPr>
        <w:snapToGrid w:val="0"/>
        <w:ind w:left="0"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轨道采用专用整体轨道，能满足门体走行要求，表面平整，承载能力强，噪声小，不变形不易积污。</w:t>
      </w:r>
    </w:p>
    <w:p>
      <w:pPr>
        <w:pStyle w:val="2"/>
        <w:ind w:firstLine="480" w:firstLineChars="200"/>
        <w:rPr>
          <w:color w:val="auto"/>
          <w:highlight w:val="none"/>
          <w:lang w:eastAsia="zh-CN"/>
        </w:rPr>
      </w:pPr>
      <w:r>
        <w:rPr>
          <w:rFonts w:hint="eastAsia"/>
          <w:color w:val="auto"/>
          <w:highlight w:val="none"/>
          <w:lang w:eastAsia="zh-CN"/>
        </w:rPr>
        <w:t>6）门的下沿无地轨、无地槽设计，确保无障碍通行且不漏射线。</w:t>
      </w:r>
    </w:p>
    <w:p>
      <w:pPr>
        <w:pStyle w:val="7"/>
        <w:rPr>
          <w:color w:val="auto"/>
          <w:highlight w:val="none"/>
        </w:rPr>
      </w:pPr>
      <w:r>
        <w:rPr>
          <w:rFonts w:hint="eastAsia"/>
          <w:color w:val="auto"/>
          <w:highlight w:val="none"/>
        </w:rPr>
        <w:t>电动门控制系统应满足以下条件：</w:t>
      </w:r>
    </w:p>
    <w:p>
      <w:pPr>
        <w:widowControl/>
        <w:numPr>
          <w:ilvl w:val="0"/>
          <w:numId w:val="45"/>
        </w:numPr>
        <w:snapToGrid w:val="0"/>
        <w:ind w:left="0"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电动门传动系统采用微电脑成套控制系统；</w:t>
      </w:r>
    </w:p>
    <w:p>
      <w:pPr>
        <w:widowControl/>
        <w:numPr>
          <w:ilvl w:val="0"/>
          <w:numId w:val="45"/>
        </w:numPr>
        <w:snapToGrid w:val="0"/>
        <w:ind w:left="0"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安全装置：具有电气、红外线光幕两种保护装置，实现开关门的限位，提供与放射设备联动的电离辐射警示和门电连锁，具有可靠的防夹保护。操作系统遥控器遥控操纵启动开、关门，电动控制箱，以按钮启动开、关门；</w:t>
      </w:r>
    </w:p>
    <w:p>
      <w:pPr>
        <w:widowControl/>
        <w:numPr>
          <w:ilvl w:val="0"/>
          <w:numId w:val="45"/>
        </w:numPr>
        <w:snapToGrid w:val="0"/>
        <w:ind w:left="0"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联锁装置：配备门机联锁装置，只有关门才能出束治疗，出束治疗中意外开门终止出束，关闭截束器（对放疗设备而言）；</w:t>
      </w:r>
    </w:p>
    <w:p>
      <w:pPr>
        <w:widowControl/>
        <w:numPr>
          <w:ilvl w:val="0"/>
          <w:numId w:val="45"/>
        </w:numPr>
        <w:snapToGrid w:val="0"/>
        <w:ind w:left="0"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系统应自带应急备用蓄电池，在断电情况下，应急备用蓄电池应能保证门体在</w:t>
      </w:r>
      <w:r>
        <w:rPr>
          <w:rFonts w:cs="Times New Roman" w:asciiTheme="minorEastAsia" w:hAnsiTheme="minorEastAsia"/>
          <w:color w:val="auto"/>
          <w:szCs w:val="24"/>
          <w:highlight w:val="none"/>
          <w:lang w:eastAsia="zh-CN"/>
        </w:rPr>
        <w:t>30</w:t>
      </w:r>
      <w:r>
        <w:rPr>
          <w:rFonts w:hint="eastAsia" w:cs="Times New Roman" w:asciiTheme="minorEastAsia" w:hAnsiTheme="minorEastAsia"/>
          <w:color w:val="auto"/>
          <w:szCs w:val="24"/>
          <w:highlight w:val="none"/>
          <w:lang w:eastAsia="zh-CN"/>
        </w:rPr>
        <w:t>分钟内不间断使用；</w:t>
      </w:r>
    </w:p>
    <w:p>
      <w:pPr>
        <w:widowControl/>
        <w:numPr>
          <w:ilvl w:val="0"/>
          <w:numId w:val="45"/>
        </w:numPr>
        <w:snapToGrid w:val="0"/>
        <w:ind w:left="0"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停电异常情况下，在手动开关门的推力应为单人即可较为轻松操作；</w:t>
      </w:r>
    </w:p>
    <w:p>
      <w:pPr>
        <w:widowControl/>
        <w:numPr>
          <w:ilvl w:val="0"/>
          <w:numId w:val="45"/>
        </w:numPr>
        <w:snapToGrid w:val="0"/>
        <w:ind w:left="0"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可采用人性化开启模式，即有全开模式、病床出入模式、单人进入模式等开启模式选择。</w:t>
      </w:r>
    </w:p>
    <w:p>
      <w:pPr>
        <w:pStyle w:val="5"/>
        <w:rPr>
          <w:color w:val="auto"/>
          <w:highlight w:val="none"/>
        </w:rPr>
      </w:pPr>
      <w:r>
        <w:rPr>
          <w:rFonts w:hint="eastAsia"/>
          <w:color w:val="auto"/>
          <w:highlight w:val="none"/>
        </w:rPr>
        <w:t>手动防护门</w:t>
      </w:r>
    </w:p>
    <w:p>
      <w:pPr>
        <w:ind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详见图纸（外观需满足设计风格及外观要求，与整体风格协调，门体表面颜色可选。提供具有中国疾病预防控制中心辐射防护与核安全医学所的铅板测报告）。</w:t>
      </w:r>
    </w:p>
    <w:p>
      <w:pPr>
        <w:pStyle w:val="7"/>
        <w:rPr>
          <w:color w:val="auto"/>
          <w:highlight w:val="none"/>
        </w:rPr>
      </w:pPr>
      <w:r>
        <w:rPr>
          <w:rFonts w:hint="eastAsia"/>
          <w:color w:val="auto"/>
          <w:highlight w:val="none"/>
        </w:rPr>
        <w:t>尺寸要求：见防护设计参数</w:t>
      </w:r>
    </w:p>
    <w:p>
      <w:pPr>
        <w:pStyle w:val="7"/>
        <w:rPr>
          <w:color w:val="auto"/>
          <w:highlight w:val="none"/>
        </w:rPr>
      </w:pPr>
      <w:r>
        <w:rPr>
          <w:rFonts w:hint="eastAsia"/>
          <w:color w:val="auto"/>
          <w:highlight w:val="none"/>
        </w:rPr>
        <w:t>防护要求：见防护设计参数</w:t>
      </w:r>
    </w:p>
    <w:p>
      <w:pPr>
        <w:pStyle w:val="7"/>
        <w:rPr>
          <w:color w:val="auto"/>
          <w:highlight w:val="none"/>
        </w:rPr>
      </w:pPr>
      <w:r>
        <w:rPr>
          <w:rFonts w:hint="eastAsia"/>
          <w:color w:val="auto"/>
          <w:highlight w:val="none"/>
        </w:rPr>
        <w:t>其它要求：</w:t>
      </w:r>
    </w:p>
    <w:p>
      <w:pPr>
        <w:numPr>
          <w:ilvl w:val="0"/>
          <w:numId w:val="46"/>
        </w:numPr>
        <w:snapToGrid w:val="0"/>
        <w:ind w:left="0"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包括门框、整体门套、门扇，锁具、拉手、铰链、闭门器等五金件，电离辐射警示牌（</w:t>
      </w:r>
      <w:r>
        <w:rPr>
          <w:rFonts w:cs="Times New Roman" w:asciiTheme="minorEastAsia" w:hAnsiTheme="minorEastAsia"/>
          <w:color w:val="auto"/>
          <w:szCs w:val="24"/>
          <w:highlight w:val="none"/>
          <w:lang w:eastAsia="zh-CN"/>
        </w:rPr>
        <w:t>GB18871-2002</w:t>
      </w:r>
      <w:r>
        <w:rPr>
          <w:rFonts w:hint="eastAsia" w:cs="Times New Roman" w:asciiTheme="minorEastAsia" w:hAnsiTheme="minorEastAsia"/>
          <w:color w:val="auto"/>
          <w:szCs w:val="24"/>
          <w:highlight w:val="none"/>
          <w:lang w:eastAsia="zh-CN"/>
        </w:rPr>
        <w:t>）及电离辐射警示灯等的制作和安装。</w:t>
      </w:r>
    </w:p>
    <w:p>
      <w:pPr>
        <w:numPr>
          <w:ilvl w:val="0"/>
          <w:numId w:val="46"/>
        </w:numPr>
        <w:snapToGrid w:val="0"/>
        <w:ind w:left="0"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门内部主要结构由钢骨架、铅板、防护粘合剂、抗氧化剂、特种密度板等组成。平开门框采用</w:t>
      </w:r>
      <w:r>
        <w:rPr>
          <w:rFonts w:cs="Times New Roman" w:asciiTheme="minorEastAsia" w:hAnsiTheme="minorEastAsia"/>
          <w:color w:val="auto"/>
          <w:szCs w:val="24"/>
          <w:highlight w:val="none"/>
          <w:lang w:eastAsia="zh-CN"/>
        </w:rPr>
        <w:t>1.0</w:t>
      </w:r>
      <w:r>
        <w:rPr>
          <w:rFonts w:hint="eastAsia" w:cs="Times New Roman" w:asciiTheme="minorEastAsia" w:hAnsiTheme="minorEastAsia"/>
          <w:color w:val="auto"/>
          <w:szCs w:val="24"/>
          <w:highlight w:val="none"/>
          <w:lang w:eastAsia="zh-CN"/>
        </w:rPr>
        <w:t>厚</w:t>
      </w:r>
      <w:r>
        <w:rPr>
          <w:rFonts w:cs="Times New Roman" w:asciiTheme="minorEastAsia" w:hAnsiTheme="minorEastAsia"/>
          <w:color w:val="auto"/>
          <w:szCs w:val="24"/>
          <w:highlight w:val="none"/>
          <w:lang w:eastAsia="zh-CN"/>
        </w:rPr>
        <w:t>304#</w:t>
      </w:r>
      <w:r>
        <w:rPr>
          <w:rFonts w:hint="eastAsia" w:cs="Times New Roman" w:asciiTheme="minorEastAsia" w:hAnsiTheme="minorEastAsia"/>
          <w:color w:val="auto"/>
          <w:szCs w:val="24"/>
          <w:highlight w:val="none"/>
          <w:lang w:eastAsia="zh-CN"/>
        </w:rPr>
        <w:t>不锈钢，门框与门扇间缝隙采用专用密封毛条。</w:t>
      </w:r>
    </w:p>
    <w:p>
      <w:pPr>
        <w:numPr>
          <w:ilvl w:val="0"/>
          <w:numId w:val="46"/>
        </w:numPr>
        <w:snapToGrid w:val="0"/>
        <w:ind w:left="0"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整体结构牢固、可靠，不易变形和锈蚀，开关寿命不少于</w:t>
      </w:r>
      <w:r>
        <w:rPr>
          <w:rFonts w:cs="Times New Roman" w:asciiTheme="minorEastAsia" w:hAnsiTheme="minorEastAsia"/>
          <w:color w:val="auto"/>
          <w:szCs w:val="24"/>
          <w:highlight w:val="none"/>
          <w:lang w:eastAsia="zh-CN"/>
        </w:rPr>
        <w:t>50000</w:t>
      </w:r>
      <w:r>
        <w:rPr>
          <w:rFonts w:hint="eastAsia" w:cs="Times New Roman" w:asciiTheme="minorEastAsia" w:hAnsiTheme="minorEastAsia"/>
          <w:color w:val="auto"/>
          <w:szCs w:val="24"/>
          <w:highlight w:val="none"/>
          <w:lang w:eastAsia="zh-CN"/>
        </w:rPr>
        <w:t>次。</w:t>
      </w:r>
    </w:p>
    <w:p>
      <w:pPr>
        <w:numPr>
          <w:ilvl w:val="0"/>
          <w:numId w:val="46"/>
        </w:numPr>
        <w:snapToGrid w:val="0"/>
        <w:ind w:left="0"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门扇内框选用钢制结构，内部结构合理、牢固，防腐处理可靠。并填充保温隔音防火材料。表面平整、美观。防护层采用复合工艺，防护当量满足设计要求，且永不变形。表面平整、美观，无钉孔、无包边。</w:t>
      </w:r>
    </w:p>
    <w:p>
      <w:pPr>
        <w:numPr>
          <w:ilvl w:val="0"/>
          <w:numId w:val="46"/>
        </w:numPr>
        <w:snapToGrid w:val="0"/>
        <w:ind w:left="0"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门框选用不锈钢型材，内部结构合理、牢固，防腐处理可靠。防护层当量满足设计要求，且永不变形。</w:t>
      </w:r>
    </w:p>
    <w:p>
      <w:pPr>
        <w:numPr>
          <w:ilvl w:val="0"/>
          <w:numId w:val="46"/>
        </w:numPr>
        <w:snapToGrid w:val="0"/>
        <w:ind w:left="0"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整体门套配置与防护门体相同材质。</w:t>
      </w:r>
    </w:p>
    <w:p>
      <w:pPr>
        <w:numPr>
          <w:ilvl w:val="0"/>
          <w:numId w:val="46"/>
        </w:numPr>
        <w:snapToGrid w:val="0"/>
        <w:ind w:left="0"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隔音效果好，开启灵活。</w:t>
      </w:r>
    </w:p>
    <w:p>
      <w:pPr>
        <w:numPr>
          <w:ilvl w:val="0"/>
          <w:numId w:val="46"/>
        </w:numPr>
        <w:snapToGrid w:val="0"/>
        <w:ind w:left="0"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双开门在门中间闭合处应有防漏射线处理。</w:t>
      </w:r>
    </w:p>
    <w:p>
      <w:pPr>
        <w:pStyle w:val="2"/>
        <w:numPr>
          <w:ilvl w:val="0"/>
          <w:numId w:val="46"/>
        </w:numPr>
        <w:rPr>
          <w:color w:val="auto"/>
          <w:highlight w:val="none"/>
          <w:lang w:eastAsia="zh-CN"/>
        </w:rPr>
      </w:pPr>
      <w:r>
        <w:rPr>
          <w:rFonts w:hint="eastAsia"/>
          <w:color w:val="auto"/>
          <w:highlight w:val="none"/>
          <w:lang w:eastAsia="zh-CN"/>
        </w:rPr>
        <w:t>门的下沿无门槛设计，确保无障碍通行且不漏射线。</w:t>
      </w:r>
    </w:p>
    <w:p>
      <w:pPr>
        <w:pStyle w:val="2"/>
        <w:numPr>
          <w:ilvl w:val="0"/>
          <w:numId w:val="46"/>
        </w:numPr>
        <w:rPr>
          <w:color w:val="auto"/>
          <w:highlight w:val="none"/>
          <w:lang w:eastAsia="zh-CN"/>
        </w:rPr>
      </w:pPr>
      <w:r>
        <w:rPr>
          <w:rFonts w:hint="eastAsia"/>
          <w:color w:val="auto"/>
          <w:highlight w:val="none"/>
          <w:lang w:eastAsia="zh-CN"/>
        </w:rPr>
        <w:t>带闭门器。</w:t>
      </w:r>
    </w:p>
    <w:p>
      <w:pPr>
        <w:pStyle w:val="5"/>
        <w:keepLines/>
        <w:rPr>
          <w:color w:val="auto"/>
          <w:highlight w:val="none"/>
        </w:rPr>
      </w:pPr>
      <w:r>
        <w:rPr>
          <w:rFonts w:hint="eastAsia"/>
          <w:color w:val="auto"/>
          <w:highlight w:val="none"/>
        </w:rPr>
        <w:t>手动</w:t>
      </w:r>
      <w:r>
        <w:rPr>
          <w:color w:val="auto"/>
          <w:highlight w:val="none"/>
        </w:rPr>
        <w:t>/</w:t>
      </w:r>
      <w:r>
        <w:rPr>
          <w:rFonts w:hint="eastAsia"/>
          <w:color w:val="auto"/>
          <w:highlight w:val="none"/>
        </w:rPr>
        <w:t>电动屏蔽防护门</w:t>
      </w:r>
    </w:p>
    <w:p>
      <w:pPr>
        <w:pStyle w:val="7"/>
        <w:rPr>
          <w:color w:val="auto"/>
          <w:highlight w:val="none"/>
        </w:rPr>
      </w:pPr>
      <w:r>
        <w:rPr>
          <w:rFonts w:hint="eastAsia"/>
          <w:color w:val="auto"/>
          <w:highlight w:val="none"/>
        </w:rPr>
        <w:t>尺寸要求：见防护设计参数</w:t>
      </w:r>
    </w:p>
    <w:p>
      <w:pPr>
        <w:pStyle w:val="7"/>
        <w:rPr>
          <w:color w:val="auto"/>
          <w:highlight w:val="none"/>
        </w:rPr>
      </w:pPr>
      <w:r>
        <w:rPr>
          <w:rFonts w:hint="eastAsia"/>
          <w:color w:val="auto"/>
          <w:highlight w:val="none"/>
        </w:rPr>
        <w:t>防护要求：见防护设计参数</w:t>
      </w:r>
    </w:p>
    <w:p>
      <w:pPr>
        <w:pStyle w:val="7"/>
        <w:rPr>
          <w:color w:val="auto"/>
          <w:highlight w:val="none"/>
        </w:rPr>
      </w:pPr>
      <w:r>
        <w:rPr>
          <w:rFonts w:hint="eastAsia"/>
          <w:color w:val="auto"/>
          <w:highlight w:val="none"/>
        </w:rPr>
        <w:t>其它要求：</w:t>
      </w:r>
    </w:p>
    <w:p>
      <w:pPr>
        <w:numPr>
          <w:ilvl w:val="0"/>
          <w:numId w:val="47"/>
        </w:numPr>
        <w:snapToGrid w:val="0"/>
        <w:ind w:left="0" w:firstLine="480" w:firstLineChars="200"/>
        <w:rPr>
          <w:rFonts w:cs="Times New Roman"/>
          <w:color w:val="auto"/>
          <w:szCs w:val="24"/>
          <w:highlight w:val="none"/>
          <w:lang w:eastAsia="zh-CN"/>
        </w:rPr>
      </w:pPr>
      <w:r>
        <w:rPr>
          <w:rFonts w:hint="eastAsia" w:cs="Times New Roman"/>
          <w:color w:val="auto"/>
          <w:szCs w:val="24"/>
          <w:highlight w:val="none"/>
          <w:lang w:eastAsia="zh-CN"/>
        </w:rPr>
        <w:t>门框、门扇以及与屏蔽体连接处，采取铜型材、铜板，达到屏蔽效果；同时，内部安装铅板，防护有害射线。屏蔽防护一体门的强度应能满足设计要求的铅当量的放射防护。可靠连接无泄漏死角，能满足最终的卫生评价单位实地检测要求。</w:t>
      </w:r>
    </w:p>
    <w:p>
      <w:pPr>
        <w:numPr>
          <w:ilvl w:val="0"/>
          <w:numId w:val="47"/>
        </w:numPr>
        <w:snapToGrid w:val="0"/>
        <w:ind w:left="0" w:firstLine="480" w:firstLineChars="200"/>
        <w:rPr>
          <w:rFonts w:cs="Times New Roman"/>
          <w:color w:val="auto"/>
          <w:szCs w:val="24"/>
          <w:highlight w:val="none"/>
          <w:lang w:eastAsia="zh-CN"/>
        </w:rPr>
      </w:pPr>
      <w:r>
        <w:rPr>
          <w:rFonts w:hint="eastAsia" w:cs="Times New Roman"/>
          <w:color w:val="auto"/>
          <w:szCs w:val="24"/>
          <w:highlight w:val="none"/>
          <w:lang w:eastAsia="zh-CN"/>
        </w:rPr>
        <w:t>与屏蔽体连接处，影响屏蔽性能的部分必须全部采用铜板、铜箔、铜皮材料，不得采用镀锌板、不锈钢板、铝板等材料，且能满足设计与国家规范要求的屏蔽效能检测要求。</w:t>
      </w:r>
    </w:p>
    <w:p>
      <w:pPr>
        <w:numPr>
          <w:ilvl w:val="0"/>
          <w:numId w:val="47"/>
        </w:numPr>
        <w:snapToGrid w:val="0"/>
        <w:ind w:left="0" w:firstLine="480" w:firstLineChars="200"/>
        <w:rPr>
          <w:rFonts w:cs="Times New Roman"/>
          <w:color w:val="auto"/>
          <w:szCs w:val="24"/>
          <w:highlight w:val="none"/>
          <w:lang w:eastAsia="zh-CN"/>
        </w:rPr>
      </w:pPr>
      <w:r>
        <w:rPr>
          <w:rFonts w:hint="eastAsia" w:cs="Times New Roman"/>
          <w:color w:val="auto"/>
          <w:szCs w:val="24"/>
          <w:highlight w:val="none"/>
          <w:lang w:eastAsia="zh-CN"/>
        </w:rPr>
        <w:t>门框门扇的装饰面板可采用不锈钢材料，但不得采用焊接方式固定，门扇及门框的设计、生产、安装应为可拆卸式，以方便今后日常维护及检修。</w:t>
      </w:r>
    </w:p>
    <w:p>
      <w:pPr>
        <w:numPr>
          <w:ilvl w:val="0"/>
          <w:numId w:val="47"/>
        </w:numPr>
        <w:snapToGrid w:val="0"/>
        <w:ind w:left="0" w:firstLine="480" w:firstLineChars="200"/>
        <w:rPr>
          <w:rFonts w:cs="Times New Roman"/>
          <w:color w:val="auto"/>
          <w:szCs w:val="24"/>
          <w:highlight w:val="none"/>
          <w:lang w:eastAsia="zh-CN"/>
        </w:rPr>
      </w:pPr>
      <w:r>
        <w:rPr>
          <w:rFonts w:hint="eastAsia" w:cs="Times New Roman"/>
          <w:color w:val="auto"/>
          <w:szCs w:val="24"/>
          <w:highlight w:val="none"/>
          <w:lang w:eastAsia="zh-CN"/>
        </w:rPr>
        <w:t>门扇和门框内部龙骨框架必须采用无磁材料，如不锈钢管，不得采用铁方管、木方等，并确保达到支撑门体和铅板的可靠强度。</w:t>
      </w:r>
    </w:p>
    <w:p>
      <w:pPr>
        <w:numPr>
          <w:ilvl w:val="0"/>
          <w:numId w:val="47"/>
        </w:numPr>
        <w:snapToGrid w:val="0"/>
        <w:ind w:left="0" w:firstLine="480" w:firstLineChars="200"/>
        <w:rPr>
          <w:rFonts w:cs="Times New Roman"/>
          <w:color w:val="auto"/>
          <w:szCs w:val="24"/>
          <w:highlight w:val="none"/>
          <w:lang w:eastAsia="zh-CN"/>
        </w:rPr>
      </w:pPr>
      <w:r>
        <w:rPr>
          <w:rFonts w:hint="eastAsia" w:cs="Times New Roman"/>
          <w:color w:val="auto"/>
          <w:szCs w:val="24"/>
          <w:highlight w:val="none"/>
          <w:lang w:eastAsia="zh-CN"/>
        </w:rPr>
        <w:t>门体由电机控制左右平移（电动），实现开启和关闭。电动门门体及电机驱动系统能够长期稳定运行</w:t>
      </w:r>
    </w:p>
    <w:p>
      <w:pPr>
        <w:numPr>
          <w:ilvl w:val="0"/>
          <w:numId w:val="47"/>
        </w:numPr>
        <w:snapToGrid w:val="0"/>
        <w:ind w:left="0" w:firstLine="480" w:firstLineChars="200"/>
        <w:rPr>
          <w:rFonts w:cs="Times New Roman"/>
          <w:color w:val="auto"/>
          <w:szCs w:val="24"/>
          <w:highlight w:val="none"/>
          <w:lang w:eastAsia="zh-CN"/>
        </w:rPr>
      </w:pPr>
      <w:r>
        <w:rPr>
          <w:rFonts w:hint="eastAsia" w:cs="Times New Roman"/>
          <w:color w:val="auto"/>
          <w:szCs w:val="24"/>
          <w:highlight w:val="none"/>
          <w:lang w:eastAsia="zh-CN"/>
        </w:rPr>
        <w:t>电动屏蔽防护门连锁装置，宜采用接近开关的形式，不得采用物理式限位开关，以防止干扰信号的传递。</w:t>
      </w:r>
    </w:p>
    <w:p>
      <w:pPr>
        <w:numPr>
          <w:ilvl w:val="0"/>
          <w:numId w:val="47"/>
        </w:numPr>
        <w:snapToGrid w:val="0"/>
        <w:ind w:left="0" w:firstLine="480" w:firstLineChars="200"/>
        <w:rPr>
          <w:color w:val="auto"/>
          <w:highlight w:val="none"/>
          <w:lang w:eastAsia="zh-CN"/>
        </w:rPr>
      </w:pPr>
      <w:r>
        <w:rPr>
          <w:rFonts w:hint="eastAsia" w:cs="Times New Roman"/>
          <w:color w:val="auto"/>
          <w:szCs w:val="24"/>
          <w:highlight w:val="none"/>
          <w:lang w:eastAsia="zh-CN"/>
        </w:rPr>
        <w:t>因磁共振的噪音较大，门扇内应满铺填充玻璃纤维棉进行隔音，屏蔽间内外噪音衰减能够达到</w:t>
      </w:r>
      <w:r>
        <w:rPr>
          <w:rFonts w:cs="Times New Roman"/>
          <w:color w:val="auto"/>
          <w:szCs w:val="24"/>
          <w:highlight w:val="none"/>
          <w:lang w:eastAsia="zh-CN"/>
        </w:rPr>
        <w:t>40db</w:t>
      </w:r>
      <w:r>
        <w:rPr>
          <w:rFonts w:hint="eastAsia" w:cs="Times New Roman"/>
          <w:color w:val="auto"/>
          <w:szCs w:val="24"/>
          <w:highlight w:val="none"/>
          <w:lang w:eastAsia="zh-CN"/>
        </w:rPr>
        <w:t>以上。</w:t>
      </w:r>
    </w:p>
    <w:p>
      <w:pPr>
        <w:numPr>
          <w:ilvl w:val="0"/>
          <w:numId w:val="47"/>
        </w:numPr>
        <w:snapToGrid w:val="0"/>
        <w:ind w:left="0" w:firstLine="480" w:firstLineChars="200"/>
        <w:rPr>
          <w:color w:val="auto"/>
          <w:highlight w:val="none"/>
          <w:lang w:eastAsia="zh-CN"/>
        </w:rPr>
      </w:pPr>
      <w:r>
        <w:rPr>
          <w:rFonts w:hint="eastAsia" w:cs="Times New Roman"/>
          <w:color w:val="auto"/>
          <w:szCs w:val="24"/>
          <w:highlight w:val="none"/>
          <w:lang w:eastAsia="zh-CN"/>
        </w:rPr>
        <w:t>为了确保患者进入屏蔽间的安全性，及轮椅和推床进入的便利性，屏蔽防护门应为无门槛或下沉式设计，或者有能够自动填平密闭的装置，屏蔽门打开时不得有门槛和凹槽沟存在。</w:t>
      </w:r>
    </w:p>
    <w:p>
      <w:pPr>
        <w:pStyle w:val="5"/>
        <w:keepLines/>
        <w:rPr>
          <w:color w:val="auto"/>
          <w:highlight w:val="none"/>
        </w:rPr>
      </w:pPr>
      <w:r>
        <w:rPr>
          <w:rFonts w:hint="eastAsia"/>
          <w:color w:val="auto"/>
          <w:highlight w:val="none"/>
        </w:rPr>
        <w:t>铅玻璃观察窗</w:t>
      </w:r>
    </w:p>
    <w:p>
      <w:pPr>
        <w:snapToGrid w:val="0"/>
        <w:ind w:firstLine="480" w:firstLineChars="200"/>
        <w:jc w:val="center"/>
        <w:rPr>
          <w:rFonts w:cs="Times New Roman" w:asciiTheme="minorEastAsia" w:hAnsiTheme="minorEastAsia"/>
          <w:color w:val="auto"/>
          <w:szCs w:val="24"/>
          <w:highlight w:val="none"/>
          <w:lang w:eastAsia="zh-CN"/>
        </w:rPr>
      </w:pPr>
      <w:r>
        <w:rPr>
          <w:color w:val="auto"/>
          <w:highlight w:val="none"/>
          <w:lang w:eastAsia="zh-CN"/>
        </w:rPr>
        <w:drawing>
          <wp:inline distT="0" distB="0" distL="114300" distR="114300">
            <wp:extent cx="2725420" cy="1911350"/>
            <wp:effectExtent l="0" t="0" r="17780" b="12700"/>
            <wp:docPr id="4" name="图片 2" descr="铅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descr="铅窗"/>
                    <pic:cNvPicPr>
                      <a:picLocks noChangeAspect="1"/>
                    </pic:cNvPicPr>
                  </pic:nvPicPr>
                  <pic:blipFill>
                    <a:blip r:embed="rId12"/>
                    <a:srcRect l="28398" t="23703" r="4295" b="13364"/>
                    <a:stretch>
                      <a:fillRect/>
                    </a:stretch>
                  </pic:blipFill>
                  <pic:spPr>
                    <a:xfrm>
                      <a:off x="0" y="0"/>
                      <a:ext cx="2725420" cy="1911350"/>
                    </a:xfrm>
                    <a:prstGeom prst="rect">
                      <a:avLst/>
                    </a:prstGeom>
                    <a:noFill/>
                    <a:ln>
                      <a:noFill/>
                    </a:ln>
                  </pic:spPr>
                </pic:pic>
              </a:graphicData>
            </a:graphic>
          </wp:inline>
        </w:drawing>
      </w:r>
    </w:p>
    <w:p>
      <w:pPr>
        <w:snapToGrid w:val="0"/>
        <w:ind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详见图纸，提供具有中国疾病预防控制中心辐射防护与核安全医学所的铅玻璃检测报告。</w:t>
      </w:r>
    </w:p>
    <w:p>
      <w:pPr>
        <w:pStyle w:val="7"/>
        <w:rPr>
          <w:color w:val="auto"/>
          <w:highlight w:val="none"/>
        </w:rPr>
      </w:pPr>
      <w:r>
        <w:rPr>
          <w:rFonts w:hint="eastAsia"/>
          <w:color w:val="auto"/>
          <w:highlight w:val="none"/>
        </w:rPr>
        <w:t>尺寸要求：见防护设计参数</w:t>
      </w:r>
    </w:p>
    <w:p>
      <w:pPr>
        <w:pStyle w:val="7"/>
        <w:rPr>
          <w:color w:val="auto"/>
          <w:highlight w:val="none"/>
        </w:rPr>
      </w:pPr>
      <w:r>
        <w:rPr>
          <w:rFonts w:hint="eastAsia"/>
          <w:color w:val="auto"/>
          <w:highlight w:val="none"/>
        </w:rPr>
        <w:t>防护要求：见防护设计参数</w:t>
      </w:r>
    </w:p>
    <w:p>
      <w:pPr>
        <w:pStyle w:val="7"/>
        <w:rPr>
          <w:color w:val="auto"/>
          <w:highlight w:val="none"/>
        </w:rPr>
      </w:pPr>
      <w:r>
        <w:rPr>
          <w:rFonts w:hint="eastAsia"/>
          <w:color w:val="auto"/>
          <w:highlight w:val="none"/>
        </w:rPr>
        <w:t>其他要求：</w:t>
      </w:r>
    </w:p>
    <w:p>
      <w:pPr>
        <w:snapToGrid w:val="0"/>
        <w:ind w:firstLine="480" w:firstLineChars="200"/>
        <w:rPr>
          <w:rFonts w:ascii="Cambria Math" w:hAnsi="Cambria Math" w:cs="Times New Roman"/>
          <w:color w:val="auto"/>
          <w:szCs w:val="24"/>
          <w:highlight w:val="none"/>
          <w:lang w:eastAsia="zh-CN"/>
        </w:rPr>
      </w:pPr>
      <w:r>
        <w:rPr>
          <w:rFonts w:ascii="Cambria Math" w:hAnsi="Cambria Math" w:cs="Times New Roman"/>
          <w:color w:val="auto"/>
          <w:szCs w:val="24"/>
          <w:highlight w:val="none"/>
          <w:lang w:eastAsia="zh-CN"/>
        </w:rPr>
        <w:t>a.</w:t>
      </w:r>
      <w:r>
        <w:rPr>
          <w:rFonts w:hint="eastAsia" w:ascii="Cambria Math" w:hAnsi="Cambria Math" w:cs="Times New Roman"/>
          <w:color w:val="auto"/>
          <w:szCs w:val="24"/>
          <w:highlight w:val="none"/>
          <w:lang w:eastAsia="zh-CN"/>
        </w:rPr>
        <w:t>铅玻璃观察窗的防护铅当量应与墙壁的防护铅当量同步。</w:t>
      </w:r>
    </w:p>
    <w:p>
      <w:pPr>
        <w:snapToGrid w:val="0"/>
        <w:ind w:firstLine="480" w:firstLineChars="200"/>
        <w:rPr>
          <w:rFonts w:ascii="Cambria Math" w:hAnsi="Cambria Math" w:cs="Times New Roman"/>
          <w:color w:val="auto"/>
          <w:szCs w:val="24"/>
          <w:highlight w:val="none"/>
          <w:lang w:eastAsia="zh-CN"/>
        </w:rPr>
      </w:pPr>
      <w:r>
        <w:rPr>
          <w:rFonts w:ascii="Cambria Math" w:hAnsi="Cambria Math" w:cs="Times New Roman"/>
          <w:color w:val="auto"/>
          <w:szCs w:val="24"/>
          <w:highlight w:val="none"/>
          <w:lang w:eastAsia="zh-CN"/>
        </w:rPr>
        <w:t>b.</w:t>
      </w:r>
      <w:r>
        <w:rPr>
          <w:rFonts w:hint="eastAsia" w:ascii="Cambria Math" w:hAnsi="Cambria Math" w:cs="Times New Roman"/>
          <w:color w:val="auto"/>
          <w:szCs w:val="24"/>
          <w:highlight w:val="none"/>
          <w:lang w:eastAsia="zh-CN"/>
        </w:rPr>
        <w:t>采用的铅玻璃，性能应满足以下要求以及设计要求：</w:t>
      </w:r>
    </w:p>
    <w:p>
      <w:pPr>
        <w:snapToGrid w:val="0"/>
        <w:ind w:firstLine="480" w:firstLineChars="200"/>
        <w:rPr>
          <w:rFonts w:ascii="Times New Roman" w:hAnsi="Times New Roman" w:cs="Times New Roman"/>
          <w:color w:val="auto"/>
          <w:szCs w:val="24"/>
          <w:highlight w:val="none"/>
          <w:lang w:eastAsia="zh-CN"/>
        </w:rPr>
      </w:pPr>
      <w:r>
        <w:rPr>
          <w:rFonts w:ascii="Times New Roman" w:hAnsi="Times New Roman" w:cs="Times New Roman"/>
          <w:color w:val="auto"/>
          <w:szCs w:val="24"/>
          <w:highlight w:val="none"/>
          <w:lang w:eastAsia="zh-CN"/>
        </w:rPr>
        <w:t>防护标准：0.211mmpb/mm（用于X射线的屏蔽防护）</w:t>
      </w:r>
    </w:p>
    <w:p>
      <w:pPr>
        <w:snapToGrid w:val="0"/>
        <w:ind w:firstLine="480" w:firstLineChars="200"/>
        <w:rPr>
          <w:rFonts w:ascii="Times New Roman" w:hAnsi="Times New Roman" w:cs="Times New Roman"/>
          <w:color w:val="auto"/>
          <w:szCs w:val="24"/>
          <w:highlight w:val="none"/>
        </w:rPr>
      </w:pPr>
      <w:r>
        <w:rPr>
          <w:rFonts w:ascii="Times New Roman" w:hAnsi="Times New Roman" w:cs="Times New Roman"/>
          <w:color w:val="auto"/>
          <w:szCs w:val="24"/>
          <w:highlight w:val="none"/>
          <w:lang w:eastAsia="zh-CN"/>
        </w:rPr>
        <w:t>比    重：4.</w:t>
      </w:r>
      <w:r>
        <w:rPr>
          <w:rFonts w:hint="eastAsia" w:ascii="Times New Roman" w:hAnsi="Times New Roman" w:cs="Times New Roman"/>
          <w:color w:val="auto"/>
          <w:szCs w:val="24"/>
          <w:highlight w:val="none"/>
          <w:lang w:eastAsia="zh-CN"/>
        </w:rPr>
        <w:t>2</w:t>
      </w:r>
      <w:r>
        <w:rPr>
          <w:rFonts w:ascii="Times New Roman" w:hAnsi="Times New Roman" w:cs="Times New Roman"/>
          <w:color w:val="auto"/>
          <w:szCs w:val="24"/>
          <w:highlight w:val="none"/>
          <w:lang w:eastAsia="zh-CN"/>
        </w:rPr>
        <w:t>t/m3</w:t>
      </w:r>
    </w:p>
    <w:p>
      <w:pPr>
        <w:snapToGrid w:val="0"/>
        <w:ind w:firstLine="480" w:firstLineChars="200"/>
        <w:rPr>
          <w:rFonts w:ascii="Times New Roman" w:hAnsi="Times New Roman" w:cs="Times New Roman"/>
          <w:color w:val="auto"/>
          <w:szCs w:val="24"/>
          <w:highlight w:val="none"/>
        </w:rPr>
      </w:pPr>
      <w:r>
        <w:rPr>
          <w:rFonts w:ascii="Times New Roman" w:hAnsi="Times New Roman" w:cs="Times New Roman"/>
          <w:color w:val="auto"/>
          <w:szCs w:val="24"/>
          <w:highlight w:val="none"/>
          <w:lang w:eastAsia="zh-CN"/>
        </w:rPr>
        <w:t>折 射 率：1.775</w:t>
      </w:r>
    </w:p>
    <w:p>
      <w:pPr>
        <w:snapToGrid w:val="0"/>
        <w:ind w:firstLine="480" w:firstLineChars="200"/>
        <w:rPr>
          <w:rFonts w:ascii="Times New Roman" w:hAnsi="Times New Roman" w:cs="Times New Roman"/>
          <w:color w:val="auto"/>
          <w:szCs w:val="24"/>
          <w:highlight w:val="none"/>
        </w:rPr>
      </w:pPr>
      <w:r>
        <w:rPr>
          <w:rFonts w:ascii="Times New Roman" w:hAnsi="Times New Roman" w:cs="Times New Roman"/>
          <w:color w:val="auto"/>
          <w:szCs w:val="24"/>
          <w:highlight w:val="none"/>
          <w:lang w:eastAsia="zh-CN"/>
        </w:rPr>
        <w:t>透 光 率：≥85%</w:t>
      </w:r>
    </w:p>
    <w:p>
      <w:pPr>
        <w:snapToGrid w:val="0"/>
        <w:ind w:firstLine="480" w:firstLineChars="200"/>
        <w:rPr>
          <w:rFonts w:ascii="Times New Roman" w:hAnsi="Times New Roman" w:cs="Times New Roman"/>
          <w:color w:val="auto"/>
          <w:szCs w:val="24"/>
          <w:highlight w:val="none"/>
          <w:lang w:eastAsia="zh-CN"/>
        </w:rPr>
      </w:pPr>
      <w:r>
        <w:rPr>
          <w:rFonts w:ascii="Times New Roman" w:hAnsi="Times New Roman" w:cs="Times New Roman"/>
          <w:color w:val="auto"/>
          <w:szCs w:val="24"/>
          <w:highlight w:val="none"/>
          <w:lang w:eastAsia="zh-CN"/>
        </w:rPr>
        <w:t>稳 定 率：(抗潮)A</w:t>
      </w:r>
    </w:p>
    <w:p>
      <w:pPr>
        <w:snapToGrid w:val="0"/>
        <w:ind w:firstLine="482" w:firstLineChars="200"/>
        <w:rPr>
          <w:rFonts w:cs="Times New Roman" w:asciiTheme="minorEastAsia" w:hAnsiTheme="minorEastAsia"/>
          <w:b/>
          <w:bCs/>
          <w:color w:val="auto"/>
          <w:szCs w:val="24"/>
          <w:highlight w:val="none"/>
          <w:lang w:eastAsia="zh-CN"/>
        </w:rPr>
      </w:pPr>
      <w:r>
        <w:rPr>
          <w:rFonts w:hint="eastAsia" w:cs="Times New Roman" w:asciiTheme="minorEastAsia" w:hAnsiTheme="minorEastAsia"/>
          <w:b/>
          <w:bCs/>
          <w:color w:val="auto"/>
          <w:szCs w:val="24"/>
          <w:highlight w:val="none"/>
          <w:lang w:eastAsia="zh-CN"/>
        </w:rPr>
        <w:t>以上所有门、窗，投标人提供深化设计图，因深化设计增加费用，含在投标总价内，结算时不作调整。</w:t>
      </w:r>
    </w:p>
    <w:p>
      <w:pPr>
        <w:pStyle w:val="4"/>
        <w:rPr>
          <w:color w:val="auto"/>
          <w:highlight w:val="none"/>
        </w:rPr>
      </w:pPr>
      <w:bookmarkStart w:id="56" w:name="_Toc122371850"/>
      <w:r>
        <w:rPr>
          <w:rFonts w:hint="eastAsia"/>
          <w:color w:val="auto"/>
          <w:highlight w:val="none"/>
        </w:rPr>
        <w:t>防护工程技术要求</w:t>
      </w:r>
      <w:bookmarkEnd w:id="56"/>
    </w:p>
    <w:p>
      <w:pPr>
        <w:pStyle w:val="5"/>
        <w:keepLines/>
        <w:rPr>
          <w:color w:val="auto"/>
          <w:highlight w:val="none"/>
        </w:rPr>
      </w:pPr>
      <w:r>
        <w:rPr>
          <w:rFonts w:hint="eastAsia"/>
          <w:color w:val="auto"/>
          <w:highlight w:val="none"/>
        </w:rPr>
        <w:t>基本要求</w:t>
      </w:r>
    </w:p>
    <w:p>
      <w:pPr>
        <w:pStyle w:val="7"/>
        <w:rPr>
          <w:color w:val="auto"/>
          <w:highlight w:val="none"/>
        </w:rPr>
      </w:pPr>
      <w:r>
        <w:rPr>
          <w:rFonts w:hint="eastAsia"/>
          <w:color w:val="auto"/>
          <w:highlight w:val="none"/>
        </w:rPr>
        <w:t>严格按照图纸、放射防护规范、预评价和环评要求进行施工。</w:t>
      </w:r>
    </w:p>
    <w:p>
      <w:pPr>
        <w:pStyle w:val="7"/>
        <w:rPr>
          <w:color w:val="auto"/>
          <w:highlight w:val="none"/>
        </w:rPr>
      </w:pPr>
      <w:r>
        <w:rPr>
          <w:rFonts w:hint="eastAsia"/>
          <w:color w:val="auto"/>
          <w:highlight w:val="none"/>
        </w:rPr>
        <w:t>每一个房间在防护完成、装修施工开始之前，都要由院方签字验收。</w:t>
      </w:r>
    </w:p>
    <w:p>
      <w:pPr>
        <w:pStyle w:val="7"/>
        <w:rPr>
          <w:color w:val="auto"/>
          <w:highlight w:val="none"/>
        </w:rPr>
      </w:pPr>
      <w:r>
        <w:rPr>
          <w:rFonts w:hint="eastAsia"/>
          <w:color w:val="auto"/>
          <w:highlight w:val="none"/>
        </w:rPr>
        <w:t>医疗设备安装完成后，检测须符合院方要求，即射线检测基本达到本底浓度。</w:t>
      </w:r>
    </w:p>
    <w:p>
      <w:pPr>
        <w:pStyle w:val="7"/>
        <w:rPr>
          <w:color w:val="auto"/>
          <w:highlight w:val="none"/>
        </w:rPr>
      </w:pPr>
      <w:r>
        <w:rPr>
          <w:rFonts w:hint="eastAsia"/>
          <w:color w:val="auto"/>
          <w:highlight w:val="none"/>
        </w:rPr>
        <w:t>平面布置按院方厂家要求，由院方负责实施，具体详见与院方界面划分。如院方有新增需求，以设计变更为准。</w:t>
      </w:r>
    </w:p>
    <w:p>
      <w:pPr>
        <w:pStyle w:val="7"/>
        <w:rPr>
          <w:color w:val="auto"/>
          <w:highlight w:val="none"/>
        </w:rPr>
      </w:pPr>
      <w:r>
        <w:rPr>
          <w:rFonts w:hint="eastAsia"/>
          <w:color w:val="auto"/>
          <w:highlight w:val="none"/>
        </w:rPr>
        <w:t>房间尺寸按设计施工，保证装饰完成面满足图纸要求。</w:t>
      </w:r>
    </w:p>
    <w:p>
      <w:pPr>
        <w:pStyle w:val="7"/>
        <w:rPr>
          <w:color w:val="auto"/>
          <w:highlight w:val="none"/>
        </w:rPr>
      </w:pPr>
      <w:r>
        <w:rPr>
          <w:rFonts w:hint="eastAsia"/>
          <w:color w:val="auto"/>
          <w:highlight w:val="none"/>
        </w:rPr>
        <w:t>防护门、窗外观形式须配合整体的内装效果，由设计师选择把控。</w:t>
      </w:r>
    </w:p>
    <w:p>
      <w:pPr>
        <w:pStyle w:val="7"/>
        <w:rPr>
          <w:color w:val="auto"/>
          <w:highlight w:val="none"/>
        </w:rPr>
      </w:pPr>
      <w:r>
        <w:rPr>
          <w:rFonts w:hint="eastAsia"/>
          <w:color w:val="auto"/>
          <w:highlight w:val="none"/>
        </w:rPr>
        <w:t>灰砂砖墙，砌块密度、灰缝饱满度等按设计要求完成，要求监理按流程和规范对防护使用的材料审批和验收。</w:t>
      </w:r>
    </w:p>
    <w:p>
      <w:pPr>
        <w:pStyle w:val="7"/>
        <w:rPr>
          <w:color w:val="auto"/>
          <w:highlight w:val="none"/>
        </w:rPr>
      </w:pPr>
      <w:r>
        <w:rPr>
          <w:rFonts w:hint="eastAsia"/>
          <w:color w:val="auto"/>
          <w:highlight w:val="none"/>
        </w:rPr>
        <w:t>防护涂料按设计防护当量及实际选用的防护材料，计算并提供实际涂料厚度；深化防护涂料施工方案，确保不开裂。</w:t>
      </w:r>
    </w:p>
    <w:p>
      <w:pPr>
        <w:pStyle w:val="7"/>
        <w:rPr>
          <w:color w:val="auto"/>
          <w:highlight w:val="none"/>
        </w:rPr>
      </w:pPr>
      <w:r>
        <w:rPr>
          <w:rFonts w:hint="eastAsia"/>
          <w:color w:val="auto"/>
          <w:highlight w:val="none"/>
        </w:rPr>
        <w:t>地面、顶棚设计采用铅板防护，厚度按设计当量选择，并要求地面、顶棚与墙面、地面交接部位上下搭接（10cm）收边，固定铅板的钉孔部位用铅板包裹处理，铅板与顶棚粘接牢固。</w:t>
      </w:r>
    </w:p>
    <w:p>
      <w:pPr>
        <w:jc w:val="center"/>
        <w:rPr>
          <w:color w:val="auto"/>
          <w:highlight w:val="none"/>
        </w:rPr>
      </w:pPr>
      <w:r>
        <w:rPr>
          <w:color w:val="auto"/>
          <w:highlight w:val="none"/>
          <w:lang w:eastAsia="zh-CN"/>
        </w:rPr>
        <w:drawing>
          <wp:inline distT="0" distB="0" distL="114300" distR="114300">
            <wp:extent cx="5400040" cy="2165350"/>
            <wp:effectExtent l="0" t="0" r="10160" b="635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3"/>
                    <a:stretch>
                      <a:fillRect/>
                    </a:stretch>
                  </pic:blipFill>
                  <pic:spPr>
                    <a:xfrm>
                      <a:off x="0" y="0"/>
                      <a:ext cx="5400040" cy="2165350"/>
                    </a:xfrm>
                    <a:prstGeom prst="rect">
                      <a:avLst/>
                    </a:prstGeom>
                  </pic:spPr>
                </pic:pic>
              </a:graphicData>
            </a:graphic>
          </wp:inline>
        </w:drawing>
      </w:r>
    </w:p>
    <w:p>
      <w:pPr>
        <w:pStyle w:val="22"/>
        <w:rPr>
          <w:color w:val="auto"/>
          <w:highlight w:val="none"/>
          <w:lang w:eastAsia="zh-CN"/>
        </w:rPr>
      </w:pPr>
      <w:r>
        <w:rPr>
          <w:color w:val="auto"/>
          <w:highlight w:val="none"/>
          <w:lang w:eastAsia="zh-CN"/>
        </w:rPr>
        <w:t xml:space="preserve">图 </w:t>
      </w:r>
      <w:r>
        <w:rPr>
          <w:color w:val="auto"/>
          <w:highlight w:val="none"/>
        </w:rPr>
        <w:fldChar w:fldCharType="begin"/>
      </w:r>
      <w:r>
        <w:rPr>
          <w:color w:val="auto"/>
          <w:highlight w:val="none"/>
          <w:lang w:eastAsia="zh-CN"/>
        </w:rPr>
        <w:instrText xml:space="preserve"> STYLEREF 1 \s </w:instrText>
      </w:r>
      <w:r>
        <w:rPr>
          <w:color w:val="auto"/>
          <w:highlight w:val="none"/>
        </w:rPr>
        <w:fldChar w:fldCharType="separate"/>
      </w:r>
      <w:r>
        <w:rPr>
          <w:color w:val="auto"/>
          <w:highlight w:val="none"/>
          <w:lang w:eastAsia="zh-CN"/>
        </w:rPr>
        <w:t>7</w:t>
      </w:r>
      <w:r>
        <w:rPr>
          <w:color w:val="auto"/>
          <w:highlight w:val="none"/>
        </w:rPr>
        <w:fldChar w:fldCharType="end"/>
      </w:r>
      <w:r>
        <w:rPr>
          <w:rFonts w:hint="eastAsia"/>
          <w:color w:val="auto"/>
          <w:highlight w:val="none"/>
          <w:lang w:eastAsia="zh-CN"/>
        </w:rPr>
        <w:t>-</w:t>
      </w:r>
      <w:r>
        <w:rPr>
          <w:color w:val="auto"/>
          <w:highlight w:val="none"/>
        </w:rPr>
        <w:fldChar w:fldCharType="begin"/>
      </w:r>
      <w:r>
        <w:rPr>
          <w:color w:val="auto"/>
          <w:highlight w:val="none"/>
          <w:lang w:eastAsia="zh-CN"/>
        </w:rPr>
        <w:instrText xml:space="preserve"> SEQ 图 \* ARABIC \s 1 </w:instrText>
      </w:r>
      <w:r>
        <w:rPr>
          <w:color w:val="auto"/>
          <w:highlight w:val="none"/>
        </w:rPr>
        <w:fldChar w:fldCharType="separate"/>
      </w:r>
      <w:r>
        <w:rPr>
          <w:color w:val="auto"/>
          <w:highlight w:val="none"/>
          <w:lang w:eastAsia="zh-CN"/>
        </w:rPr>
        <w:t>1</w:t>
      </w:r>
      <w:r>
        <w:rPr>
          <w:color w:val="auto"/>
          <w:highlight w:val="none"/>
        </w:rPr>
        <w:fldChar w:fldCharType="end"/>
      </w:r>
      <w:r>
        <w:rPr>
          <w:rFonts w:hint="eastAsia"/>
          <w:color w:val="auto"/>
          <w:highlight w:val="none"/>
          <w:lang w:eastAsia="zh-CN"/>
        </w:rPr>
        <w:t xml:space="preserve"> 防护收边收口做法</w:t>
      </w:r>
    </w:p>
    <w:p>
      <w:pPr>
        <w:pStyle w:val="7"/>
        <w:rPr>
          <w:color w:val="auto"/>
          <w:highlight w:val="none"/>
        </w:rPr>
      </w:pPr>
      <w:r>
        <w:rPr>
          <w:rFonts w:hint="eastAsia"/>
          <w:color w:val="auto"/>
          <w:highlight w:val="none"/>
        </w:rPr>
        <w:t>防护自动门按设计图纸要求采用上部悬挂式，不得采用在地面开槽，并保证门缝隙达到防护要求，防护观察窗四周防护收口必须牢靠，确保不露线，防护门、窗材料进场须提供相应的检验报告，要求监理按流程和规范对防护门、窗审批和验收。</w:t>
      </w:r>
    </w:p>
    <w:p>
      <w:pPr>
        <w:pStyle w:val="7"/>
        <w:rPr>
          <w:color w:val="auto"/>
          <w:highlight w:val="none"/>
        </w:rPr>
      </w:pPr>
      <w:r>
        <w:rPr>
          <w:rFonts w:hint="eastAsia"/>
          <w:color w:val="auto"/>
          <w:highlight w:val="none"/>
        </w:rPr>
        <w:t xml:space="preserve"> 内、外装饰及机电系统施工不能在防护墙体上开槽、打洞，构造柱、圈梁施工也不能遗留施工缝隙和洞口，必须密实且密度达到设计要求；门、窗部位与装饰收口做法必须满足防护要求；如确需要开凿防护墙体，必须制定专项处理方案，审批后实施，必须确保墙体不漏线；进入到房间的风管、水管、电缆等机电管线按设计要求的防护节点做法实施。</w:t>
      </w:r>
    </w:p>
    <w:p>
      <w:pPr>
        <w:jc w:val="center"/>
        <w:rPr>
          <w:color w:val="auto"/>
          <w:highlight w:val="none"/>
        </w:rPr>
      </w:pPr>
      <w:r>
        <w:rPr>
          <w:color w:val="auto"/>
          <w:highlight w:val="none"/>
          <w:lang w:eastAsia="zh-CN"/>
        </w:rPr>
        <w:drawing>
          <wp:inline distT="0" distB="0" distL="114300" distR="114300">
            <wp:extent cx="5400040" cy="2289175"/>
            <wp:effectExtent l="0" t="0" r="10160" b="1587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4"/>
                    <a:stretch>
                      <a:fillRect/>
                    </a:stretch>
                  </pic:blipFill>
                  <pic:spPr>
                    <a:xfrm>
                      <a:off x="0" y="0"/>
                      <a:ext cx="5400040" cy="2289175"/>
                    </a:xfrm>
                    <a:prstGeom prst="rect">
                      <a:avLst/>
                    </a:prstGeom>
                  </pic:spPr>
                </pic:pic>
              </a:graphicData>
            </a:graphic>
          </wp:inline>
        </w:drawing>
      </w:r>
    </w:p>
    <w:p>
      <w:pPr>
        <w:pStyle w:val="22"/>
        <w:rPr>
          <w:color w:val="auto"/>
          <w:highlight w:val="none"/>
          <w:lang w:eastAsia="zh-CN"/>
        </w:rPr>
      </w:pPr>
      <w:r>
        <w:rPr>
          <w:color w:val="auto"/>
          <w:highlight w:val="none"/>
          <w:lang w:eastAsia="zh-CN"/>
        </w:rPr>
        <w:t xml:space="preserve">图 </w:t>
      </w:r>
      <w:r>
        <w:rPr>
          <w:color w:val="auto"/>
          <w:highlight w:val="none"/>
        </w:rPr>
        <w:fldChar w:fldCharType="begin"/>
      </w:r>
      <w:r>
        <w:rPr>
          <w:color w:val="auto"/>
          <w:highlight w:val="none"/>
          <w:lang w:eastAsia="zh-CN"/>
        </w:rPr>
        <w:instrText xml:space="preserve"> STYLEREF 1 \s </w:instrText>
      </w:r>
      <w:r>
        <w:rPr>
          <w:color w:val="auto"/>
          <w:highlight w:val="none"/>
        </w:rPr>
        <w:fldChar w:fldCharType="separate"/>
      </w:r>
      <w:r>
        <w:rPr>
          <w:color w:val="auto"/>
          <w:highlight w:val="none"/>
          <w:lang w:eastAsia="zh-CN"/>
        </w:rPr>
        <w:t>7</w:t>
      </w:r>
      <w:r>
        <w:rPr>
          <w:color w:val="auto"/>
          <w:highlight w:val="none"/>
        </w:rPr>
        <w:fldChar w:fldCharType="end"/>
      </w:r>
      <w:r>
        <w:rPr>
          <w:rFonts w:hint="eastAsia"/>
          <w:color w:val="auto"/>
          <w:highlight w:val="none"/>
          <w:lang w:eastAsia="zh-CN"/>
        </w:rPr>
        <w:t>-</w:t>
      </w:r>
      <w:r>
        <w:rPr>
          <w:color w:val="auto"/>
          <w:highlight w:val="none"/>
        </w:rPr>
        <w:fldChar w:fldCharType="begin"/>
      </w:r>
      <w:r>
        <w:rPr>
          <w:color w:val="auto"/>
          <w:highlight w:val="none"/>
          <w:lang w:eastAsia="zh-CN"/>
        </w:rPr>
        <w:instrText xml:space="preserve"> SEQ 图 \* ARABIC \s 1 </w:instrText>
      </w:r>
      <w:r>
        <w:rPr>
          <w:color w:val="auto"/>
          <w:highlight w:val="none"/>
        </w:rPr>
        <w:fldChar w:fldCharType="separate"/>
      </w:r>
      <w:r>
        <w:rPr>
          <w:color w:val="auto"/>
          <w:highlight w:val="none"/>
          <w:lang w:eastAsia="zh-CN"/>
        </w:rPr>
        <w:t>2</w:t>
      </w:r>
      <w:r>
        <w:rPr>
          <w:color w:val="auto"/>
          <w:highlight w:val="none"/>
        </w:rPr>
        <w:fldChar w:fldCharType="end"/>
      </w:r>
      <w:r>
        <w:rPr>
          <w:rFonts w:hint="eastAsia"/>
          <w:color w:val="auto"/>
          <w:highlight w:val="none"/>
          <w:lang w:eastAsia="zh-CN"/>
        </w:rPr>
        <w:t xml:space="preserve"> 防护墙体开槽打洞作物做法 </w:t>
      </w:r>
    </w:p>
    <w:p>
      <w:pPr>
        <w:pStyle w:val="7"/>
        <w:rPr>
          <w:color w:val="auto"/>
          <w:highlight w:val="none"/>
        </w:rPr>
      </w:pPr>
      <w:r>
        <w:rPr>
          <w:rFonts w:hint="eastAsia"/>
          <w:color w:val="auto"/>
          <w:highlight w:val="none"/>
        </w:rPr>
        <w:t>要求施工单位按以上要求报审专项施工方案，监理审核通过后实施。</w:t>
      </w:r>
    </w:p>
    <w:p>
      <w:pPr>
        <w:pStyle w:val="5"/>
        <w:rPr>
          <w:color w:val="auto"/>
          <w:highlight w:val="none"/>
        </w:rPr>
      </w:pPr>
      <w:r>
        <w:rPr>
          <w:rFonts w:hint="eastAsia"/>
          <w:color w:val="auto"/>
          <w:highlight w:val="none"/>
        </w:rPr>
        <w:t xml:space="preserve">防护铅板的技术要求 </w:t>
      </w:r>
    </w:p>
    <w:p>
      <w:pPr>
        <w:pStyle w:val="7"/>
        <w:rPr>
          <w:color w:val="auto"/>
          <w:highlight w:val="none"/>
        </w:rPr>
      </w:pPr>
      <w:r>
        <w:rPr>
          <w:rFonts w:hint="eastAsia"/>
          <w:color w:val="auto"/>
          <w:highlight w:val="none"/>
        </w:rPr>
        <w:t>铅板纯度为</w:t>
      </w:r>
      <w:r>
        <w:rPr>
          <w:color w:val="auto"/>
          <w:highlight w:val="none"/>
        </w:rPr>
        <w:t>99.99%</w:t>
      </w:r>
      <w:r>
        <w:rPr>
          <w:rFonts w:hint="eastAsia"/>
          <w:color w:val="auto"/>
          <w:highlight w:val="none"/>
        </w:rPr>
        <w:t>，满足设计要求及各项规范要求。</w:t>
      </w:r>
    </w:p>
    <w:p>
      <w:pPr>
        <w:pStyle w:val="7"/>
        <w:rPr>
          <w:color w:val="auto"/>
          <w:highlight w:val="none"/>
        </w:rPr>
      </w:pPr>
      <w:r>
        <w:rPr>
          <w:rFonts w:hint="eastAsia"/>
          <w:color w:val="auto"/>
          <w:highlight w:val="none"/>
        </w:rPr>
        <w:t>施工前需把混凝土楼板清理干净，铲除松动面皮，用角磨机对不平整的部位打磨平整，在混凝土楼板上刷一层结构胶，用刮板刮平。</w:t>
      </w:r>
    </w:p>
    <w:p>
      <w:pPr>
        <w:pStyle w:val="7"/>
        <w:rPr>
          <w:color w:val="auto"/>
          <w:highlight w:val="none"/>
        </w:rPr>
      </w:pPr>
      <w:r>
        <w:rPr>
          <w:rFonts w:hint="eastAsia"/>
          <w:color w:val="auto"/>
          <w:highlight w:val="none"/>
        </w:rPr>
        <w:t>用洗涤剂把铅板上的防锈保护油膜清洗干净，均匀涂上一层结构胶并用刮板刮平。把铅板从一端开始压紧在混凝土楼板上，并一边向前推进，一边用木夹板压平按紧，避免空鼓，一张铅板铺完后，用一张模板把铅板压紧，地面待结构胶凝固后取下木板。天花板则在木板下方用</w:t>
      </w:r>
      <w:r>
        <w:rPr>
          <w:color w:val="auto"/>
          <w:highlight w:val="none"/>
        </w:rPr>
        <w:t>40x40x4mm</w:t>
      </w:r>
      <w:r>
        <w:rPr>
          <w:rFonts w:hint="eastAsia"/>
          <w:color w:val="auto"/>
          <w:highlight w:val="none"/>
        </w:rPr>
        <w:t>角铁做托架，间距</w:t>
      </w:r>
      <w:r>
        <w:rPr>
          <w:color w:val="auto"/>
          <w:highlight w:val="none"/>
        </w:rPr>
        <w:t>900</w:t>
      </w:r>
      <w:r>
        <w:rPr>
          <w:rFonts w:hint="eastAsia"/>
          <w:color w:val="auto"/>
          <w:highlight w:val="none"/>
        </w:rPr>
        <w:t>，拖住木板，角铁两端固定在梁上或用拉爆固定在楼板上，拉爆螺帽外面用铅板帽盖住螺丝头，避免射线泄露。</w:t>
      </w:r>
    </w:p>
    <w:tbl>
      <w:tblPr>
        <w:tblStyle w:val="85"/>
        <w:tblW w:w="0" w:type="auto"/>
        <w:jc w:val="center"/>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Layout w:type="fixed"/>
        <w:tblCellMar>
          <w:top w:w="0" w:type="dxa"/>
          <w:left w:w="108" w:type="dxa"/>
          <w:bottom w:w="0" w:type="dxa"/>
          <w:right w:w="108" w:type="dxa"/>
        </w:tblCellMar>
      </w:tblPr>
      <w:tblGrid>
        <w:gridCol w:w="856"/>
        <w:gridCol w:w="2450"/>
        <w:gridCol w:w="1810"/>
        <w:gridCol w:w="3237"/>
      </w:tblGrid>
      <w:tr>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108" w:type="dxa"/>
            <w:bottom w:w="0" w:type="dxa"/>
            <w:right w:w="108" w:type="dxa"/>
          </w:tblCellMar>
        </w:tblPrEx>
        <w:trPr>
          <w:jc w:val="center"/>
        </w:trPr>
        <w:tc>
          <w:tcPr>
            <w:tcW w:w="856" w:type="dxa"/>
            <w:shd w:val="clear" w:color="auto" w:fill="B6DDE8"/>
            <w:vAlign w:val="center"/>
          </w:tcPr>
          <w:p>
            <w:pPr>
              <w:pStyle w:val="21"/>
              <w:adjustRightInd w:val="0"/>
              <w:snapToGrid w:val="0"/>
              <w:ind w:firstLine="0"/>
              <w:jc w:val="center"/>
              <w:rPr>
                <w:rFonts w:hAnsi="Times New Roman"/>
                <w:b/>
                <w:bCs/>
                <w:color w:val="auto"/>
                <w:highlight w:val="none"/>
              </w:rPr>
            </w:pPr>
            <w:r>
              <w:rPr>
                <w:rFonts w:hint="eastAsia"/>
                <w:b/>
                <w:bCs/>
                <w:color w:val="auto"/>
                <w:highlight w:val="none"/>
              </w:rPr>
              <w:t>序号</w:t>
            </w:r>
          </w:p>
        </w:tc>
        <w:tc>
          <w:tcPr>
            <w:tcW w:w="2450" w:type="dxa"/>
            <w:shd w:val="clear" w:color="auto" w:fill="B6DDE8"/>
            <w:vAlign w:val="center"/>
          </w:tcPr>
          <w:p>
            <w:pPr>
              <w:pStyle w:val="21"/>
              <w:adjustRightInd w:val="0"/>
              <w:snapToGrid w:val="0"/>
              <w:ind w:firstLine="0"/>
              <w:jc w:val="center"/>
              <w:rPr>
                <w:rFonts w:hAnsi="Times New Roman"/>
                <w:b/>
                <w:bCs/>
                <w:color w:val="auto"/>
                <w:highlight w:val="none"/>
              </w:rPr>
            </w:pPr>
            <w:r>
              <w:rPr>
                <w:rFonts w:hint="eastAsia"/>
                <w:b/>
                <w:bCs/>
                <w:color w:val="auto"/>
                <w:highlight w:val="none"/>
              </w:rPr>
              <w:t>验收内容</w:t>
            </w:r>
          </w:p>
        </w:tc>
        <w:tc>
          <w:tcPr>
            <w:tcW w:w="1810" w:type="dxa"/>
            <w:shd w:val="clear" w:color="auto" w:fill="B6DDE8"/>
            <w:vAlign w:val="center"/>
          </w:tcPr>
          <w:p>
            <w:pPr>
              <w:pStyle w:val="21"/>
              <w:adjustRightInd w:val="0"/>
              <w:snapToGrid w:val="0"/>
              <w:ind w:firstLine="0"/>
              <w:jc w:val="center"/>
              <w:rPr>
                <w:rFonts w:hAnsi="Times New Roman"/>
                <w:b/>
                <w:bCs/>
                <w:color w:val="auto"/>
                <w:highlight w:val="none"/>
              </w:rPr>
            </w:pPr>
            <w:r>
              <w:rPr>
                <w:rFonts w:hint="eastAsia"/>
                <w:b/>
                <w:bCs/>
                <w:color w:val="auto"/>
                <w:highlight w:val="none"/>
              </w:rPr>
              <w:t>检查方法</w:t>
            </w:r>
          </w:p>
        </w:tc>
        <w:tc>
          <w:tcPr>
            <w:tcW w:w="3237" w:type="dxa"/>
            <w:shd w:val="clear" w:color="auto" w:fill="B6DDE8"/>
            <w:vAlign w:val="center"/>
          </w:tcPr>
          <w:p>
            <w:pPr>
              <w:pStyle w:val="21"/>
              <w:adjustRightInd w:val="0"/>
              <w:snapToGrid w:val="0"/>
              <w:ind w:firstLine="0"/>
              <w:jc w:val="center"/>
              <w:rPr>
                <w:rFonts w:hAnsi="Times New Roman"/>
                <w:b/>
                <w:bCs/>
                <w:color w:val="auto"/>
                <w:highlight w:val="none"/>
              </w:rPr>
            </w:pPr>
            <w:r>
              <w:rPr>
                <w:rFonts w:hint="eastAsia"/>
                <w:b/>
                <w:bCs/>
                <w:color w:val="auto"/>
                <w:highlight w:val="none"/>
              </w:rPr>
              <w:t>检查标准</w:t>
            </w:r>
            <w:r>
              <w:rPr>
                <w:b/>
                <w:bCs/>
                <w:color w:val="auto"/>
                <w:highlight w:val="none"/>
              </w:rPr>
              <w:t>mm</w:t>
            </w:r>
          </w:p>
        </w:tc>
      </w:tr>
      <w:tr>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108" w:type="dxa"/>
            <w:bottom w:w="0" w:type="dxa"/>
            <w:right w:w="108" w:type="dxa"/>
          </w:tblCellMar>
        </w:tblPrEx>
        <w:trPr>
          <w:jc w:val="center"/>
        </w:trPr>
        <w:tc>
          <w:tcPr>
            <w:tcW w:w="856" w:type="dxa"/>
            <w:vAlign w:val="center"/>
          </w:tcPr>
          <w:p>
            <w:pPr>
              <w:pStyle w:val="21"/>
              <w:adjustRightInd w:val="0"/>
              <w:snapToGrid w:val="0"/>
              <w:ind w:firstLine="0"/>
              <w:jc w:val="center"/>
              <w:rPr>
                <w:rFonts w:hAnsi="Times New Roman" w:cs="华文楷体"/>
                <w:snapToGrid w:val="0"/>
                <w:color w:val="auto"/>
                <w:szCs w:val="21"/>
                <w:highlight w:val="none"/>
              </w:rPr>
            </w:pPr>
            <w:r>
              <w:rPr>
                <w:rFonts w:cs="华文楷体"/>
                <w:snapToGrid w:val="0"/>
                <w:color w:val="auto"/>
                <w:szCs w:val="21"/>
                <w:highlight w:val="none"/>
              </w:rPr>
              <w:t>1</w:t>
            </w:r>
          </w:p>
        </w:tc>
        <w:tc>
          <w:tcPr>
            <w:tcW w:w="2450" w:type="dxa"/>
            <w:vAlign w:val="center"/>
          </w:tcPr>
          <w:p>
            <w:pPr>
              <w:pStyle w:val="21"/>
              <w:adjustRightInd w:val="0"/>
              <w:snapToGrid w:val="0"/>
              <w:ind w:firstLine="0"/>
              <w:jc w:val="center"/>
              <w:rPr>
                <w:rFonts w:hAnsi="Times New Roman"/>
                <w:color w:val="auto"/>
                <w:highlight w:val="none"/>
              </w:rPr>
            </w:pPr>
            <w:r>
              <w:rPr>
                <w:rFonts w:hint="eastAsia" w:cs="华文楷体"/>
                <w:color w:val="auto"/>
                <w:szCs w:val="21"/>
                <w:highlight w:val="none"/>
              </w:rPr>
              <w:t>铅板厚度</w:t>
            </w:r>
          </w:p>
        </w:tc>
        <w:tc>
          <w:tcPr>
            <w:tcW w:w="1810" w:type="dxa"/>
            <w:vAlign w:val="center"/>
          </w:tcPr>
          <w:p>
            <w:pPr>
              <w:pStyle w:val="21"/>
              <w:adjustRightInd w:val="0"/>
              <w:snapToGrid w:val="0"/>
              <w:ind w:firstLine="0"/>
              <w:jc w:val="center"/>
              <w:rPr>
                <w:rFonts w:hAnsi="Times New Roman" w:cs="华文楷体"/>
                <w:snapToGrid w:val="0"/>
                <w:color w:val="auto"/>
                <w:szCs w:val="21"/>
                <w:highlight w:val="none"/>
              </w:rPr>
            </w:pPr>
            <w:r>
              <w:rPr>
                <w:rFonts w:hint="eastAsia" w:cs="华文楷体"/>
                <w:snapToGrid w:val="0"/>
                <w:color w:val="auto"/>
                <w:szCs w:val="21"/>
                <w:highlight w:val="none"/>
              </w:rPr>
              <w:t>卡尺</w:t>
            </w:r>
          </w:p>
        </w:tc>
        <w:tc>
          <w:tcPr>
            <w:tcW w:w="3237" w:type="dxa"/>
            <w:vAlign w:val="center"/>
          </w:tcPr>
          <w:p>
            <w:pPr>
              <w:pStyle w:val="21"/>
              <w:adjustRightInd w:val="0"/>
              <w:snapToGrid w:val="0"/>
              <w:ind w:firstLine="0"/>
              <w:jc w:val="center"/>
              <w:rPr>
                <w:rFonts w:cs="华文楷体"/>
                <w:snapToGrid w:val="0"/>
                <w:color w:val="auto"/>
                <w:szCs w:val="21"/>
                <w:highlight w:val="none"/>
              </w:rPr>
            </w:pPr>
            <w:r>
              <w:rPr>
                <w:rFonts w:hint="eastAsia" w:cs="华文楷体"/>
                <w:snapToGrid w:val="0"/>
                <w:color w:val="auto"/>
                <w:szCs w:val="21"/>
                <w:highlight w:val="none"/>
              </w:rPr>
              <w:t>公差＞</w:t>
            </w:r>
            <w:r>
              <w:rPr>
                <w:rFonts w:cs="华文楷体"/>
                <w:snapToGrid w:val="0"/>
                <w:color w:val="auto"/>
                <w:szCs w:val="21"/>
                <w:highlight w:val="none"/>
              </w:rPr>
              <w:t>3%</w:t>
            </w:r>
          </w:p>
        </w:tc>
      </w:tr>
      <w:tr>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108" w:type="dxa"/>
            <w:bottom w:w="0" w:type="dxa"/>
            <w:right w:w="108" w:type="dxa"/>
          </w:tblCellMar>
        </w:tblPrEx>
        <w:trPr>
          <w:jc w:val="center"/>
        </w:trPr>
        <w:tc>
          <w:tcPr>
            <w:tcW w:w="856" w:type="dxa"/>
            <w:vAlign w:val="center"/>
          </w:tcPr>
          <w:p>
            <w:pPr>
              <w:pStyle w:val="21"/>
              <w:adjustRightInd w:val="0"/>
              <w:snapToGrid w:val="0"/>
              <w:ind w:firstLine="0"/>
              <w:jc w:val="center"/>
              <w:rPr>
                <w:rFonts w:hAnsi="Times New Roman" w:cs="华文楷体"/>
                <w:snapToGrid w:val="0"/>
                <w:color w:val="auto"/>
                <w:szCs w:val="21"/>
                <w:highlight w:val="none"/>
              </w:rPr>
            </w:pPr>
            <w:r>
              <w:rPr>
                <w:rFonts w:cs="华文楷体"/>
                <w:snapToGrid w:val="0"/>
                <w:color w:val="auto"/>
                <w:szCs w:val="21"/>
                <w:highlight w:val="none"/>
              </w:rPr>
              <w:t>2</w:t>
            </w:r>
          </w:p>
        </w:tc>
        <w:tc>
          <w:tcPr>
            <w:tcW w:w="2450" w:type="dxa"/>
            <w:vAlign w:val="center"/>
          </w:tcPr>
          <w:p>
            <w:pPr>
              <w:adjustRightInd w:val="0"/>
              <w:snapToGrid w:val="0"/>
              <w:spacing w:line="360" w:lineRule="auto"/>
              <w:jc w:val="center"/>
              <w:rPr>
                <w:rFonts w:hAnsi="Times New Roman"/>
                <w:color w:val="auto"/>
                <w:highlight w:val="none"/>
              </w:rPr>
            </w:pPr>
            <w:r>
              <w:rPr>
                <w:rFonts w:hint="eastAsia" w:cs="华文楷体"/>
                <w:color w:val="auto"/>
                <w:szCs w:val="21"/>
                <w:highlight w:val="none"/>
              </w:rPr>
              <w:t>铅板搭接</w:t>
            </w:r>
          </w:p>
        </w:tc>
        <w:tc>
          <w:tcPr>
            <w:tcW w:w="1810" w:type="dxa"/>
            <w:vAlign w:val="center"/>
          </w:tcPr>
          <w:p>
            <w:pPr>
              <w:pStyle w:val="21"/>
              <w:adjustRightInd w:val="0"/>
              <w:snapToGrid w:val="0"/>
              <w:ind w:firstLine="0"/>
              <w:jc w:val="center"/>
              <w:rPr>
                <w:rFonts w:hAnsi="Times New Roman" w:cs="华文楷体"/>
                <w:snapToGrid w:val="0"/>
                <w:color w:val="auto"/>
                <w:szCs w:val="21"/>
                <w:highlight w:val="none"/>
              </w:rPr>
            </w:pPr>
            <w:r>
              <w:rPr>
                <w:rFonts w:hint="eastAsia" w:cs="华文楷体"/>
                <w:snapToGrid w:val="0"/>
                <w:color w:val="auto"/>
                <w:szCs w:val="21"/>
                <w:highlight w:val="none"/>
              </w:rPr>
              <w:t>直尺</w:t>
            </w:r>
          </w:p>
        </w:tc>
        <w:tc>
          <w:tcPr>
            <w:tcW w:w="3237" w:type="dxa"/>
            <w:vAlign w:val="center"/>
          </w:tcPr>
          <w:p>
            <w:pPr>
              <w:pStyle w:val="21"/>
              <w:adjustRightInd w:val="0"/>
              <w:snapToGrid w:val="0"/>
              <w:ind w:firstLine="0"/>
              <w:jc w:val="center"/>
              <w:rPr>
                <w:rFonts w:hAnsi="Times New Roman" w:cs="华文楷体"/>
                <w:snapToGrid w:val="0"/>
                <w:color w:val="auto"/>
                <w:szCs w:val="21"/>
                <w:highlight w:val="none"/>
              </w:rPr>
            </w:pPr>
            <w:r>
              <w:rPr>
                <w:rFonts w:cs="华文楷体"/>
                <w:snapToGrid w:val="0"/>
                <w:color w:val="auto"/>
                <w:szCs w:val="21"/>
                <w:highlight w:val="none"/>
              </w:rPr>
              <w:t>25</w:t>
            </w:r>
          </w:p>
        </w:tc>
      </w:tr>
    </w:tbl>
    <w:p>
      <w:pPr>
        <w:pStyle w:val="5"/>
        <w:rPr>
          <w:color w:val="auto"/>
          <w:highlight w:val="none"/>
        </w:rPr>
      </w:pPr>
      <w:r>
        <w:rPr>
          <w:rFonts w:hint="eastAsia"/>
          <w:color w:val="auto"/>
          <w:highlight w:val="none"/>
        </w:rPr>
        <w:t>地面防护铅板的技术要求</w:t>
      </w:r>
    </w:p>
    <w:p>
      <w:pPr>
        <w:pStyle w:val="8"/>
        <w:numPr>
          <w:ilvl w:val="0"/>
          <w:numId w:val="48"/>
        </w:numPr>
        <w:rPr>
          <w:color w:val="auto"/>
          <w:highlight w:val="none"/>
        </w:rPr>
      </w:pPr>
      <w:r>
        <w:rPr>
          <w:rFonts w:hint="eastAsia"/>
          <w:color w:val="auto"/>
          <w:highlight w:val="none"/>
        </w:rPr>
        <w:t>先在机房地面</w:t>
      </w:r>
      <w:r>
        <w:rPr>
          <w:color w:val="auto"/>
          <w:highlight w:val="none"/>
        </w:rPr>
        <w:t>1</w:t>
      </w:r>
      <w:r>
        <w:rPr>
          <w:rFonts w:hint="eastAsia"/>
          <w:color w:val="auto"/>
          <w:highlight w:val="none"/>
        </w:rPr>
        <w:t>：</w:t>
      </w:r>
      <w:r>
        <w:rPr>
          <w:color w:val="auto"/>
          <w:highlight w:val="none"/>
        </w:rPr>
        <w:t>2.5</w:t>
      </w:r>
      <w:r>
        <w:rPr>
          <w:rFonts w:hint="eastAsia"/>
          <w:color w:val="auto"/>
          <w:highlight w:val="none"/>
        </w:rPr>
        <w:t>水泥砂浆找平；</w:t>
      </w:r>
    </w:p>
    <w:p>
      <w:pPr>
        <w:pStyle w:val="8"/>
        <w:numPr>
          <w:ilvl w:val="0"/>
          <w:numId w:val="48"/>
        </w:numPr>
        <w:rPr>
          <w:color w:val="auto"/>
          <w:highlight w:val="none"/>
        </w:rPr>
      </w:pPr>
      <w:r>
        <w:rPr>
          <w:rFonts w:hint="eastAsia"/>
          <w:color w:val="auto"/>
          <w:highlight w:val="none"/>
        </w:rPr>
        <w:t>在地面铺铅板（铅板规格按设计要求）；</w:t>
      </w:r>
    </w:p>
    <w:p>
      <w:pPr>
        <w:pStyle w:val="8"/>
        <w:numPr>
          <w:ilvl w:val="0"/>
          <w:numId w:val="48"/>
        </w:numPr>
        <w:rPr>
          <w:color w:val="auto"/>
          <w:highlight w:val="none"/>
        </w:rPr>
      </w:pPr>
      <w:r>
        <w:rPr>
          <w:rFonts w:hint="eastAsia"/>
          <w:color w:val="auto"/>
          <w:highlight w:val="none"/>
        </w:rPr>
        <w:t>在铅板上用</w:t>
      </w:r>
      <w:r>
        <w:rPr>
          <w:color w:val="auto"/>
          <w:highlight w:val="none"/>
        </w:rPr>
        <w:t>1</w:t>
      </w:r>
      <w:r>
        <w:rPr>
          <w:rFonts w:hint="eastAsia"/>
          <w:color w:val="auto"/>
          <w:highlight w:val="none"/>
        </w:rPr>
        <w:t>：</w:t>
      </w:r>
      <w:r>
        <w:rPr>
          <w:color w:val="auto"/>
          <w:highlight w:val="none"/>
        </w:rPr>
        <w:t>2.5</w:t>
      </w:r>
      <w:r>
        <w:rPr>
          <w:rFonts w:hint="eastAsia"/>
          <w:color w:val="auto"/>
          <w:highlight w:val="none"/>
        </w:rPr>
        <w:t>水泥砂浆找平；</w:t>
      </w:r>
    </w:p>
    <w:p>
      <w:pPr>
        <w:pStyle w:val="8"/>
        <w:numPr>
          <w:ilvl w:val="0"/>
          <w:numId w:val="48"/>
        </w:numPr>
        <w:rPr>
          <w:color w:val="auto"/>
          <w:highlight w:val="none"/>
        </w:rPr>
      </w:pPr>
      <w:r>
        <w:rPr>
          <w:rFonts w:hint="eastAsia"/>
          <w:color w:val="auto"/>
          <w:highlight w:val="none"/>
        </w:rPr>
        <w:t>找平层完成后进入装饰装修处理。</w:t>
      </w:r>
    </w:p>
    <w:p>
      <w:pPr>
        <w:pStyle w:val="8"/>
        <w:numPr>
          <w:ilvl w:val="0"/>
          <w:numId w:val="48"/>
        </w:numPr>
        <w:rPr>
          <w:color w:val="auto"/>
          <w:highlight w:val="none"/>
        </w:rPr>
      </w:pPr>
      <w:r>
        <w:rPr>
          <w:rFonts w:hint="eastAsia"/>
          <w:color w:val="auto"/>
          <w:highlight w:val="none"/>
        </w:rPr>
        <w:t>铅板的技术要求：纯度为</w:t>
      </w:r>
      <w:r>
        <w:rPr>
          <w:color w:val="auto"/>
          <w:highlight w:val="none"/>
        </w:rPr>
        <w:t>99.99%</w:t>
      </w:r>
      <w:r>
        <w:rPr>
          <w:rFonts w:hint="eastAsia"/>
          <w:color w:val="auto"/>
          <w:highlight w:val="none"/>
        </w:rPr>
        <w:t>，防护当量满足设计要求。</w:t>
      </w:r>
    </w:p>
    <w:p>
      <w:pPr>
        <w:pStyle w:val="5"/>
        <w:rPr>
          <w:color w:val="auto"/>
          <w:highlight w:val="none"/>
        </w:rPr>
      </w:pPr>
      <w:r>
        <w:rPr>
          <w:rFonts w:hint="eastAsia"/>
          <w:color w:val="auto"/>
          <w:highlight w:val="none"/>
        </w:rPr>
        <w:t>顶棚铅板防护的技术要求</w:t>
      </w:r>
    </w:p>
    <w:p>
      <w:pPr>
        <w:pStyle w:val="7"/>
        <w:rPr>
          <w:color w:val="auto"/>
          <w:highlight w:val="none"/>
        </w:rPr>
      </w:pPr>
      <w:r>
        <w:rPr>
          <w:rFonts w:hint="eastAsia"/>
          <w:color w:val="auto"/>
          <w:highlight w:val="none"/>
        </w:rPr>
        <w:t>顶棚</w:t>
      </w:r>
      <w:r>
        <w:rPr>
          <w:color w:val="auto"/>
          <w:highlight w:val="none"/>
        </w:rPr>
        <w:t>2.0 mmpb</w:t>
      </w:r>
      <w:r>
        <w:rPr>
          <w:rFonts w:hint="eastAsia"/>
          <w:color w:val="auto"/>
          <w:highlight w:val="none"/>
        </w:rPr>
        <w:t>铅板防护</w:t>
      </w:r>
    </w:p>
    <w:p>
      <w:pPr>
        <w:pStyle w:val="8"/>
        <w:numPr>
          <w:ilvl w:val="0"/>
          <w:numId w:val="49"/>
        </w:numPr>
        <w:rPr>
          <w:color w:val="auto"/>
          <w:highlight w:val="none"/>
        </w:rPr>
      </w:pPr>
      <w:r>
        <w:rPr>
          <w:rFonts w:hint="eastAsia"/>
          <w:color w:val="auto"/>
          <w:highlight w:val="none"/>
        </w:rPr>
        <w:t>顶棚防护采用</w:t>
      </w:r>
      <w:r>
        <w:rPr>
          <w:color w:val="auto"/>
          <w:highlight w:val="none"/>
        </w:rPr>
        <w:t>2.0 mmpb</w:t>
      </w:r>
      <w:r>
        <w:rPr>
          <w:rFonts w:hint="eastAsia"/>
          <w:color w:val="auto"/>
          <w:highlight w:val="none"/>
        </w:rPr>
        <w:t>铅板防护；</w:t>
      </w:r>
    </w:p>
    <w:p>
      <w:pPr>
        <w:pStyle w:val="8"/>
        <w:numPr>
          <w:ilvl w:val="0"/>
          <w:numId w:val="49"/>
        </w:numPr>
        <w:rPr>
          <w:color w:val="auto"/>
          <w:highlight w:val="none"/>
        </w:rPr>
      </w:pPr>
      <w:r>
        <w:rPr>
          <w:rFonts w:hint="eastAsia"/>
          <w:color w:val="auto"/>
          <w:highlight w:val="none"/>
        </w:rPr>
        <w:t>铅板采用膨胀螺栓和钢铁件固定（具体按深化设计确定）；</w:t>
      </w:r>
    </w:p>
    <w:p>
      <w:pPr>
        <w:pStyle w:val="8"/>
        <w:numPr>
          <w:ilvl w:val="0"/>
          <w:numId w:val="49"/>
        </w:numPr>
        <w:rPr>
          <w:color w:val="auto"/>
          <w:highlight w:val="none"/>
        </w:rPr>
      </w:pPr>
      <w:r>
        <w:rPr>
          <w:rFonts w:hint="eastAsia"/>
          <w:color w:val="auto"/>
          <w:highlight w:val="none"/>
        </w:rPr>
        <w:t>固定吊顶，进入装饰装修处理。</w:t>
      </w:r>
    </w:p>
    <w:p>
      <w:pPr>
        <w:pStyle w:val="8"/>
        <w:numPr>
          <w:ilvl w:val="0"/>
          <w:numId w:val="49"/>
        </w:numPr>
        <w:rPr>
          <w:color w:val="auto"/>
          <w:highlight w:val="none"/>
        </w:rPr>
      </w:pPr>
      <w:r>
        <w:rPr>
          <w:rFonts w:hint="eastAsia"/>
          <w:color w:val="auto"/>
          <w:highlight w:val="none"/>
        </w:rPr>
        <w:t>铅板的技术要求：纯度为</w:t>
      </w:r>
      <w:r>
        <w:rPr>
          <w:color w:val="auto"/>
          <w:highlight w:val="none"/>
        </w:rPr>
        <w:t>99.99%</w:t>
      </w:r>
      <w:r>
        <w:rPr>
          <w:rFonts w:hint="eastAsia"/>
          <w:color w:val="auto"/>
          <w:highlight w:val="none"/>
        </w:rPr>
        <w:t>，防护当量满足设计要求。</w:t>
      </w:r>
    </w:p>
    <w:p>
      <w:pPr>
        <w:pStyle w:val="7"/>
        <w:rPr>
          <w:color w:val="auto"/>
          <w:highlight w:val="none"/>
        </w:rPr>
      </w:pPr>
      <w:r>
        <w:rPr>
          <w:rFonts w:hint="eastAsia"/>
          <w:color w:val="auto"/>
          <w:highlight w:val="none"/>
        </w:rPr>
        <w:t>顶棚铅板防护≥</w:t>
      </w:r>
      <w:r>
        <w:rPr>
          <w:color w:val="auto"/>
          <w:highlight w:val="none"/>
        </w:rPr>
        <w:t>3.0mmpb</w:t>
      </w:r>
      <w:r>
        <w:rPr>
          <w:rFonts w:hint="eastAsia"/>
          <w:color w:val="auto"/>
          <w:highlight w:val="none"/>
        </w:rPr>
        <w:t>铅板</w:t>
      </w:r>
    </w:p>
    <w:p>
      <w:pPr>
        <w:pStyle w:val="8"/>
        <w:numPr>
          <w:ilvl w:val="0"/>
          <w:numId w:val="50"/>
        </w:numPr>
        <w:rPr>
          <w:color w:val="auto"/>
          <w:highlight w:val="none"/>
        </w:rPr>
      </w:pPr>
      <w:r>
        <w:rPr>
          <w:color w:val="auto"/>
          <w:highlight w:val="none"/>
        </w:rPr>
        <w:t>6.3#</w:t>
      </w:r>
      <w:r>
        <w:rPr>
          <w:rFonts w:hint="eastAsia"/>
          <w:color w:val="auto"/>
          <w:highlight w:val="none"/>
        </w:rPr>
        <w:t>槽钢做铅板固定支架。</w:t>
      </w:r>
    </w:p>
    <w:p>
      <w:pPr>
        <w:pStyle w:val="8"/>
        <w:numPr>
          <w:ilvl w:val="0"/>
          <w:numId w:val="50"/>
        </w:numPr>
        <w:rPr>
          <w:color w:val="auto"/>
          <w:highlight w:val="none"/>
        </w:rPr>
      </w:pPr>
      <w:r>
        <w:rPr>
          <w:rFonts w:hint="eastAsia"/>
          <w:color w:val="auto"/>
          <w:highlight w:val="none"/>
        </w:rPr>
        <w:t>槽钢上平铺</w:t>
      </w:r>
      <w:r>
        <w:rPr>
          <w:color w:val="auto"/>
          <w:highlight w:val="none"/>
        </w:rPr>
        <w:t>5</w:t>
      </w:r>
      <w:r>
        <w:rPr>
          <w:rFonts w:hint="eastAsia"/>
          <w:color w:val="auto"/>
          <w:highlight w:val="none"/>
        </w:rPr>
        <w:t>㎜高密度板。</w:t>
      </w:r>
    </w:p>
    <w:p>
      <w:pPr>
        <w:pStyle w:val="8"/>
        <w:numPr>
          <w:ilvl w:val="0"/>
          <w:numId w:val="50"/>
        </w:numPr>
        <w:rPr>
          <w:color w:val="auto"/>
          <w:highlight w:val="none"/>
        </w:rPr>
      </w:pPr>
      <w:r>
        <w:rPr>
          <w:rFonts w:hint="eastAsia"/>
          <w:color w:val="auto"/>
          <w:highlight w:val="none"/>
        </w:rPr>
        <w:t>高密度板上平铺≥</w:t>
      </w:r>
      <w:r>
        <w:rPr>
          <w:color w:val="auto"/>
          <w:highlight w:val="none"/>
        </w:rPr>
        <w:t>3.0mmpb</w:t>
      </w:r>
      <w:r>
        <w:rPr>
          <w:rFonts w:hint="eastAsia"/>
          <w:color w:val="auto"/>
          <w:highlight w:val="none"/>
        </w:rPr>
        <w:t>铅板。</w:t>
      </w:r>
    </w:p>
    <w:p>
      <w:pPr>
        <w:pStyle w:val="8"/>
        <w:numPr>
          <w:ilvl w:val="0"/>
          <w:numId w:val="50"/>
        </w:numPr>
        <w:rPr>
          <w:color w:val="auto"/>
          <w:highlight w:val="none"/>
        </w:rPr>
      </w:pPr>
      <w:r>
        <w:rPr>
          <w:rFonts w:hint="eastAsia"/>
          <w:color w:val="auto"/>
          <w:highlight w:val="none"/>
        </w:rPr>
        <w:t>铅板的技术要求：纯度为</w:t>
      </w:r>
      <w:r>
        <w:rPr>
          <w:color w:val="auto"/>
          <w:highlight w:val="none"/>
        </w:rPr>
        <w:t>99.99%</w:t>
      </w:r>
      <w:r>
        <w:rPr>
          <w:rFonts w:hint="eastAsia"/>
          <w:color w:val="auto"/>
          <w:highlight w:val="none"/>
        </w:rPr>
        <w:t>，防护当量满足设计要求。</w:t>
      </w:r>
    </w:p>
    <w:p>
      <w:pPr>
        <w:pStyle w:val="8"/>
        <w:numPr>
          <w:ilvl w:val="0"/>
          <w:numId w:val="50"/>
        </w:numPr>
        <w:rPr>
          <w:color w:val="auto"/>
          <w:highlight w:val="none"/>
        </w:rPr>
      </w:pPr>
      <w:r>
        <w:rPr>
          <w:rFonts w:hint="eastAsia"/>
          <w:color w:val="auto"/>
          <w:highlight w:val="none"/>
        </w:rPr>
        <w:t>在槽钢上固定吊顶轻钢龙骨，进入装饰装修。</w:t>
      </w:r>
    </w:p>
    <w:p>
      <w:pPr>
        <w:pStyle w:val="34"/>
        <w:ind w:firstLine="482"/>
        <w:rPr>
          <w:rFonts w:cs="Times New Roman" w:asciiTheme="minorEastAsia" w:hAnsiTheme="minorEastAsia"/>
          <w:b/>
          <w:bCs/>
          <w:color w:val="auto"/>
          <w:szCs w:val="24"/>
          <w:highlight w:val="none"/>
        </w:rPr>
      </w:pPr>
      <w:r>
        <w:rPr>
          <w:rFonts w:hint="eastAsia"/>
          <w:b/>
          <w:color w:val="auto"/>
          <w:highlight w:val="none"/>
        </w:rPr>
        <w:t>顶棚铅板安装施工均需根据设计图纸进行深化设计，最终现场做法按经审核的深化设计。所有材料及做法均需满足设计及评价要求。</w:t>
      </w:r>
    </w:p>
    <w:p>
      <w:pPr>
        <w:widowControl/>
        <w:snapToGrid w:val="0"/>
        <w:ind w:firstLine="480" w:firstLineChars="200"/>
        <w:rPr>
          <w:rFonts w:cs="Times New Roman" w:asciiTheme="minorEastAsia" w:hAnsiTheme="minorEastAsia"/>
          <w:color w:val="auto"/>
          <w:szCs w:val="24"/>
          <w:highlight w:val="none"/>
          <w:lang w:eastAsia="zh-CN"/>
        </w:rPr>
      </w:pPr>
    </w:p>
    <w:p>
      <w:pPr>
        <w:pStyle w:val="5"/>
        <w:rPr>
          <w:color w:val="auto"/>
          <w:highlight w:val="none"/>
        </w:rPr>
      </w:pPr>
      <w:r>
        <w:rPr>
          <w:rFonts w:hint="eastAsia"/>
          <w:color w:val="auto"/>
          <w:highlight w:val="none"/>
        </w:rPr>
        <w:t>防护涂料技术要求</w:t>
      </w:r>
    </w:p>
    <w:p>
      <w:pPr>
        <w:widowControl/>
        <w:numPr>
          <w:ilvl w:val="0"/>
          <w:numId w:val="51"/>
        </w:numPr>
        <w:ind w:left="0" w:firstLine="720" w:firstLineChars="3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对</w:t>
      </w:r>
      <w:r>
        <w:rPr>
          <w:rFonts w:cs="Times New Roman" w:asciiTheme="minorEastAsia" w:hAnsiTheme="minorEastAsia"/>
          <w:color w:val="auto"/>
          <w:szCs w:val="24"/>
          <w:highlight w:val="none"/>
          <w:lang w:eastAsia="zh-CN"/>
        </w:rPr>
        <w:t>X</w:t>
      </w:r>
      <w:r>
        <w:rPr>
          <w:rFonts w:hint="eastAsia" w:cs="Times New Roman" w:asciiTheme="minorEastAsia" w:hAnsiTheme="minorEastAsia"/>
          <w:color w:val="auto"/>
          <w:szCs w:val="24"/>
          <w:highlight w:val="none"/>
          <w:lang w:eastAsia="zh-CN"/>
        </w:rPr>
        <w:t>、γ射线有良好的阻挡作用。</w:t>
      </w:r>
    </w:p>
    <w:p>
      <w:pPr>
        <w:widowControl/>
        <w:numPr>
          <w:ilvl w:val="0"/>
          <w:numId w:val="51"/>
        </w:numPr>
        <w:ind w:left="0" w:firstLine="720" w:firstLineChars="300"/>
        <w:rPr>
          <w:rFonts w:cs="Times New Roman" w:asciiTheme="minorEastAsia" w:hAnsiTheme="minorEastAsia"/>
          <w:color w:val="auto"/>
          <w:szCs w:val="24"/>
          <w:highlight w:val="none"/>
        </w:rPr>
      </w:pPr>
      <w:r>
        <w:rPr>
          <w:rFonts w:hint="eastAsia" w:cs="Times New Roman" w:asciiTheme="minorEastAsia" w:hAnsiTheme="minorEastAsia"/>
          <w:color w:val="auto"/>
          <w:szCs w:val="24"/>
          <w:highlight w:val="none"/>
          <w:lang w:eastAsia="zh-CN"/>
        </w:rPr>
        <w:t>有吸收散射线的功能。</w:t>
      </w:r>
    </w:p>
    <w:p>
      <w:pPr>
        <w:widowControl/>
        <w:numPr>
          <w:ilvl w:val="0"/>
          <w:numId w:val="51"/>
        </w:numPr>
        <w:ind w:left="0" w:firstLine="720" w:firstLineChars="3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防护涂料应不含铅，主要为硫酸钡成份，应是无毒、无害的环保产品；批荡后粘结牢固、不龟裂、不脱落。</w:t>
      </w:r>
      <w:r>
        <w:rPr>
          <w:rFonts w:cs="Times New Roman" w:asciiTheme="minorEastAsia" w:hAnsiTheme="minorEastAsia"/>
          <w:color w:val="auto"/>
          <w:szCs w:val="24"/>
          <w:highlight w:val="none"/>
          <w:lang w:eastAsia="zh-CN"/>
        </w:rPr>
        <w:tab/>
      </w:r>
    </w:p>
    <w:p>
      <w:pPr>
        <w:widowControl/>
        <w:numPr>
          <w:ilvl w:val="0"/>
          <w:numId w:val="51"/>
        </w:numPr>
        <w:ind w:left="0" w:firstLine="720" w:firstLineChars="3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可靠性高，符合国家有关标准和规范要求。</w:t>
      </w:r>
    </w:p>
    <w:p>
      <w:pPr>
        <w:pStyle w:val="5"/>
        <w:rPr>
          <w:color w:val="auto"/>
          <w:highlight w:val="none"/>
        </w:rPr>
      </w:pPr>
      <w:r>
        <w:rPr>
          <w:rFonts w:hint="eastAsia"/>
          <w:color w:val="auto"/>
          <w:highlight w:val="none"/>
        </w:rPr>
        <w:t>墙面防护的技术要求</w:t>
      </w:r>
    </w:p>
    <w:p>
      <w:pPr>
        <w:pStyle w:val="7"/>
        <w:rPr>
          <w:color w:val="auto"/>
          <w:highlight w:val="none"/>
        </w:rPr>
      </w:pPr>
      <w:r>
        <w:rPr>
          <w:color w:val="auto"/>
          <w:highlight w:val="none"/>
        </w:rPr>
        <w:t xml:space="preserve">  3.0mmpb</w:t>
      </w:r>
      <w:r>
        <w:rPr>
          <w:rFonts w:hint="eastAsia"/>
          <w:color w:val="auto"/>
          <w:highlight w:val="none"/>
        </w:rPr>
        <w:t>铅当量墙面防护涂料的施工技术要求</w:t>
      </w:r>
    </w:p>
    <w:p>
      <w:pPr>
        <w:widowControl/>
        <w:numPr>
          <w:ilvl w:val="0"/>
          <w:numId w:val="52"/>
        </w:numPr>
        <w:ind w:left="0" w:firstLine="720" w:firstLineChars="3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先在机房墙面抹一层水泥砂浆，批平并抹成麻面，而后墙壁上满铺钢丝网，每个钉的距离为不大于</w:t>
      </w:r>
      <w:r>
        <w:rPr>
          <w:rFonts w:cs="Times New Roman" w:asciiTheme="minorEastAsia" w:hAnsiTheme="minorEastAsia"/>
          <w:color w:val="auto"/>
          <w:szCs w:val="24"/>
          <w:highlight w:val="none"/>
          <w:lang w:eastAsia="zh-CN"/>
        </w:rPr>
        <w:t>200</w:t>
      </w:r>
      <w:r>
        <w:rPr>
          <w:rFonts w:hint="eastAsia" w:cs="Times New Roman" w:asciiTheme="minorEastAsia" w:hAnsiTheme="minorEastAsia"/>
          <w:color w:val="auto"/>
          <w:szCs w:val="24"/>
          <w:highlight w:val="none"/>
          <w:lang w:eastAsia="zh-CN"/>
        </w:rPr>
        <w:t>㎜。</w:t>
      </w:r>
    </w:p>
    <w:p>
      <w:pPr>
        <w:widowControl/>
        <w:numPr>
          <w:ilvl w:val="0"/>
          <w:numId w:val="52"/>
        </w:numPr>
        <w:ind w:left="0" w:firstLine="720" w:firstLineChars="3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每次批荡</w:t>
      </w:r>
      <w:r>
        <w:rPr>
          <w:rFonts w:cs="Times New Roman" w:asciiTheme="minorEastAsia" w:hAnsiTheme="minorEastAsia"/>
          <w:color w:val="auto"/>
          <w:szCs w:val="24"/>
          <w:highlight w:val="none"/>
          <w:lang w:eastAsia="zh-CN"/>
        </w:rPr>
        <w:t>1</w:t>
      </w:r>
      <w:r>
        <w:rPr>
          <w:rFonts w:hint="eastAsia" w:cs="Times New Roman" w:asciiTheme="minorEastAsia" w:hAnsiTheme="minorEastAsia"/>
          <w:color w:val="auto"/>
          <w:szCs w:val="24"/>
          <w:highlight w:val="none"/>
          <w:lang w:eastAsia="zh-CN"/>
        </w:rPr>
        <w:t>个铅当量（</w:t>
      </w:r>
      <w:r>
        <w:rPr>
          <w:rFonts w:cs="Times New Roman" w:asciiTheme="minorEastAsia" w:hAnsiTheme="minorEastAsia"/>
          <w:color w:val="auto"/>
          <w:szCs w:val="24"/>
          <w:highlight w:val="none"/>
          <w:lang w:eastAsia="zh-CN"/>
        </w:rPr>
        <w:t>1mmpb</w:t>
      </w:r>
      <w:r>
        <w:rPr>
          <w:rFonts w:hint="eastAsia" w:cs="Times New Roman" w:asciiTheme="minorEastAsia" w:hAnsiTheme="minorEastAsia"/>
          <w:color w:val="auto"/>
          <w:szCs w:val="24"/>
          <w:highlight w:val="none"/>
          <w:lang w:eastAsia="zh-CN"/>
        </w:rPr>
        <w:t>）防护涂料，待干透后，经监理验收合格后，再批第二次，以此类推，直至达到</w:t>
      </w:r>
      <w:r>
        <w:rPr>
          <w:rFonts w:cs="Times New Roman" w:asciiTheme="minorEastAsia" w:hAnsiTheme="minorEastAsia"/>
          <w:color w:val="auto"/>
          <w:szCs w:val="24"/>
          <w:highlight w:val="none"/>
          <w:lang w:eastAsia="zh-CN"/>
        </w:rPr>
        <w:t>3.0 mmpb</w:t>
      </w:r>
      <w:r>
        <w:rPr>
          <w:rFonts w:hint="eastAsia" w:cs="Times New Roman" w:asciiTheme="minorEastAsia" w:hAnsiTheme="minorEastAsia"/>
          <w:color w:val="auto"/>
          <w:szCs w:val="24"/>
          <w:highlight w:val="none"/>
          <w:lang w:eastAsia="zh-CN"/>
        </w:rPr>
        <w:t>。</w:t>
      </w:r>
    </w:p>
    <w:p>
      <w:pPr>
        <w:widowControl/>
        <w:numPr>
          <w:ilvl w:val="0"/>
          <w:numId w:val="52"/>
        </w:numPr>
        <w:ind w:left="0" w:firstLine="720" w:firstLineChars="3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防护涂料批荡完后，再进行装饰装修处理。</w:t>
      </w:r>
    </w:p>
    <w:p>
      <w:pPr>
        <w:pStyle w:val="7"/>
        <w:rPr>
          <w:color w:val="auto"/>
          <w:highlight w:val="none"/>
        </w:rPr>
      </w:pPr>
      <w:r>
        <w:rPr>
          <w:rFonts w:hint="eastAsia"/>
          <w:color w:val="auto"/>
          <w:highlight w:val="none"/>
        </w:rPr>
        <w:t xml:space="preserve"> </w:t>
      </w:r>
      <w:r>
        <w:rPr>
          <w:color w:val="auto"/>
          <w:highlight w:val="none"/>
        </w:rPr>
        <w:t xml:space="preserve"> 4.0 mmpb</w:t>
      </w:r>
      <w:r>
        <w:rPr>
          <w:rFonts w:hint="eastAsia"/>
          <w:color w:val="auto"/>
          <w:highlight w:val="none"/>
        </w:rPr>
        <w:t>铅当量墙面防护涂料的施工技术要求</w:t>
      </w:r>
    </w:p>
    <w:p>
      <w:pPr>
        <w:widowControl/>
        <w:ind w:firstLine="720" w:firstLineChars="300"/>
        <w:rPr>
          <w:rFonts w:cs="Times New Roman" w:asciiTheme="minorEastAsia" w:hAnsiTheme="minorEastAsia"/>
          <w:color w:val="auto"/>
          <w:szCs w:val="24"/>
          <w:highlight w:val="none"/>
          <w:lang w:eastAsia="zh-CN"/>
        </w:rPr>
      </w:pPr>
      <w:r>
        <w:rPr>
          <w:rFonts w:cs="Times New Roman" w:asciiTheme="minorEastAsia" w:hAnsiTheme="minorEastAsia"/>
          <w:color w:val="auto"/>
          <w:szCs w:val="24"/>
          <w:highlight w:val="none"/>
          <w:lang w:eastAsia="zh-CN"/>
        </w:rPr>
        <w:t>1</w:t>
      </w:r>
      <w:r>
        <w:rPr>
          <w:rFonts w:hint="eastAsia" w:cs="Times New Roman" w:asciiTheme="minorEastAsia" w:hAnsiTheme="minorEastAsia"/>
          <w:color w:val="auto"/>
          <w:szCs w:val="24"/>
          <w:highlight w:val="none"/>
          <w:lang w:eastAsia="zh-CN"/>
        </w:rPr>
        <w:t>）先在机房墙面抹一层水泥砂浆，批平并抹成麻面，而后墙壁上满铺钢丝网，每个钉的距离为不大于</w:t>
      </w:r>
      <w:r>
        <w:rPr>
          <w:rFonts w:cs="Times New Roman" w:asciiTheme="minorEastAsia" w:hAnsiTheme="minorEastAsia"/>
          <w:color w:val="auto"/>
          <w:szCs w:val="24"/>
          <w:highlight w:val="none"/>
          <w:lang w:eastAsia="zh-CN"/>
        </w:rPr>
        <w:t>200</w:t>
      </w:r>
      <w:r>
        <w:rPr>
          <w:rFonts w:hint="eastAsia" w:cs="Times New Roman" w:asciiTheme="minorEastAsia" w:hAnsiTheme="minorEastAsia"/>
          <w:color w:val="auto"/>
          <w:szCs w:val="24"/>
          <w:highlight w:val="none"/>
          <w:lang w:eastAsia="zh-CN"/>
        </w:rPr>
        <w:t>㎜。</w:t>
      </w:r>
    </w:p>
    <w:p>
      <w:pPr>
        <w:widowControl/>
        <w:ind w:firstLine="720" w:firstLineChars="300"/>
        <w:rPr>
          <w:rFonts w:cs="Times New Roman" w:asciiTheme="minorEastAsia" w:hAnsiTheme="minorEastAsia"/>
          <w:color w:val="auto"/>
          <w:szCs w:val="24"/>
          <w:highlight w:val="none"/>
          <w:lang w:eastAsia="zh-CN"/>
        </w:rPr>
      </w:pPr>
      <w:r>
        <w:rPr>
          <w:rFonts w:cs="Times New Roman" w:asciiTheme="minorEastAsia" w:hAnsiTheme="minorEastAsia"/>
          <w:color w:val="auto"/>
          <w:szCs w:val="24"/>
          <w:highlight w:val="none"/>
          <w:lang w:eastAsia="zh-CN"/>
        </w:rPr>
        <w:t>2</w:t>
      </w:r>
      <w:r>
        <w:rPr>
          <w:rFonts w:hint="eastAsia" w:cs="Times New Roman" w:asciiTheme="minorEastAsia" w:hAnsiTheme="minorEastAsia"/>
          <w:color w:val="auto"/>
          <w:szCs w:val="24"/>
          <w:highlight w:val="none"/>
          <w:lang w:eastAsia="zh-CN"/>
        </w:rPr>
        <w:t>）每次批荡</w:t>
      </w:r>
      <w:r>
        <w:rPr>
          <w:rFonts w:cs="Times New Roman" w:asciiTheme="minorEastAsia" w:hAnsiTheme="minorEastAsia"/>
          <w:color w:val="auto"/>
          <w:szCs w:val="24"/>
          <w:highlight w:val="none"/>
          <w:lang w:eastAsia="zh-CN"/>
        </w:rPr>
        <w:t>1</w:t>
      </w:r>
      <w:r>
        <w:rPr>
          <w:rFonts w:hint="eastAsia" w:cs="Times New Roman" w:asciiTheme="minorEastAsia" w:hAnsiTheme="minorEastAsia"/>
          <w:color w:val="auto"/>
          <w:szCs w:val="24"/>
          <w:highlight w:val="none"/>
          <w:lang w:eastAsia="zh-CN"/>
        </w:rPr>
        <w:t>个铅当量（</w:t>
      </w:r>
      <w:r>
        <w:rPr>
          <w:rFonts w:cs="Times New Roman" w:asciiTheme="minorEastAsia" w:hAnsiTheme="minorEastAsia"/>
          <w:color w:val="auto"/>
          <w:szCs w:val="24"/>
          <w:highlight w:val="none"/>
          <w:lang w:eastAsia="zh-CN"/>
        </w:rPr>
        <w:t>1mmpb</w:t>
      </w:r>
      <w:r>
        <w:rPr>
          <w:rFonts w:hint="eastAsia" w:cs="Times New Roman" w:asciiTheme="minorEastAsia" w:hAnsiTheme="minorEastAsia"/>
          <w:color w:val="auto"/>
          <w:szCs w:val="24"/>
          <w:highlight w:val="none"/>
          <w:lang w:eastAsia="zh-CN"/>
        </w:rPr>
        <w:t>）防护涂料，待干透后，经监理验收合格后，再批第二次，以此类推，直至达到3</w:t>
      </w:r>
      <w:r>
        <w:rPr>
          <w:rFonts w:cs="Times New Roman" w:asciiTheme="minorEastAsia" w:hAnsiTheme="minorEastAsia"/>
          <w:color w:val="auto"/>
          <w:szCs w:val="24"/>
          <w:highlight w:val="none"/>
          <w:lang w:eastAsia="zh-CN"/>
        </w:rPr>
        <w:t>.0mmpb</w:t>
      </w:r>
      <w:r>
        <w:rPr>
          <w:rFonts w:hint="eastAsia" w:cs="Times New Roman" w:asciiTheme="minorEastAsia" w:hAnsiTheme="minorEastAsia"/>
          <w:color w:val="auto"/>
          <w:szCs w:val="24"/>
          <w:highlight w:val="none"/>
          <w:lang w:eastAsia="zh-CN"/>
        </w:rPr>
        <w:t>铅当量。</w:t>
      </w:r>
    </w:p>
    <w:p>
      <w:pPr>
        <w:widowControl/>
        <w:ind w:firstLine="720" w:firstLineChars="300"/>
        <w:rPr>
          <w:rFonts w:cs="Times New Roman" w:asciiTheme="minorEastAsia" w:hAnsiTheme="minorEastAsia"/>
          <w:color w:val="auto"/>
          <w:szCs w:val="24"/>
          <w:highlight w:val="none"/>
          <w:lang w:eastAsia="zh-CN"/>
        </w:rPr>
      </w:pPr>
      <w:r>
        <w:rPr>
          <w:rFonts w:cs="Times New Roman" w:asciiTheme="minorEastAsia" w:hAnsiTheme="minorEastAsia"/>
          <w:color w:val="auto"/>
          <w:szCs w:val="24"/>
          <w:highlight w:val="none"/>
          <w:lang w:eastAsia="zh-CN"/>
        </w:rPr>
        <w:t>3</w:t>
      </w:r>
      <w:r>
        <w:rPr>
          <w:rFonts w:hint="eastAsia" w:cs="Times New Roman" w:asciiTheme="minorEastAsia" w:hAnsiTheme="minorEastAsia"/>
          <w:color w:val="auto"/>
          <w:szCs w:val="24"/>
          <w:highlight w:val="none"/>
          <w:lang w:eastAsia="zh-CN"/>
        </w:rPr>
        <w:t>）墙壁上满铺第二层钢丝网，每个钉的距离为不大于</w:t>
      </w:r>
      <w:r>
        <w:rPr>
          <w:rFonts w:cs="Times New Roman" w:asciiTheme="minorEastAsia" w:hAnsiTheme="minorEastAsia"/>
          <w:color w:val="auto"/>
          <w:szCs w:val="24"/>
          <w:highlight w:val="none"/>
          <w:lang w:eastAsia="zh-CN"/>
        </w:rPr>
        <w:t>200</w:t>
      </w:r>
      <w:r>
        <w:rPr>
          <w:rFonts w:hint="eastAsia" w:cs="Times New Roman" w:asciiTheme="minorEastAsia" w:hAnsiTheme="minorEastAsia"/>
          <w:color w:val="auto"/>
          <w:szCs w:val="24"/>
          <w:highlight w:val="none"/>
          <w:lang w:eastAsia="zh-CN"/>
        </w:rPr>
        <w:t>㎜。</w:t>
      </w:r>
    </w:p>
    <w:p>
      <w:pPr>
        <w:widowControl/>
        <w:ind w:firstLine="720" w:firstLineChars="300"/>
        <w:rPr>
          <w:rFonts w:cs="Times New Roman" w:asciiTheme="minorEastAsia" w:hAnsiTheme="minorEastAsia"/>
          <w:color w:val="auto"/>
          <w:szCs w:val="24"/>
          <w:highlight w:val="none"/>
          <w:lang w:eastAsia="zh-CN"/>
        </w:rPr>
      </w:pPr>
      <w:r>
        <w:rPr>
          <w:rFonts w:cs="Times New Roman" w:asciiTheme="minorEastAsia" w:hAnsiTheme="minorEastAsia"/>
          <w:color w:val="auto"/>
          <w:szCs w:val="24"/>
          <w:highlight w:val="none"/>
          <w:lang w:eastAsia="zh-CN"/>
        </w:rPr>
        <w:t>4</w:t>
      </w:r>
      <w:r>
        <w:rPr>
          <w:rFonts w:hint="eastAsia" w:cs="Times New Roman" w:asciiTheme="minorEastAsia" w:hAnsiTheme="minorEastAsia"/>
          <w:color w:val="auto"/>
          <w:szCs w:val="24"/>
          <w:highlight w:val="none"/>
          <w:lang w:eastAsia="zh-CN"/>
        </w:rPr>
        <w:t>）再刷</w:t>
      </w:r>
      <w:r>
        <w:rPr>
          <w:rFonts w:cs="Times New Roman" w:asciiTheme="minorEastAsia" w:hAnsiTheme="minorEastAsia"/>
          <w:color w:val="auto"/>
          <w:szCs w:val="24"/>
          <w:highlight w:val="none"/>
          <w:lang w:eastAsia="zh-CN"/>
        </w:rPr>
        <w:t>1mmpb</w:t>
      </w:r>
      <w:r>
        <w:rPr>
          <w:rFonts w:hint="eastAsia" w:cs="Times New Roman" w:asciiTheme="minorEastAsia" w:hAnsiTheme="minorEastAsia"/>
          <w:color w:val="auto"/>
          <w:szCs w:val="24"/>
          <w:highlight w:val="none"/>
          <w:lang w:eastAsia="zh-CN"/>
        </w:rPr>
        <w:t>铅当量墙面防护涂料。</w:t>
      </w:r>
    </w:p>
    <w:p>
      <w:pPr>
        <w:widowControl/>
        <w:ind w:firstLine="720" w:firstLineChars="300"/>
        <w:rPr>
          <w:rFonts w:cs="Times New Roman" w:asciiTheme="minorEastAsia" w:hAnsiTheme="minorEastAsia"/>
          <w:color w:val="auto"/>
          <w:szCs w:val="24"/>
          <w:highlight w:val="none"/>
          <w:lang w:eastAsia="zh-CN"/>
        </w:rPr>
      </w:pPr>
      <w:r>
        <w:rPr>
          <w:rFonts w:cs="Times New Roman" w:asciiTheme="minorEastAsia" w:hAnsiTheme="minorEastAsia"/>
          <w:color w:val="auto"/>
          <w:szCs w:val="24"/>
          <w:highlight w:val="none"/>
          <w:lang w:eastAsia="zh-CN"/>
        </w:rPr>
        <w:t>5</w:t>
      </w:r>
      <w:r>
        <w:rPr>
          <w:rFonts w:hint="eastAsia" w:cs="Times New Roman" w:asciiTheme="minorEastAsia" w:hAnsiTheme="minorEastAsia"/>
          <w:color w:val="auto"/>
          <w:szCs w:val="24"/>
          <w:highlight w:val="none"/>
          <w:lang w:eastAsia="zh-CN"/>
        </w:rPr>
        <w:t>）防护涂料批荡完后，再进行装饰装修处理。</w:t>
      </w:r>
    </w:p>
    <w:p>
      <w:pPr>
        <w:pStyle w:val="7"/>
        <w:rPr>
          <w:color w:val="auto"/>
          <w:highlight w:val="none"/>
        </w:rPr>
      </w:pPr>
      <w:r>
        <w:rPr>
          <w:rFonts w:hint="eastAsia"/>
          <w:color w:val="auto"/>
          <w:highlight w:val="none"/>
        </w:rPr>
        <w:t xml:space="preserve"> </w:t>
      </w:r>
      <w:r>
        <w:rPr>
          <w:color w:val="auto"/>
          <w:highlight w:val="none"/>
        </w:rPr>
        <w:t xml:space="preserve"> 5.0 mmpb</w:t>
      </w:r>
      <w:r>
        <w:rPr>
          <w:rFonts w:hint="eastAsia"/>
          <w:color w:val="auto"/>
          <w:highlight w:val="none"/>
        </w:rPr>
        <w:t>铅当量墙面防护涂料的施工技术要求</w:t>
      </w:r>
    </w:p>
    <w:p>
      <w:pPr>
        <w:widowControl/>
        <w:numPr>
          <w:ilvl w:val="0"/>
          <w:numId w:val="53"/>
        </w:numPr>
        <w:ind w:left="0" w:firstLine="720" w:firstLineChars="3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先在机房墙面抹一层水泥砂浆，批平并抹成麻面，而后墙壁上满铺钢丝网，每个钉的距离为不大于</w:t>
      </w:r>
      <w:r>
        <w:rPr>
          <w:rFonts w:cs="Times New Roman" w:asciiTheme="minorEastAsia" w:hAnsiTheme="minorEastAsia"/>
          <w:color w:val="auto"/>
          <w:szCs w:val="24"/>
          <w:highlight w:val="none"/>
          <w:lang w:eastAsia="zh-CN"/>
        </w:rPr>
        <w:t>200</w:t>
      </w:r>
      <w:r>
        <w:rPr>
          <w:rFonts w:hint="eastAsia" w:cs="Times New Roman" w:asciiTheme="minorEastAsia" w:hAnsiTheme="minorEastAsia"/>
          <w:color w:val="auto"/>
          <w:szCs w:val="24"/>
          <w:highlight w:val="none"/>
          <w:lang w:eastAsia="zh-CN"/>
        </w:rPr>
        <w:t>㎜。</w:t>
      </w:r>
    </w:p>
    <w:p>
      <w:pPr>
        <w:widowControl/>
        <w:numPr>
          <w:ilvl w:val="0"/>
          <w:numId w:val="53"/>
        </w:numPr>
        <w:ind w:left="0" w:firstLine="720" w:firstLineChars="3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每次批荡</w:t>
      </w:r>
      <w:r>
        <w:rPr>
          <w:rFonts w:cs="Times New Roman" w:asciiTheme="minorEastAsia" w:hAnsiTheme="minorEastAsia"/>
          <w:color w:val="auto"/>
          <w:szCs w:val="24"/>
          <w:highlight w:val="none"/>
          <w:lang w:eastAsia="zh-CN"/>
        </w:rPr>
        <w:t>1</w:t>
      </w:r>
      <w:r>
        <w:rPr>
          <w:rFonts w:hint="eastAsia" w:cs="Times New Roman" w:asciiTheme="minorEastAsia" w:hAnsiTheme="minorEastAsia"/>
          <w:color w:val="auto"/>
          <w:szCs w:val="24"/>
          <w:highlight w:val="none"/>
          <w:lang w:eastAsia="zh-CN"/>
        </w:rPr>
        <w:t>个铅当量（</w:t>
      </w:r>
      <w:r>
        <w:rPr>
          <w:rFonts w:cs="Times New Roman" w:asciiTheme="minorEastAsia" w:hAnsiTheme="minorEastAsia"/>
          <w:color w:val="auto"/>
          <w:szCs w:val="24"/>
          <w:highlight w:val="none"/>
          <w:lang w:eastAsia="zh-CN"/>
        </w:rPr>
        <w:t>1mmpb</w:t>
      </w:r>
      <w:r>
        <w:rPr>
          <w:rFonts w:hint="eastAsia" w:cs="Times New Roman" w:asciiTheme="minorEastAsia" w:hAnsiTheme="minorEastAsia"/>
          <w:color w:val="auto"/>
          <w:szCs w:val="24"/>
          <w:highlight w:val="none"/>
          <w:lang w:eastAsia="zh-CN"/>
        </w:rPr>
        <w:t>）防护涂料，待干透后，经监理验收合格后，再批第二次，以此类推，直至达到3</w:t>
      </w:r>
      <w:r>
        <w:rPr>
          <w:rFonts w:cs="Times New Roman" w:asciiTheme="minorEastAsia" w:hAnsiTheme="minorEastAsia"/>
          <w:color w:val="auto"/>
          <w:szCs w:val="24"/>
          <w:highlight w:val="none"/>
          <w:lang w:eastAsia="zh-CN"/>
        </w:rPr>
        <w:t>.0mmpb</w:t>
      </w:r>
      <w:r>
        <w:rPr>
          <w:rFonts w:hint="eastAsia" w:cs="Times New Roman" w:asciiTheme="minorEastAsia" w:hAnsiTheme="minorEastAsia"/>
          <w:color w:val="auto"/>
          <w:szCs w:val="24"/>
          <w:highlight w:val="none"/>
          <w:lang w:eastAsia="zh-CN"/>
        </w:rPr>
        <w:t>铅当量。</w:t>
      </w:r>
    </w:p>
    <w:p>
      <w:pPr>
        <w:widowControl/>
        <w:numPr>
          <w:ilvl w:val="0"/>
          <w:numId w:val="53"/>
        </w:numPr>
        <w:ind w:left="0" w:firstLine="720" w:firstLineChars="3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墙壁上满铺第二层钢丝网，每个钉的距离为不大于</w:t>
      </w:r>
      <w:r>
        <w:rPr>
          <w:rFonts w:cs="Times New Roman" w:asciiTheme="minorEastAsia" w:hAnsiTheme="minorEastAsia"/>
          <w:color w:val="auto"/>
          <w:szCs w:val="24"/>
          <w:highlight w:val="none"/>
          <w:lang w:eastAsia="zh-CN"/>
        </w:rPr>
        <w:t>200</w:t>
      </w:r>
      <w:r>
        <w:rPr>
          <w:rFonts w:hint="eastAsia" w:cs="Times New Roman" w:asciiTheme="minorEastAsia" w:hAnsiTheme="minorEastAsia"/>
          <w:color w:val="auto"/>
          <w:szCs w:val="24"/>
          <w:highlight w:val="none"/>
          <w:lang w:eastAsia="zh-CN"/>
        </w:rPr>
        <w:t>㎜。</w:t>
      </w:r>
    </w:p>
    <w:p>
      <w:pPr>
        <w:widowControl/>
        <w:numPr>
          <w:ilvl w:val="0"/>
          <w:numId w:val="53"/>
        </w:numPr>
        <w:ind w:left="0" w:firstLine="720" w:firstLineChars="3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按以上程序再刷</w:t>
      </w:r>
      <w:r>
        <w:rPr>
          <w:rFonts w:cs="Times New Roman" w:asciiTheme="minorEastAsia" w:hAnsiTheme="minorEastAsia"/>
          <w:color w:val="auto"/>
          <w:szCs w:val="24"/>
          <w:highlight w:val="none"/>
          <w:lang w:eastAsia="zh-CN"/>
        </w:rPr>
        <w:t>2.0mmpb</w:t>
      </w:r>
      <w:r>
        <w:rPr>
          <w:rFonts w:hint="eastAsia" w:cs="Times New Roman" w:asciiTheme="minorEastAsia" w:hAnsiTheme="minorEastAsia"/>
          <w:color w:val="auto"/>
          <w:szCs w:val="24"/>
          <w:highlight w:val="none"/>
          <w:lang w:eastAsia="zh-CN"/>
        </w:rPr>
        <w:t>铅当量墙面防护涂料。</w:t>
      </w:r>
    </w:p>
    <w:p>
      <w:pPr>
        <w:widowControl/>
        <w:numPr>
          <w:ilvl w:val="0"/>
          <w:numId w:val="53"/>
        </w:numPr>
        <w:ind w:left="0" w:firstLine="720" w:firstLineChars="3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墙壁上满铺第三层钢丝网，每个钉的距离为不大于</w:t>
      </w:r>
      <w:r>
        <w:rPr>
          <w:rFonts w:cs="Times New Roman" w:asciiTheme="minorEastAsia" w:hAnsiTheme="minorEastAsia"/>
          <w:color w:val="auto"/>
          <w:szCs w:val="24"/>
          <w:highlight w:val="none"/>
          <w:lang w:eastAsia="zh-CN"/>
        </w:rPr>
        <w:t>200</w:t>
      </w:r>
      <w:r>
        <w:rPr>
          <w:rFonts w:hint="eastAsia" w:cs="Times New Roman" w:asciiTheme="minorEastAsia" w:hAnsiTheme="minorEastAsia"/>
          <w:color w:val="auto"/>
          <w:szCs w:val="24"/>
          <w:highlight w:val="none"/>
          <w:lang w:eastAsia="zh-CN"/>
        </w:rPr>
        <w:t>㎜。</w:t>
      </w:r>
    </w:p>
    <w:p>
      <w:pPr>
        <w:widowControl/>
        <w:numPr>
          <w:ilvl w:val="0"/>
          <w:numId w:val="53"/>
        </w:numPr>
        <w:ind w:left="0" w:firstLine="720" w:firstLineChars="300"/>
        <w:rPr>
          <w:rFonts w:cs="Times New Roman" w:asciiTheme="minorEastAsia" w:hAnsiTheme="minorEastAsia"/>
          <w:color w:val="auto"/>
          <w:szCs w:val="24"/>
          <w:highlight w:val="none"/>
        </w:rPr>
      </w:pPr>
      <w:r>
        <w:rPr>
          <w:rFonts w:hint="eastAsia" w:cs="Times New Roman" w:asciiTheme="minorEastAsia" w:hAnsiTheme="minorEastAsia"/>
          <w:color w:val="auto"/>
          <w:szCs w:val="24"/>
          <w:highlight w:val="none"/>
          <w:lang w:eastAsia="zh-CN"/>
        </w:rPr>
        <w:t>再进行装饰装修处理。</w:t>
      </w:r>
    </w:p>
    <w:p>
      <w:pPr>
        <w:pStyle w:val="7"/>
        <w:rPr>
          <w:color w:val="auto"/>
          <w:highlight w:val="none"/>
        </w:rPr>
      </w:pPr>
      <w:r>
        <w:rPr>
          <w:rFonts w:hint="eastAsia"/>
          <w:color w:val="auto"/>
          <w:highlight w:val="none"/>
        </w:rPr>
        <w:t xml:space="preserve"> </w:t>
      </w:r>
      <w:r>
        <w:rPr>
          <w:color w:val="auto"/>
          <w:highlight w:val="none"/>
        </w:rPr>
        <w:t>6mmpb\10mmpb</w:t>
      </w:r>
      <w:r>
        <w:rPr>
          <w:rFonts w:hint="eastAsia"/>
          <w:color w:val="auto"/>
          <w:highlight w:val="none"/>
        </w:rPr>
        <w:t>等较大当量防护涂料施工</w:t>
      </w:r>
    </w:p>
    <w:p>
      <w:pPr>
        <w:pStyle w:val="34"/>
        <w:ind w:firstLine="480"/>
        <w:rPr>
          <w:color w:val="auto"/>
          <w:highlight w:val="none"/>
        </w:rPr>
      </w:pPr>
      <w:r>
        <w:rPr>
          <w:rFonts w:hint="eastAsia"/>
          <w:color w:val="auto"/>
          <w:highlight w:val="none"/>
        </w:rPr>
        <w:t>均需由施工单位结合施工工艺、材料特点、设计等进行深化设计及编制可行的施工方案报审后施工。</w:t>
      </w:r>
    </w:p>
    <w:p>
      <w:pPr>
        <w:pStyle w:val="5"/>
        <w:rPr>
          <w:color w:val="auto"/>
          <w:highlight w:val="none"/>
        </w:rPr>
      </w:pPr>
      <w:r>
        <w:rPr>
          <w:rFonts w:hint="eastAsia"/>
          <w:color w:val="auto"/>
          <w:highlight w:val="none"/>
        </w:rPr>
        <w:t>屏蔽机房装修的技术要求</w:t>
      </w:r>
    </w:p>
    <w:p>
      <w:pPr>
        <w:pStyle w:val="7"/>
        <w:rPr>
          <w:color w:val="auto"/>
          <w:highlight w:val="none"/>
        </w:rPr>
      </w:pPr>
      <w:r>
        <w:rPr>
          <w:rFonts w:hint="eastAsia"/>
          <w:color w:val="auto"/>
          <w:highlight w:val="none"/>
        </w:rPr>
        <w:t>技术要求</w:t>
      </w:r>
    </w:p>
    <w:p>
      <w:pPr>
        <w:pStyle w:val="8"/>
        <w:numPr>
          <w:ilvl w:val="0"/>
          <w:numId w:val="54"/>
        </w:numPr>
        <w:rPr>
          <w:color w:val="auto"/>
          <w:highlight w:val="none"/>
        </w:rPr>
      </w:pPr>
      <w:r>
        <w:rPr>
          <w:rFonts w:hint="eastAsia"/>
          <w:color w:val="auto"/>
          <w:highlight w:val="none"/>
        </w:rPr>
        <w:t>射频屏蔽材料要求为电解铜箔，墙面及天花吊顶的射频屏蔽材料安装方式应采用拼装式，在安装完毕后，可进行再次拆装，并不影响其的射频屏蔽性能；</w:t>
      </w:r>
    </w:p>
    <w:p>
      <w:pPr>
        <w:pStyle w:val="8"/>
        <w:numPr>
          <w:ilvl w:val="0"/>
          <w:numId w:val="54"/>
        </w:numPr>
        <w:rPr>
          <w:color w:val="auto"/>
          <w:highlight w:val="none"/>
        </w:rPr>
      </w:pPr>
      <w:r>
        <w:rPr>
          <w:rFonts w:hint="eastAsia"/>
          <w:color w:val="auto"/>
          <w:highlight w:val="none"/>
        </w:rPr>
        <w:t>射频屏蔽需要的衰减值：</w:t>
      </w:r>
      <w:r>
        <w:rPr>
          <w:color w:val="auto"/>
          <w:highlight w:val="none"/>
        </w:rPr>
        <w:t>10</w:t>
      </w:r>
      <w:r>
        <w:rPr>
          <w:rFonts w:hint="eastAsia"/>
          <w:color w:val="auto"/>
          <w:highlight w:val="none"/>
        </w:rPr>
        <w:t>～</w:t>
      </w:r>
      <w:r>
        <w:rPr>
          <w:color w:val="auto"/>
          <w:highlight w:val="none"/>
        </w:rPr>
        <w:t>100MHz</w:t>
      </w:r>
      <w:r>
        <w:rPr>
          <w:rFonts w:hint="eastAsia"/>
          <w:color w:val="auto"/>
          <w:highlight w:val="none"/>
        </w:rPr>
        <w:t>平面波衰减大于</w:t>
      </w:r>
      <w:r>
        <w:rPr>
          <w:color w:val="auto"/>
          <w:highlight w:val="none"/>
        </w:rPr>
        <w:t>100dB</w:t>
      </w:r>
      <w:r>
        <w:rPr>
          <w:rFonts w:hint="eastAsia"/>
          <w:color w:val="auto"/>
          <w:highlight w:val="none"/>
        </w:rPr>
        <w:t>。在频率范围</w:t>
      </w:r>
      <w:r>
        <w:rPr>
          <w:color w:val="auto"/>
          <w:highlight w:val="none"/>
        </w:rPr>
        <w:t>10-100MHZ</w:t>
      </w:r>
      <w:r>
        <w:rPr>
          <w:rFonts w:hint="eastAsia"/>
          <w:color w:val="auto"/>
          <w:highlight w:val="none"/>
        </w:rPr>
        <w:t>内，这些值必须在设备安装前由专业部门测量确认。</w:t>
      </w:r>
    </w:p>
    <w:p>
      <w:pPr>
        <w:pStyle w:val="8"/>
        <w:numPr>
          <w:ilvl w:val="0"/>
          <w:numId w:val="54"/>
        </w:numPr>
        <w:rPr>
          <w:color w:val="auto"/>
          <w:highlight w:val="none"/>
        </w:rPr>
      </w:pPr>
      <w:r>
        <w:rPr>
          <w:rFonts w:hint="eastAsia"/>
          <w:color w:val="auto"/>
          <w:highlight w:val="none"/>
        </w:rPr>
        <w:t>测试验收标准：</w:t>
      </w:r>
      <w:r>
        <w:rPr>
          <w:color w:val="auto"/>
          <w:highlight w:val="none"/>
        </w:rPr>
        <w:t>GB12190-2006</w:t>
      </w:r>
      <w:r>
        <w:rPr>
          <w:rFonts w:hint="eastAsia"/>
          <w:color w:val="auto"/>
          <w:highlight w:val="none"/>
        </w:rPr>
        <w:t>《高性能屏蔽室屏蔽效能的测量方法》；</w:t>
      </w:r>
      <w:r>
        <w:rPr>
          <w:color w:val="auto"/>
          <w:highlight w:val="none"/>
        </w:rPr>
        <w:t>GB8702-88</w:t>
      </w:r>
      <w:r>
        <w:rPr>
          <w:rFonts w:hint="eastAsia"/>
          <w:color w:val="auto"/>
          <w:highlight w:val="none"/>
        </w:rPr>
        <w:t>《电磁辐射防护规范》。</w:t>
      </w:r>
    </w:p>
    <w:p>
      <w:pPr>
        <w:pStyle w:val="8"/>
        <w:numPr>
          <w:ilvl w:val="0"/>
          <w:numId w:val="54"/>
        </w:numPr>
        <w:rPr>
          <w:color w:val="auto"/>
          <w:highlight w:val="none"/>
        </w:rPr>
      </w:pPr>
      <w:r>
        <w:rPr>
          <w:rFonts w:hint="eastAsia"/>
          <w:color w:val="auto"/>
          <w:highlight w:val="none"/>
        </w:rPr>
        <w:t>屏蔽室壳体绝缘指标：通过</w:t>
      </w:r>
      <w:r>
        <w:rPr>
          <w:color w:val="auto"/>
          <w:highlight w:val="none"/>
        </w:rPr>
        <w:t>MR</w:t>
      </w:r>
      <w:r>
        <w:rPr>
          <w:rFonts w:hint="eastAsia"/>
          <w:color w:val="auto"/>
          <w:highlight w:val="none"/>
        </w:rPr>
        <w:t>系统接地，单独接地。绝缘电阻大于</w:t>
      </w:r>
      <w:r>
        <w:rPr>
          <w:color w:val="auto"/>
          <w:highlight w:val="none"/>
        </w:rPr>
        <w:t>1000</w:t>
      </w:r>
      <w:r>
        <w:rPr>
          <w:rFonts w:hint="eastAsia"/>
          <w:color w:val="auto"/>
          <w:highlight w:val="none"/>
        </w:rPr>
        <w:t>欧姆；</w:t>
      </w:r>
    </w:p>
    <w:p>
      <w:pPr>
        <w:pStyle w:val="8"/>
        <w:numPr>
          <w:ilvl w:val="0"/>
          <w:numId w:val="54"/>
        </w:numPr>
        <w:rPr>
          <w:color w:val="auto"/>
          <w:highlight w:val="none"/>
        </w:rPr>
      </w:pPr>
      <w:r>
        <w:rPr>
          <w:rFonts w:hint="eastAsia"/>
          <w:color w:val="auto"/>
          <w:highlight w:val="none"/>
        </w:rPr>
        <w:t>所有连接进扫描室的强弱电电源管线、医用气体系统等等必须通过安装在射频屏蔽体上的各种滤波器、波导窗、过滤板才能进入。</w:t>
      </w:r>
    </w:p>
    <w:p>
      <w:pPr>
        <w:pStyle w:val="8"/>
        <w:numPr>
          <w:ilvl w:val="0"/>
          <w:numId w:val="54"/>
        </w:numPr>
        <w:rPr>
          <w:color w:val="auto"/>
          <w:highlight w:val="none"/>
        </w:rPr>
      </w:pPr>
      <w:r>
        <w:rPr>
          <w:rFonts w:hint="eastAsia"/>
          <w:color w:val="auto"/>
          <w:highlight w:val="none"/>
        </w:rPr>
        <w:t>扫描室采用直流</w:t>
      </w:r>
      <w:r>
        <w:rPr>
          <w:color w:val="auto"/>
          <w:highlight w:val="none"/>
        </w:rPr>
        <w:t>LED</w:t>
      </w:r>
      <w:r>
        <w:rPr>
          <w:rFonts w:hint="eastAsia"/>
          <w:color w:val="auto"/>
          <w:highlight w:val="none"/>
        </w:rPr>
        <w:t>照明电灯，直流电源的交流残余波纹应小于或等于</w:t>
      </w:r>
      <w:r>
        <w:rPr>
          <w:color w:val="auto"/>
          <w:highlight w:val="none"/>
        </w:rPr>
        <w:t>5%</w:t>
      </w:r>
      <w:r>
        <w:rPr>
          <w:rFonts w:hint="eastAsia"/>
          <w:color w:val="auto"/>
          <w:highlight w:val="none"/>
        </w:rPr>
        <w:t>。</w:t>
      </w:r>
    </w:p>
    <w:p>
      <w:pPr>
        <w:pStyle w:val="8"/>
        <w:numPr>
          <w:ilvl w:val="0"/>
          <w:numId w:val="54"/>
        </w:numPr>
        <w:rPr>
          <w:color w:val="auto"/>
          <w:highlight w:val="none"/>
        </w:rPr>
      </w:pPr>
      <w:r>
        <w:rPr>
          <w:rFonts w:hint="eastAsia"/>
          <w:color w:val="auto"/>
          <w:highlight w:val="none"/>
        </w:rPr>
        <w:t>风管进入屏蔽室处与通风波导窗连接，作为进出风通道，风管采用环保无磁风道，无磁法兰，防止干扰进入屏蔽室内，风口为铝合金风口。</w:t>
      </w:r>
    </w:p>
    <w:p>
      <w:pPr>
        <w:pStyle w:val="8"/>
        <w:numPr>
          <w:ilvl w:val="0"/>
          <w:numId w:val="54"/>
        </w:numPr>
        <w:rPr>
          <w:color w:val="auto"/>
          <w:highlight w:val="none"/>
        </w:rPr>
      </w:pPr>
      <w:r>
        <w:rPr>
          <w:rFonts w:hint="eastAsia"/>
          <w:color w:val="auto"/>
          <w:highlight w:val="none"/>
        </w:rPr>
        <w:t>隔音手动平开屏蔽门，面板为</w:t>
      </w:r>
      <w:r>
        <w:rPr>
          <w:color w:val="auto"/>
          <w:highlight w:val="none"/>
        </w:rPr>
        <w:t>304#</w:t>
      </w:r>
      <w:r>
        <w:rPr>
          <w:rFonts w:hint="eastAsia"/>
          <w:color w:val="auto"/>
          <w:highlight w:val="none"/>
        </w:rPr>
        <w:t>不锈钢材质，门扇与门框之间须有屏蔽措施，须装配安全锁及拉手。</w:t>
      </w:r>
    </w:p>
    <w:p>
      <w:pPr>
        <w:pStyle w:val="7"/>
        <w:rPr>
          <w:color w:val="auto"/>
          <w:highlight w:val="none"/>
        </w:rPr>
      </w:pPr>
      <w:r>
        <w:rPr>
          <w:rFonts w:hint="eastAsia"/>
          <w:color w:val="auto"/>
          <w:highlight w:val="none"/>
        </w:rPr>
        <w:t>屏蔽目的：</w:t>
      </w:r>
    </w:p>
    <w:p>
      <w:pPr>
        <w:pStyle w:val="8"/>
        <w:numPr>
          <w:ilvl w:val="0"/>
          <w:numId w:val="55"/>
        </w:numPr>
        <w:rPr>
          <w:color w:val="auto"/>
          <w:highlight w:val="none"/>
        </w:rPr>
      </w:pPr>
      <w:r>
        <w:rPr>
          <w:rFonts w:asciiTheme="minorEastAsia" w:hAnsiTheme="minorEastAsia"/>
          <w:color w:val="auto"/>
          <w:szCs w:val="24"/>
          <w:highlight w:val="none"/>
        </w:rPr>
        <w:t xml:space="preserve"> </w:t>
      </w:r>
      <w:r>
        <w:rPr>
          <w:rFonts w:hint="eastAsia" w:asciiTheme="minorEastAsia" w:hAnsiTheme="minorEastAsia"/>
          <w:color w:val="auto"/>
          <w:szCs w:val="24"/>
          <w:highlight w:val="none"/>
        </w:rPr>
        <w:t>限制内</w:t>
      </w:r>
      <w:r>
        <w:rPr>
          <w:rFonts w:hint="eastAsia"/>
          <w:color w:val="auto"/>
          <w:highlight w:val="none"/>
        </w:rPr>
        <w:t>部的电磁能越出某一区域；</w:t>
      </w:r>
    </w:p>
    <w:p>
      <w:pPr>
        <w:pStyle w:val="8"/>
        <w:numPr>
          <w:ilvl w:val="0"/>
          <w:numId w:val="55"/>
        </w:numPr>
        <w:rPr>
          <w:color w:val="auto"/>
          <w:highlight w:val="none"/>
        </w:rPr>
      </w:pPr>
      <w:r>
        <w:rPr>
          <w:color w:val="auto"/>
          <w:highlight w:val="none"/>
        </w:rPr>
        <w:t xml:space="preserve"> </w:t>
      </w:r>
      <w:r>
        <w:rPr>
          <w:rFonts w:hint="eastAsia"/>
          <w:color w:val="auto"/>
          <w:highlight w:val="none"/>
        </w:rPr>
        <w:t>防止外来电磁能进入某一区域。</w:t>
      </w:r>
    </w:p>
    <w:p>
      <w:pPr>
        <w:pStyle w:val="7"/>
        <w:rPr>
          <w:color w:val="auto"/>
          <w:highlight w:val="none"/>
        </w:rPr>
      </w:pPr>
      <w:r>
        <w:rPr>
          <w:rFonts w:hint="eastAsia"/>
          <w:color w:val="auto"/>
          <w:highlight w:val="none"/>
        </w:rPr>
        <w:t>屏蔽室组成部件：</w:t>
      </w:r>
    </w:p>
    <w:p>
      <w:pPr>
        <w:keepLines w:val="0"/>
        <w:widowControl/>
        <w:ind w:left="420" w:firstLine="578"/>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组成：由屏蔽壳体、屏蔽门、屏蔽观察窗、通风波导窗、电源滤波器、过滤板、波导接口、配电系统、空调通风接口、线号线的处理和屏蔽室装修等组成。</w:t>
      </w:r>
    </w:p>
    <w:p>
      <w:pPr>
        <w:keepLines w:val="0"/>
        <w:widowControl/>
        <w:ind w:left="420" w:firstLine="578"/>
        <w:rPr>
          <w:rFonts w:cs="Times New Roman" w:asciiTheme="minorEastAsia" w:hAnsiTheme="minorEastAsia"/>
          <w:color w:val="auto"/>
          <w:szCs w:val="24"/>
          <w:highlight w:val="none"/>
          <w:lang w:eastAsia="zh-CN"/>
        </w:rPr>
      </w:pPr>
      <w:r>
        <w:rPr>
          <w:rFonts w:cs="Times New Roman" w:asciiTheme="minorEastAsia" w:hAnsiTheme="minorEastAsia"/>
          <w:color w:val="auto"/>
          <w:szCs w:val="24"/>
          <w:highlight w:val="none"/>
          <w:lang w:eastAsia="zh-CN"/>
        </w:rPr>
        <w:t>1</w:t>
      </w:r>
      <w:r>
        <w:rPr>
          <w:rFonts w:hint="eastAsia" w:cs="Times New Roman" w:asciiTheme="minorEastAsia" w:hAnsiTheme="minorEastAsia"/>
          <w:color w:val="auto"/>
          <w:szCs w:val="24"/>
          <w:highlight w:val="none"/>
          <w:lang w:eastAsia="zh-CN"/>
        </w:rPr>
        <w:t>）电源系统及各种相关的信号电缆均需从外部通过高性能滤波器进入屏蔽室。</w:t>
      </w:r>
    </w:p>
    <w:p>
      <w:pPr>
        <w:keepLines w:val="0"/>
        <w:widowControl/>
        <w:ind w:left="420" w:firstLine="578"/>
        <w:rPr>
          <w:rFonts w:cs="Times New Roman" w:asciiTheme="minorEastAsia" w:hAnsiTheme="minorEastAsia"/>
          <w:color w:val="auto"/>
          <w:szCs w:val="24"/>
          <w:highlight w:val="none"/>
          <w:lang w:eastAsia="zh-CN"/>
        </w:rPr>
      </w:pPr>
      <w:r>
        <w:rPr>
          <w:rFonts w:cs="Times New Roman" w:asciiTheme="minorEastAsia" w:hAnsiTheme="minorEastAsia"/>
          <w:color w:val="auto"/>
          <w:szCs w:val="24"/>
          <w:highlight w:val="none"/>
          <w:lang w:eastAsia="zh-CN"/>
        </w:rPr>
        <w:t>2</w:t>
      </w:r>
      <w:r>
        <w:rPr>
          <w:rFonts w:hint="eastAsia" w:cs="Times New Roman" w:asciiTheme="minorEastAsia" w:hAnsiTheme="minorEastAsia"/>
          <w:color w:val="auto"/>
          <w:szCs w:val="24"/>
          <w:highlight w:val="none"/>
          <w:lang w:eastAsia="zh-CN"/>
        </w:rPr>
        <w:t>）对于进出屏蔽室的各种进出光纤、水管通过铜制光纤波导管保证屏蔽效能，风管在进入屏蔽室处与铜制蜂窝状通风波导窗连接做为进出风通道，防止干扰进入屏蔽室内。</w:t>
      </w:r>
    </w:p>
    <w:p>
      <w:pPr>
        <w:pStyle w:val="7"/>
        <w:rPr>
          <w:color w:val="auto"/>
          <w:highlight w:val="none"/>
        </w:rPr>
      </w:pPr>
      <w:r>
        <w:rPr>
          <w:rFonts w:hint="eastAsia"/>
          <w:color w:val="auto"/>
          <w:highlight w:val="none"/>
        </w:rPr>
        <w:t>屏蔽墙、天花、地面的防护装饰：</w:t>
      </w:r>
    </w:p>
    <w:p>
      <w:pPr>
        <w:keepLines w:val="0"/>
        <w:widowControl/>
        <w:ind w:left="420" w:firstLine="578"/>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屏蔽室地面：先做</w:t>
      </w:r>
      <w:r>
        <w:rPr>
          <w:rFonts w:cs="Times New Roman" w:asciiTheme="minorEastAsia" w:hAnsiTheme="minorEastAsia"/>
          <w:color w:val="auto"/>
          <w:szCs w:val="24"/>
          <w:highlight w:val="none"/>
          <w:lang w:eastAsia="zh-CN"/>
        </w:rPr>
        <w:t>SBS</w:t>
      </w:r>
      <w:r>
        <w:rPr>
          <w:rFonts w:hint="eastAsia" w:cs="Times New Roman" w:asciiTheme="minorEastAsia" w:hAnsiTheme="minorEastAsia"/>
          <w:color w:val="auto"/>
          <w:szCs w:val="24"/>
          <w:highlight w:val="none"/>
          <w:lang w:eastAsia="zh-CN"/>
        </w:rPr>
        <w:t>卷材防潮层，再铺设</w:t>
      </w:r>
      <w:r>
        <w:rPr>
          <w:rFonts w:cs="Times New Roman" w:asciiTheme="minorEastAsia" w:hAnsiTheme="minorEastAsia"/>
          <w:color w:val="auto"/>
          <w:szCs w:val="24"/>
          <w:highlight w:val="none"/>
          <w:lang w:eastAsia="zh-CN"/>
        </w:rPr>
        <w:t>3</w:t>
      </w:r>
      <w:r>
        <w:rPr>
          <w:rFonts w:hint="eastAsia" w:cs="Times New Roman" w:asciiTheme="minorEastAsia" w:hAnsiTheme="minorEastAsia"/>
          <w:color w:val="auto"/>
          <w:szCs w:val="24"/>
          <w:highlight w:val="none"/>
          <w:lang w:eastAsia="zh-CN"/>
        </w:rPr>
        <w:t>㎜的绝缘</w:t>
      </w:r>
      <w:r>
        <w:rPr>
          <w:rFonts w:cs="Times New Roman" w:asciiTheme="minorEastAsia" w:hAnsiTheme="minorEastAsia"/>
          <w:color w:val="auto"/>
          <w:szCs w:val="24"/>
          <w:highlight w:val="none"/>
          <w:lang w:eastAsia="zh-CN"/>
        </w:rPr>
        <w:t>PVC</w:t>
      </w:r>
      <w:r>
        <w:rPr>
          <w:rFonts w:hint="eastAsia" w:cs="Times New Roman" w:asciiTheme="minorEastAsia" w:hAnsiTheme="minorEastAsia"/>
          <w:color w:val="auto"/>
          <w:szCs w:val="24"/>
          <w:highlight w:val="none"/>
          <w:lang w:eastAsia="zh-CN"/>
        </w:rPr>
        <w:t>灰板，上面平铺电解铜箔板，之后回填高密度板地面，最后铺设</w:t>
      </w:r>
      <w:r>
        <w:rPr>
          <w:rFonts w:cs="Times New Roman" w:asciiTheme="minorEastAsia" w:hAnsiTheme="minorEastAsia"/>
          <w:color w:val="auto"/>
          <w:szCs w:val="24"/>
          <w:highlight w:val="none"/>
          <w:lang w:eastAsia="zh-CN"/>
        </w:rPr>
        <w:t>PVC</w:t>
      </w:r>
      <w:r>
        <w:rPr>
          <w:rFonts w:hint="eastAsia" w:cs="Times New Roman" w:asciiTheme="minorEastAsia" w:hAnsiTheme="minorEastAsia"/>
          <w:color w:val="auto"/>
          <w:szCs w:val="24"/>
          <w:highlight w:val="none"/>
          <w:lang w:eastAsia="zh-CN"/>
        </w:rPr>
        <w:t>地板，</w:t>
      </w:r>
      <w:r>
        <w:rPr>
          <w:rFonts w:cs="Times New Roman" w:asciiTheme="minorEastAsia" w:hAnsiTheme="minorEastAsia"/>
          <w:color w:val="auto"/>
          <w:szCs w:val="24"/>
          <w:highlight w:val="none"/>
          <w:lang w:eastAsia="zh-CN"/>
        </w:rPr>
        <w:t>PVC</w:t>
      </w:r>
      <w:r>
        <w:rPr>
          <w:rFonts w:hint="eastAsia" w:cs="Times New Roman" w:asciiTheme="minorEastAsia" w:hAnsiTheme="minorEastAsia"/>
          <w:color w:val="auto"/>
          <w:szCs w:val="24"/>
          <w:highlight w:val="none"/>
          <w:lang w:eastAsia="zh-CN"/>
        </w:rPr>
        <w:t>地板接缝处必须在其下贴有铜贴条。</w:t>
      </w:r>
    </w:p>
    <w:p>
      <w:pPr>
        <w:keepLines w:val="0"/>
        <w:widowControl/>
        <w:ind w:left="420" w:firstLine="578"/>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屏蔽室墙面：采用电解铜箔整体拼装模块，装饰面层为防火防潮装饰板，支撑框架，支撑龙骨固定好后，在其里面添加吸音棉。</w:t>
      </w:r>
    </w:p>
    <w:p>
      <w:pPr>
        <w:keepLines w:val="0"/>
        <w:widowControl/>
        <w:ind w:left="420" w:firstLine="578"/>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屏蔽室顶部：顶部做好铜屏蔽后，再进行吊顶处理，吊顶材料选用硅钙板吊顶，面刷乳胶漆，屏蔽室吊顶龙骨采用无磁性的铝合金龙骨和相关的不锈角钢、不锈钢自攻螺丝及不锈钢铆钉等配件。</w:t>
      </w:r>
    </w:p>
    <w:p>
      <w:pPr>
        <w:pStyle w:val="7"/>
        <w:rPr>
          <w:color w:val="auto"/>
          <w:highlight w:val="none"/>
        </w:rPr>
      </w:pPr>
      <w:r>
        <w:rPr>
          <w:rFonts w:hint="eastAsia"/>
          <w:color w:val="auto"/>
          <w:highlight w:val="none"/>
        </w:rPr>
        <w:t>电源滤波器：</w:t>
      </w:r>
    </w:p>
    <w:p>
      <w:pPr>
        <w:keepLines w:val="0"/>
        <w:widowControl/>
        <w:ind w:left="420" w:firstLine="578"/>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电源滤波器是一种无源双向网格，是由无源组件构成多端网络，它的一端是“电源”，另一端是“负载”，它不仅能衰减沿电源线传导的</w:t>
      </w:r>
      <w:r>
        <w:rPr>
          <w:rFonts w:cs="Times New Roman" w:asciiTheme="minorEastAsia" w:hAnsiTheme="minorEastAsia"/>
          <w:color w:val="auto"/>
          <w:szCs w:val="24"/>
          <w:highlight w:val="none"/>
          <w:lang w:eastAsia="zh-CN"/>
        </w:rPr>
        <w:t>EMI</w:t>
      </w:r>
      <w:r>
        <w:rPr>
          <w:rFonts w:hint="eastAsia" w:cs="Times New Roman" w:asciiTheme="minorEastAsia" w:hAnsiTheme="minorEastAsia"/>
          <w:color w:val="auto"/>
          <w:szCs w:val="24"/>
          <w:highlight w:val="none"/>
          <w:lang w:eastAsia="zh-CN"/>
        </w:rPr>
        <w:t>能量，同时也对</w:t>
      </w:r>
      <w:r>
        <w:rPr>
          <w:rFonts w:cs="Times New Roman" w:asciiTheme="minorEastAsia" w:hAnsiTheme="minorEastAsia"/>
          <w:color w:val="auto"/>
          <w:szCs w:val="24"/>
          <w:highlight w:val="none"/>
          <w:lang w:eastAsia="zh-CN"/>
        </w:rPr>
        <w:t>EMI</w:t>
      </w:r>
      <w:r>
        <w:rPr>
          <w:rFonts w:hint="eastAsia" w:cs="Times New Roman" w:asciiTheme="minorEastAsia" w:hAnsiTheme="minorEastAsia"/>
          <w:color w:val="auto"/>
          <w:szCs w:val="24"/>
          <w:highlight w:val="none"/>
          <w:lang w:eastAsia="zh-CN"/>
        </w:rPr>
        <w:t>的辐射有显着的抑制作用，本屏蔽室选用高插入低损耗滤波器，漏电小于</w:t>
      </w:r>
      <w:r>
        <w:rPr>
          <w:rFonts w:cs="Times New Roman" w:asciiTheme="minorEastAsia" w:hAnsiTheme="minorEastAsia"/>
          <w:color w:val="auto"/>
          <w:szCs w:val="24"/>
          <w:highlight w:val="none"/>
          <w:lang w:eastAsia="zh-CN"/>
        </w:rPr>
        <w:t>0.5A</w:t>
      </w:r>
      <w:r>
        <w:rPr>
          <w:rFonts w:hint="eastAsia" w:cs="Times New Roman" w:asciiTheme="minorEastAsia" w:hAnsiTheme="minorEastAsia"/>
          <w:color w:val="auto"/>
          <w:szCs w:val="24"/>
          <w:highlight w:val="none"/>
          <w:lang w:eastAsia="zh-CN"/>
        </w:rPr>
        <w:t>。</w:t>
      </w:r>
    </w:p>
    <w:p>
      <w:pPr>
        <w:pStyle w:val="7"/>
        <w:rPr>
          <w:color w:val="auto"/>
          <w:highlight w:val="none"/>
        </w:rPr>
      </w:pPr>
      <w:r>
        <w:rPr>
          <w:rFonts w:hint="eastAsia"/>
          <w:color w:val="auto"/>
          <w:highlight w:val="none"/>
        </w:rPr>
        <w:t>空调及通风系统：</w:t>
      </w:r>
    </w:p>
    <w:p>
      <w:pPr>
        <w:keepLines w:val="0"/>
        <w:widowControl/>
        <w:ind w:left="420" w:firstLine="578"/>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风道：要求使用无磁的</w:t>
      </w:r>
      <w:r>
        <w:rPr>
          <w:rFonts w:cs="Times New Roman" w:asciiTheme="minorEastAsia" w:hAnsiTheme="minorEastAsia"/>
          <w:color w:val="auto"/>
          <w:szCs w:val="24"/>
          <w:highlight w:val="none"/>
          <w:lang w:eastAsia="zh-CN"/>
        </w:rPr>
        <w:t>2mm</w:t>
      </w:r>
      <w:r>
        <w:rPr>
          <w:rFonts w:hint="eastAsia" w:cs="Times New Roman" w:asciiTheme="minorEastAsia" w:hAnsiTheme="minorEastAsia"/>
          <w:color w:val="auto"/>
          <w:szCs w:val="24"/>
          <w:highlight w:val="none"/>
          <w:lang w:eastAsia="zh-CN"/>
        </w:rPr>
        <w:t>厚铝合金板，采用专用通风波导窗，其插入衰减与屏蔽室指标相应，由三层不锈钢屏蔽网组成，通风面积大，换气阻力小，波导窗规格：波导外框：</w:t>
      </w:r>
      <w:r>
        <w:rPr>
          <w:rFonts w:cs="Times New Roman" w:asciiTheme="minorEastAsia" w:hAnsiTheme="minorEastAsia"/>
          <w:color w:val="auto"/>
          <w:szCs w:val="24"/>
          <w:highlight w:val="none"/>
          <w:lang w:eastAsia="zh-CN"/>
        </w:rPr>
        <w:t>660</w:t>
      </w:r>
      <w:r>
        <w:rPr>
          <w:rFonts w:hint="eastAsia" w:cs="Times New Roman" w:asciiTheme="minorEastAsia" w:hAnsiTheme="minorEastAsia"/>
          <w:color w:val="auto"/>
          <w:szCs w:val="24"/>
          <w:highlight w:val="none"/>
          <w:lang w:eastAsia="zh-CN"/>
        </w:rPr>
        <w:t>㎜×</w:t>
      </w:r>
      <w:r>
        <w:rPr>
          <w:rFonts w:cs="Times New Roman" w:asciiTheme="minorEastAsia" w:hAnsiTheme="minorEastAsia"/>
          <w:color w:val="auto"/>
          <w:szCs w:val="24"/>
          <w:highlight w:val="none"/>
          <w:lang w:eastAsia="zh-CN"/>
        </w:rPr>
        <w:t>360</w:t>
      </w:r>
      <w:r>
        <w:rPr>
          <w:rFonts w:hint="eastAsia" w:cs="Times New Roman" w:asciiTheme="minorEastAsia" w:hAnsiTheme="minorEastAsia"/>
          <w:color w:val="auto"/>
          <w:szCs w:val="24"/>
          <w:highlight w:val="none"/>
          <w:lang w:eastAsia="zh-CN"/>
        </w:rPr>
        <w:t>㎜</w:t>
      </w:r>
      <w:r>
        <w:rPr>
          <w:rFonts w:cs="Times New Roman" w:asciiTheme="minorEastAsia" w:hAnsiTheme="minorEastAsia"/>
          <w:color w:val="auto"/>
          <w:szCs w:val="24"/>
          <w:highlight w:val="none"/>
          <w:lang w:eastAsia="zh-CN"/>
        </w:rPr>
        <w:t xml:space="preserve"> </w:t>
      </w:r>
      <w:r>
        <w:rPr>
          <w:rFonts w:hint="eastAsia" w:cs="Times New Roman" w:asciiTheme="minorEastAsia" w:hAnsiTheme="minorEastAsia"/>
          <w:color w:val="auto"/>
          <w:szCs w:val="24"/>
          <w:highlight w:val="none"/>
          <w:lang w:eastAsia="zh-CN"/>
        </w:rPr>
        <w:t>波导芯：</w:t>
      </w:r>
      <w:r>
        <w:rPr>
          <w:rFonts w:cs="Times New Roman" w:asciiTheme="minorEastAsia" w:hAnsiTheme="minorEastAsia"/>
          <w:color w:val="auto"/>
          <w:szCs w:val="24"/>
          <w:highlight w:val="none"/>
          <w:lang w:eastAsia="zh-CN"/>
        </w:rPr>
        <w:t>300</w:t>
      </w:r>
      <w:r>
        <w:rPr>
          <w:rFonts w:hint="eastAsia" w:cs="Times New Roman" w:asciiTheme="minorEastAsia" w:hAnsiTheme="minorEastAsia"/>
          <w:color w:val="auto"/>
          <w:szCs w:val="24"/>
          <w:highlight w:val="none"/>
          <w:lang w:eastAsia="zh-CN"/>
        </w:rPr>
        <w:t>㎜×</w:t>
      </w:r>
      <w:r>
        <w:rPr>
          <w:rFonts w:cs="Times New Roman" w:asciiTheme="minorEastAsia" w:hAnsiTheme="minorEastAsia"/>
          <w:color w:val="auto"/>
          <w:szCs w:val="24"/>
          <w:highlight w:val="none"/>
          <w:lang w:eastAsia="zh-CN"/>
        </w:rPr>
        <w:t>600</w:t>
      </w:r>
      <w:r>
        <w:rPr>
          <w:rFonts w:hint="eastAsia" w:cs="Times New Roman" w:asciiTheme="minorEastAsia" w:hAnsiTheme="minorEastAsia"/>
          <w:color w:val="auto"/>
          <w:szCs w:val="24"/>
          <w:highlight w:val="none"/>
          <w:lang w:eastAsia="zh-CN"/>
        </w:rPr>
        <w:t>㎜</w:t>
      </w:r>
      <w:r>
        <w:rPr>
          <w:rFonts w:cs="Times New Roman" w:asciiTheme="minorEastAsia" w:hAnsiTheme="minorEastAsia"/>
          <w:color w:val="auto"/>
          <w:szCs w:val="24"/>
          <w:highlight w:val="none"/>
          <w:lang w:eastAsia="zh-CN"/>
        </w:rPr>
        <w:t xml:space="preserve">  </w:t>
      </w:r>
      <w:r>
        <w:rPr>
          <w:rFonts w:hint="eastAsia" w:cs="Times New Roman" w:asciiTheme="minorEastAsia" w:hAnsiTheme="minorEastAsia"/>
          <w:color w:val="auto"/>
          <w:szCs w:val="24"/>
          <w:highlight w:val="none"/>
          <w:lang w:eastAsia="zh-CN"/>
        </w:rPr>
        <w:t>机房共设置三个专用通风波导窗，其中一个为进风波导，一个为出风波导，另一个为紧急排风波导。保持扫描室内全天</w:t>
      </w:r>
      <w:r>
        <w:rPr>
          <w:rFonts w:cs="Times New Roman" w:asciiTheme="minorEastAsia" w:hAnsiTheme="minorEastAsia"/>
          <w:color w:val="auto"/>
          <w:szCs w:val="24"/>
          <w:highlight w:val="none"/>
          <w:lang w:eastAsia="zh-CN"/>
        </w:rPr>
        <w:t>24</w:t>
      </w:r>
      <w:r>
        <w:rPr>
          <w:rFonts w:hint="eastAsia" w:cs="Times New Roman" w:asciiTheme="minorEastAsia" w:hAnsiTheme="minorEastAsia"/>
          <w:color w:val="auto"/>
          <w:szCs w:val="24"/>
          <w:highlight w:val="none"/>
          <w:lang w:eastAsia="zh-CN"/>
        </w:rPr>
        <w:t>小时温度在</w:t>
      </w:r>
      <w:r>
        <w:rPr>
          <w:rFonts w:cs="Times New Roman" w:asciiTheme="minorEastAsia" w:hAnsiTheme="minorEastAsia"/>
          <w:color w:val="auto"/>
          <w:szCs w:val="24"/>
          <w:highlight w:val="none"/>
          <w:lang w:eastAsia="zh-CN"/>
        </w:rPr>
        <w:t>20-23</w:t>
      </w:r>
      <w:r>
        <w:rPr>
          <w:rFonts w:hint="eastAsia" w:cs="Times New Roman" w:asciiTheme="minorEastAsia" w:hAnsiTheme="minorEastAsia"/>
          <w:color w:val="auto"/>
          <w:szCs w:val="24"/>
          <w:highlight w:val="none"/>
          <w:lang w:eastAsia="zh-CN"/>
        </w:rPr>
        <w:t>度。</w:t>
      </w:r>
    </w:p>
    <w:p>
      <w:pPr>
        <w:keepLines w:val="0"/>
        <w:widowControl/>
        <w:ind w:left="420" w:firstLine="578"/>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屏蔽体四周墙壁适当位置安装自然通风窗口，此处风口同样采用截止波导窗，其规格为</w:t>
      </w:r>
      <w:r>
        <w:rPr>
          <w:rFonts w:cs="Times New Roman" w:asciiTheme="minorEastAsia" w:hAnsiTheme="minorEastAsia"/>
          <w:color w:val="auto"/>
          <w:szCs w:val="24"/>
          <w:highlight w:val="none"/>
          <w:lang w:eastAsia="zh-CN"/>
        </w:rPr>
        <w:t>300</w:t>
      </w:r>
      <w:r>
        <w:rPr>
          <w:rFonts w:hint="eastAsia" w:cs="Times New Roman" w:asciiTheme="minorEastAsia" w:hAnsiTheme="minorEastAsia"/>
          <w:color w:val="auto"/>
          <w:szCs w:val="24"/>
          <w:highlight w:val="none"/>
          <w:lang w:eastAsia="zh-CN"/>
        </w:rPr>
        <w:t>㎜×</w:t>
      </w:r>
      <w:r>
        <w:rPr>
          <w:rFonts w:cs="Times New Roman" w:asciiTheme="minorEastAsia" w:hAnsiTheme="minorEastAsia"/>
          <w:color w:val="auto"/>
          <w:szCs w:val="24"/>
          <w:highlight w:val="none"/>
          <w:lang w:eastAsia="zh-CN"/>
        </w:rPr>
        <w:t>300</w:t>
      </w:r>
      <w:r>
        <w:rPr>
          <w:rFonts w:hint="eastAsia" w:cs="Times New Roman" w:asciiTheme="minorEastAsia" w:hAnsiTheme="minorEastAsia"/>
          <w:color w:val="auto"/>
          <w:szCs w:val="24"/>
          <w:highlight w:val="none"/>
          <w:lang w:eastAsia="zh-CN"/>
        </w:rPr>
        <w:t>㎜（按需配置），室内窗口部位采用铝合金百叶窗装饰。</w:t>
      </w:r>
    </w:p>
    <w:p>
      <w:pPr>
        <w:pStyle w:val="5"/>
        <w:rPr>
          <w:color w:val="auto"/>
          <w:highlight w:val="none"/>
        </w:rPr>
      </w:pPr>
      <w:r>
        <w:rPr>
          <w:rFonts w:hint="eastAsia"/>
          <w:color w:val="auto"/>
          <w:highlight w:val="none"/>
        </w:rPr>
        <w:t>注意事项</w:t>
      </w:r>
    </w:p>
    <w:p>
      <w:pPr>
        <w:pStyle w:val="34"/>
        <w:ind w:firstLine="480"/>
        <w:rPr>
          <w:color w:val="auto"/>
          <w:highlight w:val="none"/>
        </w:rPr>
      </w:pPr>
      <w:r>
        <w:rPr>
          <w:rFonts w:hint="eastAsia"/>
          <w:color w:val="auto"/>
          <w:highlight w:val="none"/>
        </w:rPr>
        <w:t>未尽做法详见防护图纸。</w:t>
      </w:r>
    </w:p>
    <w:p>
      <w:pPr>
        <w:widowControl/>
        <w:ind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因本项目在防护预评价后对平面进行了修改，承包人需在预评价和环评变更审批完成后再深化与施工。</w:t>
      </w:r>
    </w:p>
    <w:p>
      <w:pPr>
        <w:pStyle w:val="4"/>
        <w:rPr>
          <w:color w:val="auto"/>
          <w:highlight w:val="none"/>
        </w:rPr>
      </w:pPr>
      <w:bookmarkStart w:id="57" w:name="_Toc122371851"/>
      <w:r>
        <w:rPr>
          <w:rFonts w:hint="eastAsia"/>
          <w:color w:val="auto"/>
          <w:highlight w:val="none"/>
        </w:rPr>
        <w:t>装修工程技术要求</w:t>
      </w:r>
      <w:bookmarkEnd w:id="57"/>
    </w:p>
    <w:p>
      <w:pPr>
        <w:pStyle w:val="5"/>
        <w:rPr>
          <w:color w:val="auto"/>
          <w:highlight w:val="none"/>
        </w:rPr>
      </w:pPr>
      <w:r>
        <w:rPr>
          <w:rFonts w:hint="eastAsia"/>
          <w:color w:val="auto"/>
          <w:highlight w:val="none"/>
        </w:rPr>
        <w:t>装修说明</w:t>
      </w:r>
    </w:p>
    <w:p>
      <w:pPr>
        <w:widowControl/>
        <w:numPr>
          <w:ilvl w:val="0"/>
          <w:numId w:val="56"/>
        </w:numPr>
        <w:ind w:left="0"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本项目技术要求详见施工图说明</w:t>
      </w:r>
      <w:r>
        <w:rPr>
          <w:rFonts w:cs="Times New Roman" w:asciiTheme="minorEastAsia" w:hAnsiTheme="minorEastAsia"/>
          <w:color w:val="auto"/>
          <w:szCs w:val="24"/>
          <w:highlight w:val="none"/>
          <w:lang w:eastAsia="zh-CN"/>
        </w:rPr>
        <w:t>,</w:t>
      </w:r>
      <w:r>
        <w:rPr>
          <w:rFonts w:hint="eastAsia" w:cs="Times New Roman" w:asciiTheme="minorEastAsia" w:hAnsiTheme="minorEastAsia"/>
          <w:color w:val="auto"/>
          <w:szCs w:val="24"/>
          <w:highlight w:val="none"/>
          <w:lang w:eastAsia="zh-CN"/>
        </w:rPr>
        <w:t>若后述之技术要求与施工图说明有不一致</w:t>
      </w:r>
      <w:r>
        <w:rPr>
          <w:rFonts w:cs="Times New Roman" w:asciiTheme="minorEastAsia" w:hAnsiTheme="minorEastAsia"/>
          <w:color w:val="auto"/>
          <w:szCs w:val="24"/>
          <w:highlight w:val="none"/>
          <w:lang w:eastAsia="zh-CN"/>
        </w:rPr>
        <w:t>,</w:t>
      </w:r>
      <w:r>
        <w:rPr>
          <w:rFonts w:hint="eastAsia" w:cs="Times New Roman" w:asciiTheme="minorEastAsia" w:hAnsiTheme="minorEastAsia"/>
          <w:color w:val="auto"/>
          <w:szCs w:val="24"/>
          <w:highlight w:val="none"/>
          <w:lang w:eastAsia="zh-CN"/>
        </w:rPr>
        <w:t>则以较高要求为准。</w:t>
      </w:r>
    </w:p>
    <w:p>
      <w:pPr>
        <w:widowControl/>
        <w:numPr>
          <w:ilvl w:val="0"/>
          <w:numId w:val="56"/>
        </w:numPr>
        <w:ind w:left="0"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本工程施工须按照中国国家施工及验收规范实施。各材料和施工均应严格按照图纸设计进行，在满足设计要求外，更应符合国家和深圳地区之法规、规范要求。</w:t>
      </w:r>
    </w:p>
    <w:p>
      <w:pPr>
        <w:widowControl/>
        <w:numPr>
          <w:ilvl w:val="0"/>
          <w:numId w:val="56"/>
        </w:numPr>
        <w:ind w:left="0"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本工程主要应采用中国国家规范。如国家规范和深圳地区规范有差异时，除建筑设计师或工程师有特别申明外，承包人应按较严格者为准。</w:t>
      </w:r>
    </w:p>
    <w:p>
      <w:pPr>
        <w:widowControl/>
        <w:numPr>
          <w:ilvl w:val="0"/>
          <w:numId w:val="56"/>
        </w:numPr>
        <w:ind w:left="0"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装修工作按设计要求及图纸规定的内容执行，承包人应提供包括物料供应、施工及在保修期内免费维修承包范围内工程（按建筑设计师的图纸所指定在本工程内需要负责的区间），以及规定的保修等工作所需的一切劳务及材料。</w:t>
      </w:r>
    </w:p>
    <w:p>
      <w:pPr>
        <w:widowControl/>
        <w:ind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分包人并须负责以下的工作：</w:t>
      </w:r>
    </w:p>
    <w:p>
      <w:pPr>
        <w:widowControl/>
        <w:numPr>
          <w:ilvl w:val="0"/>
          <w:numId w:val="57"/>
        </w:numPr>
        <w:ind w:left="0" w:firstLine="720" w:firstLineChars="3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承包商应与总包协调相互的进度及工地所需。注意和相关单位的配合、工序衔接。</w:t>
      </w:r>
    </w:p>
    <w:p>
      <w:pPr>
        <w:widowControl/>
        <w:numPr>
          <w:ilvl w:val="0"/>
          <w:numId w:val="57"/>
        </w:numPr>
        <w:ind w:left="0" w:firstLine="720" w:firstLineChars="3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保护工地的材料及已完成的工作。</w:t>
      </w:r>
    </w:p>
    <w:p>
      <w:pPr>
        <w:widowControl/>
        <w:numPr>
          <w:ilvl w:val="0"/>
          <w:numId w:val="57"/>
        </w:numPr>
        <w:ind w:left="0" w:firstLine="720" w:firstLineChars="3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避免由于装修施工不当而引致其它工程竣工部份污损或对结构构件及建筑物功能产生的不利影响。</w:t>
      </w:r>
    </w:p>
    <w:p>
      <w:pPr>
        <w:widowControl/>
        <w:numPr>
          <w:ilvl w:val="0"/>
          <w:numId w:val="57"/>
        </w:numPr>
        <w:ind w:left="0" w:firstLine="720" w:firstLineChars="3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在建筑设计师指定的区间建造样板间。有关材料及操作工艺均以设计要求为标准。竣工的样板间由建筑设计师检验。不合标准的样板间需由承包人自费拆卸及重新修建，直至合格为止。没有建筑设计师或发包人的同意，承包人不得拆卸样板间或移走样板间内任何已经批准的样板。样板间将视为日后品质检验的标准。如有需要，建筑设计师将作细部上的修改。</w:t>
      </w:r>
    </w:p>
    <w:p>
      <w:pPr>
        <w:widowControl/>
        <w:numPr>
          <w:ilvl w:val="0"/>
          <w:numId w:val="57"/>
        </w:numPr>
        <w:ind w:left="0" w:firstLine="720" w:firstLineChars="3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承包人必须应在地面饰面施工前，组织花纹、颜色的分类和选配工作，以达到同一面墙或同一块地面上的装饰面具有统一和谐的外观效果；而同一范围内的同类装饰面不得出现明显的色泽、纹理不协调或突兀的情况。色泽及纹理组合现场观察样板必须经建筑设计师批准才可施工。</w:t>
      </w:r>
    </w:p>
    <w:p>
      <w:pPr>
        <w:widowControl/>
        <w:numPr>
          <w:ilvl w:val="0"/>
          <w:numId w:val="57"/>
        </w:numPr>
        <w:ind w:left="0" w:firstLine="720" w:firstLineChars="3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承包人必须熟悉各种装饰材料在施工时所需要的环境及卫生条件，并必须提供有关设备室内环境适合该种装饰材料的施工，务必装饰工程效果达到施工图和合同要求。</w:t>
      </w:r>
    </w:p>
    <w:p>
      <w:pPr>
        <w:widowControl/>
        <w:numPr>
          <w:ilvl w:val="0"/>
          <w:numId w:val="57"/>
        </w:numPr>
        <w:ind w:left="0" w:firstLine="720" w:firstLineChars="3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除了特别所指示或规定的主要物料外，承包人亦须包括工程施工工程正常进行中所需的一切辅材和设备，以及所需劳务，不论此等辅材和设备有否详列于分包合同文件中。</w:t>
      </w:r>
    </w:p>
    <w:p>
      <w:pPr>
        <w:widowControl/>
        <w:numPr>
          <w:ilvl w:val="0"/>
          <w:numId w:val="57"/>
        </w:numPr>
        <w:ind w:left="0" w:firstLine="720" w:firstLineChars="3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在施工期间作经常的清洁工作，承包人面自行负责清走分包工程的废料。</w:t>
      </w:r>
    </w:p>
    <w:p>
      <w:pPr>
        <w:widowControl/>
        <w:numPr>
          <w:ilvl w:val="0"/>
          <w:numId w:val="57"/>
        </w:numPr>
        <w:ind w:left="0" w:firstLine="720" w:firstLineChars="3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竣工验收前的全部清洁。</w:t>
      </w:r>
    </w:p>
    <w:p>
      <w:pPr>
        <w:widowControl/>
        <w:numPr>
          <w:ilvl w:val="0"/>
          <w:numId w:val="56"/>
        </w:numPr>
        <w:ind w:left="0"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承包人必须在提交物料样板时，连同《施工图纸存档报审单》或《材料</w:t>
      </w:r>
      <w:r>
        <w:rPr>
          <w:rFonts w:cs="Times New Roman" w:asciiTheme="minorEastAsia" w:hAnsiTheme="minorEastAsia"/>
          <w:color w:val="auto"/>
          <w:szCs w:val="24"/>
          <w:highlight w:val="none"/>
          <w:lang w:eastAsia="zh-CN"/>
        </w:rPr>
        <w:t>/</w:t>
      </w:r>
      <w:r>
        <w:rPr>
          <w:rFonts w:hint="eastAsia" w:cs="Times New Roman" w:asciiTheme="minorEastAsia" w:hAnsiTheme="minorEastAsia"/>
          <w:color w:val="auto"/>
          <w:szCs w:val="24"/>
          <w:highlight w:val="none"/>
          <w:lang w:eastAsia="zh-CN"/>
        </w:rPr>
        <w:t>样品</w:t>
      </w:r>
      <w:r>
        <w:rPr>
          <w:rFonts w:cs="Times New Roman" w:asciiTheme="minorEastAsia" w:hAnsiTheme="minorEastAsia"/>
          <w:color w:val="auto"/>
          <w:szCs w:val="24"/>
          <w:highlight w:val="none"/>
          <w:lang w:eastAsia="zh-CN"/>
        </w:rPr>
        <w:t>/</w:t>
      </w:r>
      <w:r>
        <w:rPr>
          <w:rFonts w:hint="eastAsia" w:cs="Times New Roman" w:asciiTheme="minorEastAsia" w:hAnsiTheme="minorEastAsia"/>
          <w:color w:val="auto"/>
          <w:szCs w:val="24"/>
          <w:highlight w:val="none"/>
          <w:lang w:eastAsia="zh-CN"/>
        </w:rPr>
        <w:t>技术资料审批表》一并提交，若缺报审表格一或表格没有填妥，建筑设计师有权否决报送图纸或物料。</w:t>
      </w:r>
    </w:p>
    <w:p>
      <w:pPr>
        <w:widowControl/>
        <w:numPr>
          <w:ilvl w:val="0"/>
          <w:numId w:val="56"/>
        </w:numPr>
        <w:ind w:left="0"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承包人必须在报送物料时一并提交物料的清洁和维修方案，该方案必须是由物料生产厂商提供并盖章确认。承包人在提出竣工验收前，须递交两套所有认可物料的清洁和维修方案供发包人存档用。</w:t>
      </w:r>
    </w:p>
    <w:p>
      <w:pPr>
        <w:widowControl/>
        <w:numPr>
          <w:ilvl w:val="0"/>
          <w:numId w:val="56"/>
        </w:numPr>
        <w:ind w:left="0" w:firstLine="480" w:firstLineChars="200"/>
        <w:rPr>
          <w:rFonts w:cs="Times New Roman" w:asciiTheme="minorEastAsia" w:hAnsiTheme="minorEastAsia"/>
          <w:color w:val="auto"/>
          <w:szCs w:val="24"/>
          <w:highlight w:val="none"/>
        </w:rPr>
      </w:pPr>
      <w:r>
        <w:rPr>
          <w:rFonts w:hint="eastAsia" w:cs="Times New Roman" w:asciiTheme="minorEastAsia" w:hAnsiTheme="minorEastAsia"/>
          <w:color w:val="auto"/>
          <w:szCs w:val="24"/>
          <w:highlight w:val="none"/>
          <w:lang w:eastAsia="zh-CN"/>
        </w:rPr>
        <w:t>工程验收标准</w:t>
      </w:r>
    </w:p>
    <w:p>
      <w:pPr>
        <w:widowControl/>
        <w:numPr>
          <w:ilvl w:val="0"/>
          <w:numId w:val="58"/>
        </w:numPr>
        <w:ind w:left="0" w:firstLine="720" w:firstLineChars="3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检查数量，按有代表性的自然间抽查</w:t>
      </w:r>
      <w:r>
        <w:rPr>
          <w:rFonts w:cs="Times New Roman" w:asciiTheme="minorEastAsia" w:hAnsiTheme="minorEastAsia"/>
          <w:color w:val="auto"/>
          <w:szCs w:val="24"/>
          <w:highlight w:val="none"/>
          <w:lang w:eastAsia="zh-CN"/>
        </w:rPr>
        <w:t>10%</w:t>
      </w:r>
      <w:r>
        <w:rPr>
          <w:rFonts w:hint="eastAsia" w:cs="Times New Roman" w:asciiTheme="minorEastAsia" w:hAnsiTheme="minorEastAsia"/>
          <w:color w:val="auto"/>
          <w:szCs w:val="24"/>
          <w:highlight w:val="none"/>
          <w:lang w:eastAsia="zh-CN"/>
        </w:rPr>
        <w:t>，过道按</w:t>
      </w:r>
      <w:r>
        <w:rPr>
          <w:rFonts w:cs="Times New Roman" w:asciiTheme="minorEastAsia" w:hAnsiTheme="minorEastAsia"/>
          <w:color w:val="auto"/>
          <w:szCs w:val="24"/>
          <w:highlight w:val="none"/>
          <w:lang w:eastAsia="zh-CN"/>
        </w:rPr>
        <w:t>10</w:t>
      </w:r>
      <w:r>
        <w:rPr>
          <w:rFonts w:hint="eastAsia" w:cs="Times New Roman" w:asciiTheme="minorEastAsia" w:hAnsiTheme="minorEastAsia"/>
          <w:color w:val="auto"/>
          <w:szCs w:val="24"/>
          <w:highlight w:val="none"/>
          <w:lang w:eastAsia="zh-CN"/>
        </w:rPr>
        <w:t>延长米。</w:t>
      </w:r>
    </w:p>
    <w:p>
      <w:pPr>
        <w:widowControl/>
        <w:numPr>
          <w:ilvl w:val="0"/>
          <w:numId w:val="58"/>
        </w:numPr>
        <w:ind w:left="0" w:firstLine="720" w:firstLineChars="3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检查工程所用材料的品种、规格、颜色以及基层构造、固定方法等是否符合设计要求。</w:t>
      </w:r>
    </w:p>
    <w:p>
      <w:pPr>
        <w:widowControl/>
        <w:numPr>
          <w:ilvl w:val="0"/>
          <w:numId w:val="58"/>
        </w:numPr>
        <w:ind w:left="0" w:firstLine="720" w:firstLineChars="3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表面应平整、不得有污染、拆裂、缺棱掉角、缺陷等，接缝应均匀一致，粘贴的装修材料不得有脱层及不得有穿透之处。</w:t>
      </w:r>
    </w:p>
    <w:p>
      <w:pPr>
        <w:widowControl/>
        <w:numPr>
          <w:ilvl w:val="0"/>
          <w:numId w:val="58"/>
        </w:numPr>
        <w:ind w:left="0" w:firstLine="720" w:firstLineChars="3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由于本工程重点为防护装修，其防护等级务必达到相关规定要求，必要时进行第三方检测（检测费用由施工方承担）。</w:t>
      </w:r>
    </w:p>
    <w:p>
      <w:pPr>
        <w:widowControl/>
        <w:numPr>
          <w:ilvl w:val="0"/>
          <w:numId w:val="58"/>
        </w:numPr>
        <w:ind w:left="0" w:firstLine="720" w:firstLineChars="3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所有施工都必须遵循相关的国家和地方的法规和标准。</w:t>
      </w:r>
    </w:p>
    <w:p>
      <w:pPr>
        <w:widowControl/>
        <w:numPr>
          <w:ilvl w:val="0"/>
          <w:numId w:val="58"/>
        </w:numPr>
        <w:ind w:left="0" w:firstLine="720" w:firstLineChars="3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规定相关的保质条款，工程免费保修期</w:t>
      </w:r>
      <w:r>
        <w:rPr>
          <w:rFonts w:cs="Times New Roman" w:asciiTheme="minorEastAsia" w:hAnsiTheme="minorEastAsia"/>
          <w:color w:val="auto"/>
          <w:szCs w:val="24"/>
          <w:highlight w:val="none"/>
          <w:lang w:eastAsia="zh-CN"/>
        </w:rPr>
        <w:t>2</w:t>
      </w:r>
      <w:r>
        <w:rPr>
          <w:rFonts w:hint="eastAsia" w:cs="Times New Roman" w:asciiTheme="minorEastAsia" w:hAnsiTheme="minorEastAsia"/>
          <w:color w:val="auto"/>
          <w:szCs w:val="24"/>
          <w:highlight w:val="none"/>
          <w:lang w:eastAsia="zh-CN"/>
        </w:rPr>
        <w:t>年，保修期自验收通过起计。</w:t>
      </w:r>
    </w:p>
    <w:p>
      <w:pPr>
        <w:widowControl/>
        <w:numPr>
          <w:ilvl w:val="0"/>
          <w:numId w:val="58"/>
        </w:numPr>
        <w:ind w:left="0" w:firstLine="720" w:firstLineChars="3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投入使用的区域必须通过相关部门检测。</w:t>
      </w:r>
    </w:p>
    <w:p>
      <w:pPr>
        <w:pStyle w:val="5"/>
        <w:rPr>
          <w:color w:val="auto"/>
          <w:highlight w:val="none"/>
        </w:rPr>
      </w:pPr>
      <w:r>
        <w:rPr>
          <w:rFonts w:hint="eastAsia"/>
          <w:color w:val="auto"/>
          <w:highlight w:val="none"/>
        </w:rPr>
        <w:t>测量放线技术要求</w:t>
      </w:r>
    </w:p>
    <w:p>
      <w:pPr>
        <w:pStyle w:val="7"/>
        <w:rPr>
          <w:color w:val="auto"/>
          <w:highlight w:val="none"/>
        </w:rPr>
      </w:pPr>
      <w:r>
        <w:rPr>
          <w:rFonts w:hint="eastAsia"/>
          <w:color w:val="auto"/>
          <w:highlight w:val="none"/>
        </w:rPr>
        <w:t>测量基准点移交</w:t>
      </w:r>
    </w:p>
    <w:p>
      <w:pPr>
        <w:pStyle w:val="34"/>
        <w:ind w:firstLine="480"/>
        <w:rPr>
          <w:color w:val="auto"/>
          <w:highlight w:val="none"/>
        </w:rPr>
      </w:pPr>
      <w:r>
        <w:rPr>
          <w:rFonts w:hint="eastAsia"/>
          <w:color w:val="auto"/>
          <w:highlight w:val="none"/>
        </w:rPr>
        <w:t>承包人应根据总承包商统一提供的测量原始基准点、轴线和标高线对工程进行定位和放线，由监理人、发包人及相关专业承包人人在工地现场签字确认并形成书面移交记录。承包人应安排测量人员对测量基准点进行复测。工程的测量基准点由承包人负责管理及保护，并负责损坏后的修补工作。</w:t>
      </w:r>
    </w:p>
    <w:p>
      <w:pPr>
        <w:pStyle w:val="7"/>
        <w:rPr>
          <w:color w:val="auto"/>
          <w:highlight w:val="none"/>
        </w:rPr>
      </w:pPr>
      <w:r>
        <w:rPr>
          <w:rFonts w:hint="eastAsia"/>
          <w:color w:val="auto"/>
          <w:highlight w:val="none"/>
        </w:rPr>
        <w:t>测量组织管理</w:t>
      </w:r>
    </w:p>
    <w:p>
      <w:pPr>
        <w:pStyle w:val="34"/>
        <w:ind w:firstLine="480"/>
        <w:rPr>
          <w:color w:val="auto"/>
          <w:highlight w:val="none"/>
        </w:rPr>
      </w:pPr>
      <w:r>
        <w:rPr>
          <w:rFonts w:hint="eastAsia"/>
          <w:color w:val="auto"/>
          <w:highlight w:val="none"/>
        </w:rPr>
        <w:t>承包人应安排专业的测量人员持证上岗，设立专门的测量组负责管理。</w:t>
      </w:r>
    </w:p>
    <w:p>
      <w:pPr>
        <w:widowControl/>
        <w:numPr>
          <w:ilvl w:val="0"/>
          <w:numId w:val="59"/>
        </w:numPr>
        <w:ind w:left="0"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承包人应配备满足本工程需要的测量放线人员，人员应有测量资质和三年以上测量经验。</w:t>
      </w:r>
    </w:p>
    <w:p>
      <w:pPr>
        <w:widowControl/>
        <w:numPr>
          <w:ilvl w:val="0"/>
          <w:numId w:val="59"/>
        </w:numPr>
        <w:ind w:left="0"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承包人应配备满足本工程需要的测量设备，测量设备应按规定进行年检，并保证工程测量精度。</w:t>
      </w:r>
    </w:p>
    <w:p>
      <w:pPr>
        <w:widowControl/>
        <w:numPr>
          <w:ilvl w:val="0"/>
          <w:numId w:val="59"/>
        </w:numPr>
        <w:ind w:left="0"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承包人应编制专项测量方案，并对实体工程平整度、垂直</w:t>
      </w:r>
      <w:r>
        <w:rPr>
          <w:rFonts w:cs="Times New Roman" w:asciiTheme="minorEastAsia" w:hAnsiTheme="minorEastAsia"/>
          <w:color w:val="auto"/>
          <w:szCs w:val="24"/>
          <w:highlight w:val="none"/>
          <w:lang w:eastAsia="zh-CN"/>
        </w:rPr>
        <w:t xml:space="preserve"> </w:t>
      </w:r>
      <w:r>
        <w:rPr>
          <w:rFonts w:hint="eastAsia" w:cs="Times New Roman" w:asciiTheme="minorEastAsia" w:hAnsiTheme="minorEastAsia"/>
          <w:color w:val="auto"/>
          <w:szCs w:val="24"/>
          <w:highlight w:val="none"/>
          <w:lang w:eastAsia="zh-CN"/>
        </w:rPr>
        <w:t>度、净高等指标制定相关的控制保证措施，在工程实施过程中切实执行。</w:t>
      </w:r>
    </w:p>
    <w:p>
      <w:pPr>
        <w:pStyle w:val="7"/>
        <w:rPr>
          <w:color w:val="auto"/>
          <w:highlight w:val="none"/>
        </w:rPr>
      </w:pPr>
      <w:r>
        <w:rPr>
          <w:rFonts w:hint="eastAsia"/>
          <w:color w:val="auto"/>
          <w:highlight w:val="none"/>
        </w:rPr>
        <w:t>测量工作内容</w:t>
      </w:r>
    </w:p>
    <w:p>
      <w:pPr>
        <w:widowControl/>
        <w:ind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w:t>
      </w:r>
      <w:r>
        <w:rPr>
          <w:rFonts w:cs="Times New Roman" w:asciiTheme="minorEastAsia" w:hAnsiTheme="minorEastAsia"/>
          <w:color w:val="auto"/>
          <w:szCs w:val="24"/>
          <w:highlight w:val="none"/>
          <w:lang w:eastAsia="zh-CN"/>
        </w:rPr>
        <w:t>1</w:t>
      </w:r>
      <w:r>
        <w:rPr>
          <w:rFonts w:hint="eastAsia" w:cs="Times New Roman" w:asciiTheme="minorEastAsia" w:hAnsiTheme="minorEastAsia"/>
          <w:color w:val="auto"/>
          <w:szCs w:val="24"/>
          <w:highlight w:val="none"/>
          <w:lang w:eastAsia="zh-CN"/>
        </w:rPr>
        <w:t>）承包人施工前须复核的测量内容：楼层的标高，开间进深，建筑尺寸的复测。</w:t>
      </w:r>
    </w:p>
    <w:p>
      <w:pPr>
        <w:widowControl/>
        <w:ind w:firstLine="480" w:firstLineChars="200"/>
        <w:rPr>
          <w:rFonts w:cs="Times New Roman" w:asciiTheme="minorEastAsia" w:hAnsiTheme="minorEastAsia"/>
          <w:color w:val="auto"/>
          <w:szCs w:val="24"/>
          <w:highlight w:val="none"/>
          <w:lang w:eastAsia="zh-CN"/>
        </w:rPr>
      </w:pPr>
      <w:r>
        <w:rPr>
          <w:rFonts w:cs="Times New Roman" w:asciiTheme="minorEastAsia" w:hAnsiTheme="minorEastAsia"/>
          <w:color w:val="auto"/>
          <w:szCs w:val="24"/>
          <w:highlight w:val="none"/>
          <w:lang w:eastAsia="zh-CN"/>
        </w:rPr>
        <w:t>a)</w:t>
      </w:r>
      <w:r>
        <w:rPr>
          <w:rFonts w:hint="eastAsia" w:cs="Times New Roman" w:asciiTheme="minorEastAsia" w:hAnsiTheme="minorEastAsia"/>
          <w:color w:val="auto"/>
          <w:szCs w:val="24"/>
          <w:highlight w:val="none"/>
          <w:lang w:eastAsia="zh-CN"/>
        </w:rPr>
        <w:t>构筑物、梁、中心线复测，并计算出偏移尺寸。</w:t>
      </w:r>
    </w:p>
    <w:p>
      <w:pPr>
        <w:widowControl/>
        <w:ind w:firstLine="480" w:firstLineChars="200"/>
        <w:rPr>
          <w:rFonts w:cs="Times New Roman" w:asciiTheme="minorEastAsia" w:hAnsiTheme="minorEastAsia"/>
          <w:color w:val="auto"/>
          <w:szCs w:val="24"/>
          <w:highlight w:val="none"/>
          <w:lang w:eastAsia="zh-CN"/>
        </w:rPr>
      </w:pPr>
      <w:r>
        <w:rPr>
          <w:rFonts w:cs="Times New Roman" w:asciiTheme="minorEastAsia" w:hAnsiTheme="minorEastAsia"/>
          <w:color w:val="auto"/>
          <w:szCs w:val="24"/>
          <w:highlight w:val="none"/>
          <w:lang w:eastAsia="zh-CN"/>
        </w:rPr>
        <w:t>b)</w:t>
      </w:r>
      <w:r>
        <w:rPr>
          <w:rFonts w:hint="eastAsia" w:cs="Times New Roman" w:asciiTheme="minorEastAsia" w:hAnsiTheme="minorEastAsia"/>
          <w:color w:val="auto"/>
          <w:szCs w:val="24"/>
          <w:highlight w:val="none"/>
          <w:lang w:eastAsia="zh-CN"/>
        </w:rPr>
        <w:t>强弱电系统、通风空调系统、消防系统等机电工程及其它天花上走管标高位置是否影响天花造型施工。</w:t>
      </w:r>
    </w:p>
    <w:p>
      <w:pPr>
        <w:widowControl/>
        <w:ind w:firstLine="480" w:firstLineChars="200"/>
        <w:rPr>
          <w:rFonts w:cs="Times New Roman" w:asciiTheme="minorEastAsia" w:hAnsiTheme="minorEastAsia"/>
          <w:color w:val="auto"/>
          <w:szCs w:val="24"/>
          <w:highlight w:val="none"/>
          <w:lang w:eastAsia="zh-CN"/>
        </w:rPr>
      </w:pPr>
      <w:r>
        <w:rPr>
          <w:rFonts w:cs="Times New Roman" w:asciiTheme="minorEastAsia" w:hAnsiTheme="minorEastAsia"/>
          <w:color w:val="auto"/>
          <w:szCs w:val="24"/>
          <w:highlight w:val="none"/>
          <w:lang w:eastAsia="zh-CN"/>
        </w:rPr>
        <w:t>c)</w:t>
      </w:r>
      <w:r>
        <w:rPr>
          <w:rFonts w:hint="eastAsia" w:cs="Times New Roman" w:asciiTheme="minorEastAsia" w:hAnsiTheme="minorEastAsia"/>
          <w:color w:val="auto"/>
          <w:szCs w:val="24"/>
          <w:highlight w:val="none"/>
          <w:lang w:eastAsia="zh-CN"/>
        </w:rPr>
        <w:t>地面平整度如何，是否需设找平层。</w:t>
      </w:r>
    </w:p>
    <w:p>
      <w:pPr>
        <w:widowControl/>
        <w:ind w:firstLine="480" w:firstLineChars="200"/>
        <w:rPr>
          <w:rFonts w:cs="Times New Roman" w:asciiTheme="minorEastAsia" w:hAnsiTheme="minorEastAsia"/>
          <w:color w:val="auto"/>
          <w:szCs w:val="24"/>
          <w:highlight w:val="none"/>
          <w:lang w:eastAsia="zh-CN"/>
        </w:rPr>
      </w:pPr>
      <w:r>
        <w:rPr>
          <w:rFonts w:cs="Times New Roman" w:asciiTheme="minorEastAsia" w:hAnsiTheme="minorEastAsia"/>
          <w:color w:val="auto"/>
          <w:szCs w:val="24"/>
          <w:highlight w:val="none"/>
          <w:lang w:eastAsia="zh-CN"/>
        </w:rPr>
        <w:t>d)</w:t>
      </w:r>
      <w:r>
        <w:rPr>
          <w:rFonts w:hint="eastAsia" w:cs="Times New Roman" w:asciiTheme="minorEastAsia" w:hAnsiTheme="minorEastAsia"/>
          <w:color w:val="auto"/>
          <w:szCs w:val="24"/>
          <w:highlight w:val="none"/>
          <w:lang w:eastAsia="zh-CN"/>
        </w:rPr>
        <w:t>砼墙、柱面垂直度、方正度如何，是否影响墙饰面施工等。</w:t>
      </w:r>
    </w:p>
    <w:p>
      <w:pPr>
        <w:widowControl/>
        <w:ind w:firstLine="480" w:firstLineChars="200"/>
        <w:rPr>
          <w:rFonts w:cs="Times New Roman" w:asciiTheme="minorEastAsia" w:hAnsiTheme="minorEastAsia"/>
          <w:color w:val="auto"/>
          <w:szCs w:val="24"/>
          <w:highlight w:val="none"/>
          <w:lang w:eastAsia="zh-CN"/>
        </w:rPr>
      </w:pPr>
      <w:r>
        <w:rPr>
          <w:rFonts w:cs="Times New Roman" w:asciiTheme="minorEastAsia" w:hAnsiTheme="minorEastAsia"/>
          <w:color w:val="auto"/>
          <w:szCs w:val="24"/>
          <w:highlight w:val="none"/>
          <w:lang w:eastAsia="zh-CN"/>
        </w:rPr>
        <w:t>e)</w:t>
      </w:r>
      <w:r>
        <w:rPr>
          <w:rFonts w:hint="eastAsia" w:cs="Times New Roman" w:asciiTheme="minorEastAsia" w:hAnsiTheme="minorEastAsia"/>
          <w:color w:val="auto"/>
          <w:szCs w:val="24"/>
          <w:highlight w:val="none"/>
          <w:lang w:eastAsia="zh-CN"/>
        </w:rPr>
        <w:t>门窗洞口大小尺寸的复测及周边造型是否有矛盾。</w:t>
      </w:r>
    </w:p>
    <w:p>
      <w:pPr>
        <w:widowControl/>
        <w:tabs>
          <w:tab w:val="left" w:pos="1240"/>
          <w:tab w:val="left" w:pos="1241"/>
        </w:tabs>
        <w:ind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w:t>
      </w:r>
      <w:r>
        <w:rPr>
          <w:rFonts w:cs="Times New Roman" w:asciiTheme="minorEastAsia" w:hAnsiTheme="minorEastAsia"/>
          <w:color w:val="auto"/>
          <w:szCs w:val="24"/>
          <w:highlight w:val="none"/>
          <w:lang w:eastAsia="zh-CN"/>
        </w:rPr>
        <w:t>2</w:t>
      </w:r>
      <w:r>
        <w:rPr>
          <w:rFonts w:hint="eastAsia" w:cs="Times New Roman" w:asciiTheme="minorEastAsia" w:hAnsiTheme="minorEastAsia"/>
          <w:color w:val="auto"/>
          <w:szCs w:val="24"/>
          <w:highlight w:val="none"/>
          <w:lang w:eastAsia="zh-CN"/>
        </w:rPr>
        <w:t>）承包人自身精准放线内容：</w:t>
      </w:r>
    </w:p>
    <w:p>
      <w:pPr>
        <w:widowControl/>
        <w:tabs>
          <w:tab w:val="left" w:pos="1660"/>
          <w:tab w:val="left" w:pos="1661"/>
        </w:tabs>
        <w:ind w:firstLine="476" w:firstLineChars="200"/>
        <w:rPr>
          <w:rFonts w:cs="Times New Roman" w:asciiTheme="minorEastAsia" w:hAnsiTheme="minorEastAsia"/>
          <w:color w:val="auto"/>
          <w:szCs w:val="24"/>
          <w:highlight w:val="none"/>
          <w:lang w:eastAsia="zh-CN"/>
        </w:rPr>
      </w:pPr>
      <w:r>
        <w:rPr>
          <w:rFonts w:cs="Times New Roman" w:asciiTheme="minorEastAsia" w:hAnsiTheme="minorEastAsia"/>
          <w:color w:val="auto"/>
          <w:spacing w:val="-1"/>
          <w:szCs w:val="24"/>
          <w:highlight w:val="none"/>
          <w:lang w:eastAsia="zh-CN"/>
        </w:rPr>
        <w:t>a)</w:t>
      </w:r>
      <w:r>
        <w:rPr>
          <w:rFonts w:hint="eastAsia" w:cs="Times New Roman" w:asciiTheme="minorEastAsia" w:hAnsiTheme="minorEastAsia"/>
          <w:color w:val="auto"/>
          <w:spacing w:val="-1"/>
          <w:szCs w:val="24"/>
          <w:highlight w:val="none"/>
          <w:lang w:eastAsia="zh-CN"/>
        </w:rPr>
        <w:t>室内立面图的分格及造型设计，在施工立面以实际发生的尺寸分配定位</w:t>
      </w:r>
      <w:r>
        <w:rPr>
          <w:rFonts w:hint="eastAsia" w:cs="Times New Roman" w:asciiTheme="minorEastAsia" w:hAnsiTheme="minorEastAsia"/>
          <w:color w:val="auto"/>
          <w:szCs w:val="24"/>
          <w:highlight w:val="none"/>
          <w:lang w:eastAsia="zh-CN"/>
        </w:rPr>
        <w:t>放线。</w:t>
      </w:r>
    </w:p>
    <w:p>
      <w:pPr>
        <w:widowControl/>
        <w:tabs>
          <w:tab w:val="left" w:pos="1660"/>
          <w:tab w:val="left" w:pos="1661"/>
        </w:tabs>
        <w:ind w:firstLine="476" w:firstLineChars="200"/>
        <w:rPr>
          <w:rFonts w:cs="Times New Roman" w:asciiTheme="minorEastAsia" w:hAnsiTheme="minorEastAsia"/>
          <w:color w:val="auto"/>
          <w:szCs w:val="24"/>
          <w:highlight w:val="none"/>
          <w:lang w:eastAsia="zh-CN"/>
        </w:rPr>
      </w:pPr>
      <w:r>
        <w:rPr>
          <w:rFonts w:cs="Times New Roman" w:asciiTheme="minorEastAsia" w:hAnsiTheme="minorEastAsia"/>
          <w:color w:val="auto"/>
          <w:spacing w:val="-1"/>
          <w:szCs w:val="24"/>
          <w:highlight w:val="none"/>
          <w:lang w:eastAsia="zh-CN"/>
        </w:rPr>
        <w:t>b)</w:t>
      </w:r>
      <w:r>
        <w:rPr>
          <w:rFonts w:hint="eastAsia" w:cs="Times New Roman" w:asciiTheme="minorEastAsia" w:hAnsiTheme="minorEastAsia"/>
          <w:color w:val="auto"/>
          <w:spacing w:val="-1"/>
          <w:szCs w:val="24"/>
          <w:highlight w:val="none"/>
          <w:lang w:eastAsia="zh-CN"/>
        </w:rPr>
        <w:t>对天花吊点进行精确放线，排列天花基础施工吊点、网格线，确保与风</w:t>
      </w:r>
      <w:r>
        <w:rPr>
          <w:rFonts w:hint="eastAsia" w:cs="Times New Roman" w:asciiTheme="minorEastAsia" w:hAnsiTheme="minorEastAsia"/>
          <w:color w:val="auto"/>
          <w:szCs w:val="24"/>
          <w:highlight w:val="none"/>
          <w:lang w:eastAsia="zh-CN"/>
        </w:rPr>
        <w:t>机盘管相联的风口与顶棚镶板相匹配。</w:t>
      </w:r>
    </w:p>
    <w:p>
      <w:pPr>
        <w:widowControl/>
        <w:tabs>
          <w:tab w:val="left" w:pos="1660"/>
          <w:tab w:val="left" w:pos="1661"/>
        </w:tabs>
        <w:ind w:firstLine="476" w:firstLineChars="200"/>
        <w:rPr>
          <w:rFonts w:cs="Times New Roman" w:asciiTheme="minorEastAsia" w:hAnsiTheme="minorEastAsia"/>
          <w:color w:val="auto"/>
          <w:szCs w:val="24"/>
          <w:highlight w:val="none"/>
          <w:lang w:eastAsia="zh-CN"/>
        </w:rPr>
      </w:pPr>
      <w:r>
        <w:rPr>
          <w:rFonts w:cs="Times New Roman" w:asciiTheme="minorEastAsia" w:hAnsiTheme="minorEastAsia"/>
          <w:color w:val="auto"/>
          <w:spacing w:val="-1"/>
          <w:szCs w:val="24"/>
          <w:highlight w:val="none"/>
          <w:lang w:eastAsia="zh-CN"/>
        </w:rPr>
        <w:t>c)</w:t>
      </w:r>
      <w:r>
        <w:rPr>
          <w:rFonts w:hint="eastAsia" w:cs="Times New Roman" w:asciiTheme="minorEastAsia" w:hAnsiTheme="minorEastAsia"/>
          <w:color w:val="auto"/>
          <w:spacing w:val="-1"/>
          <w:szCs w:val="24"/>
          <w:highlight w:val="none"/>
          <w:lang w:eastAsia="zh-CN"/>
        </w:rPr>
        <w:t>涉及到天花造型从地面引出控制线到天花后，还要在墙面弹出对应的标</w:t>
      </w:r>
      <w:r>
        <w:rPr>
          <w:rFonts w:hint="eastAsia" w:cs="Times New Roman" w:asciiTheme="minorEastAsia" w:hAnsiTheme="minorEastAsia"/>
          <w:color w:val="auto"/>
          <w:szCs w:val="24"/>
          <w:highlight w:val="none"/>
          <w:lang w:eastAsia="zh-CN"/>
        </w:rPr>
        <w:t>识控制线。</w:t>
      </w:r>
    </w:p>
    <w:p>
      <w:pPr>
        <w:widowControl/>
        <w:tabs>
          <w:tab w:val="left" w:pos="1660"/>
          <w:tab w:val="left" w:pos="1661"/>
        </w:tabs>
        <w:ind w:firstLine="464" w:firstLineChars="200"/>
        <w:rPr>
          <w:rFonts w:cs="Times New Roman" w:asciiTheme="minorEastAsia" w:hAnsiTheme="minorEastAsia"/>
          <w:color w:val="auto"/>
          <w:szCs w:val="24"/>
          <w:highlight w:val="none"/>
          <w:lang w:eastAsia="zh-CN"/>
        </w:rPr>
      </w:pPr>
      <w:r>
        <w:rPr>
          <w:rFonts w:cs="Times New Roman" w:asciiTheme="minorEastAsia" w:hAnsiTheme="minorEastAsia"/>
          <w:color w:val="auto"/>
          <w:spacing w:val="-4"/>
          <w:szCs w:val="24"/>
          <w:highlight w:val="none"/>
          <w:lang w:eastAsia="zh-CN"/>
        </w:rPr>
        <w:t>d)</w:t>
      </w:r>
      <w:r>
        <w:rPr>
          <w:rFonts w:hint="eastAsia" w:cs="Times New Roman" w:asciiTheme="minorEastAsia" w:hAnsiTheme="minorEastAsia"/>
          <w:color w:val="auto"/>
          <w:spacing w:val="-4"/>
          <w:szCs w:val="24"/>
          <w:highlight w:val="none"/>
          <w:lang w:eastAsia="zh-CN"/>
        </w:rPr>
        <w:t>墙面除了标高控制线和经复核后的建筑</w:t>
      </w:r>
      <w:r>
        <w:rPr>
          <w:rFonts w:cs="Times New Roman" w:asciiTheme="minorEastAsia" w:hAnsiTheme="minorEastAsia"/>
          <w:color w:val="auto"/>
          <w:spacing w:val="-4"/>
          <w:szCs w:val="24"/>
          <w:highlight w:val="none"/>
          <w:lang w:eastAsia="zh-CN"/>
        </w:rPr>
        <w:t xml:space="preserve"> </w:t>
      </w:r>
      <w:r>
        <w:rPr>
          <w:rFonts w:cs="Times New Roman" w:asciiTheme="minorEastAsia" w:hAnsiTheme="minorEastAsia"/>
          <w:color w:val="auto"/>
          <w:szCs w:val="24"/>
          <w:highlight w:val="none"/>
          <w:lang w:eastAsia="zh-CN"/>
        </w:rPr>
        <w:t xml:space="preserve">1m </w:t>
      </w:r>
      <w:r>
        <w:rPr>
          <w:rFonts w:hint="eastAsia" w:cs="Times New Roman" w:asciiTheme="minorEastAsia" w:hAnsiTheme="minorEastAsia"/>
          <w:color w:val="auto"/>
          <w:szCs w:val="24"/>
          <w:highlight w:val="none"/>
          <w:lang w:eastAsia="zh-CN"/>
        </w:rPr>
        <w:t>线外，墙面造型的排版线。</w:t>
      </w:r>
    </w:p>
    <w:p>
      <w:pPr>
        <w:widowControl/>
        <w:tabs>
          <w:tab w:val="left" w:pos="1660"/>
          <w:tab w:val="left" w:pos="1661"/>
        </w:tabs>
        <w:ind w:firstLine="480" w:firstLineChars="200"/>
        <w:rPr>
          <w:rFonts w:cs="Times New Roman" w:asciiTheme="minorEastAsia" w:hAnsiTheme="minorEastAsia"/>
          <w:color w:val="auto"/>
          <w:szCs w:val="24"/>
          <w:highlight w:val="none"/>
          <w:lang w:eastAsia="zh-CN"/>
        </w:rPr>
      </w:pPr>
      <w:r>
        <w:rPr>
          <w:rFonts w:cs="Times New Roman" w:asciiTheme="minorEastAsia" w:hAnsiTheme="minorEastAsia"/>
          <w:color w:val="auto"/>
          <w:szCs w:val="24"/>
          <w:highlight w:val="none"/>
          <w:lang w:eastAsia="zh-CN"/>
        </w:rPr>
        <w:t>e)</w:t>
      </w:r>
      <w:r>
        <w:rPr>
          <w:rFonts w:hint="eastAsia" w:cs="Times New Roman" w:asciiTheme="minorEastAsia" w:hAnsiTheme="minorEastAsia"/>
          <w:color w:val="auto"/>
          <w:szCs w:val="24"/>
          <w:highlight w:val="none"/>
          <w:lang w:eastAsia="zh-CN"/>
        </w:rPr>
        <w:t>门边线处都弹出边线和所有待加工的内径控制线。</w:t>
      </w:r>
    </w:p>
    <w:p>
      <w:pPr>
        <w:widowControl/>
        <w:tabs>
          <w:tab w:val="left" w:pos="1660"/>
          <w:tab w:val="left" w:pos="1661"/>
        </w:tabs>
        <w:ind w:firstLine="476" w:firstLineChars="200"/>
        <w:rPr>
          <w:rFonts w:cs="Times New Roman" w:asciiTheme="minorEastAsia" w:hAnsiTheme="minorEastAsia"/>
          <w:color w:val="auto"/>
          <w:szCs w:val="24"/>
          <w:highlight w:val="none"/>
          <w:lang w:eastAsia="zh-CN"/>
        </w:rPr>
      </w:pPr>
      <w:r>
        <w:rPr>
          <w:rFonts w:cs="Times New Roman" w:asciiTheme="minorEastAsia" w:hAnsiTheme="minorEastAsia"/>
          <w:color w:val="auto"/>
          <w:spacing w:val="-1"/>
          <w:szCs w:val="24"/>
          <w:highlight w:val="none"/>
          <w:lang w:eastAsia="zh-CN"/>
        </w:rPr>
        <w:t>f)</w:t>
      </w:r>
      <w:r>
        <w:rPr>
          <w:rFonts w:hint="eastAsia" w:cs="Times New Roman" w:asciiTheme="minorEastAsia" w:hAnsiTheme="minorEastAsia"/>
          <w:color w:val="auto"/>
          <w:spacing w:val="-1"/>
          <w:szCs w:val="24"/>
          <w:highlight w:val="none"/>
          <w:lang w:eastAsia="zh-CN"/>
        </w:rPr>
        <w:t>天花跌级造型的定位，以地面中线坐标定位后，将天花跌级造型投影在</w:t>
      </w:r>
      <w:r>
        <w:rPr>
          <w:rFonts w:hint="eastAsia" w:cs="Times New Roman" w:asciiTheme="minorEastAsia" w:hAnsiTheme="minorEastAsia"/>
          <w:color w:val="auto"/>
          <w:szCs w:val="24"/>
          <w:highlight w:val="none"/>
          <w:lang w:eastAsia="zh-CN"/>
        </w:rPr>
        <w:t>地面上进行放线造型。</w:t>
      </w:r>
    </w:p>
    <w:p>
      <w:pPr>
        <w:widowControl/>
        <w:tabs>
          <w:tab w:val="left" w:pos="1240"/>
          <w:tab w:val="left" w:pos="1241"/>
        </w:tabs>
        <w:ind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w:t>
      </w:r>
      <w:r>
        <w:rPr>
          <w:rFonts w:cs="Times New Roman" w:asciiTheme="minorEastAsia" w:hAnsiTheme="minorEastAsia"/>
          <w:color w:val="auto"/>
          <w:szCs w:val="24"/>
          <w:highlight w:val="none"/>
          <w:lang w:eastAsia="zh-CN"/>
        </w:rPr>
        <w:t>3</w:t>
      </w:r>
      <w:r>
        <w:rPr>
          <w:rFonts w:hint="eastAsia" w:cs="Times New Roman" w:asciiTheme="minorEastAsia" w:hAnsiTheme="minorEastAsia"/>
          <w:color w:val="auto"/>
          <w:szCs w:val="24"/>
          <w:highlight w:val="none"/>
          <w:lang w:eastAsia="zh-CN"/>
        </w:rPr>
        <w:t>）承包人配合其他专业点位放线及钻孔要求</w:t>
      </w:r>
    </w:p>
    <w:p>
      <w:pPr>
        <w:pStyle w:val="22"/>
        <w:rPr>
          <w:color w:val="auto"/>
          <w:highlight w:val="none"/>
          <w:lang w:eastAsia="zh-CN"/>
        </w:rPr>
      </w:pPr>
      <w:r>
        <w:rPr>
          <w:color w:val="auto"/>
          <w:highlight w:val="none"/>
          <w:lang w:eastAsia="zh-CN"/>
        </w:rPr>
        <w:t xml:space="preserve">表 </w:t>
      </w:r>
      <w:r>
        <w:rPr>
          <w:color w:val="auto"/>
          <w:highlight w:val="none"/>
        </w:rPr>
        <w:fldChar w:fldCharType="begin"/>
      </w:r>
      <w:r>
        <w:rPr>
          <w:color w:val="auto"/>
          <w:highlight w:val="none"/>
          <w:lang w:eastAsia="zh-CN"/>
        </w:rPr>
        <w:instrText xml:space="preserve"> STYLEREF 1 \s </w:instrText>
      </w:r>
      <w:r>
        <w:rPr>
          <w:color w:val="auto"/>
          <w:highlight w:val="none"/>
        </w:rPr>
        <w:fldChar w:fldCharType="separate"/>
      </w:r>
      <w:r>
        <w:rPr>
          <w:color w:val="auto"/>
          <w:highlight w:val="none"/>
          <w:lang w:eastAsia="zh-CN"/>
        </w:rPr>
        <w:t>7</w:t>
      </w:r>
      <w:r>
        <w:rPr>
          <w:color w:val="auto"/>
          <w:highlight w:val="none"/>
        </w:rPr>
        <w:fldChar w:fldCharType="end"/>
      </w:r>
      <w:r>
        <w:rPr>
          <w:rFonts w:hint="eastAsia"/>
          <w:color w:val="auto"/>
          <w:highlight w:val="none"/>
          <w:lang w:eastAsia="zh-CN"/>
        </w:rPr>
        <w:t>-</w:t>
      </w:r>
      <w:r>
        <w:rPr>
          <w:color w:val="auto"/>
          <w:highlight w:val="none"/>
        </w:rPr>
        <w:fldChar w:fldCharType="begin"/>
      </w:r>
      <w:r>
        <w:rPr>
          <w:color w:val="auto"/>
          <w:highlight w:val="none"/>
          <w:lang w:eastAsia="zh-CN"/>
        </w:rPr>
        <w:instrText xml:space="preserve"> SEQ 表 \* ARABIC \s 1 </w:instrText>
      </w:r>
      <w:r>
        <w:rPr>
          <w:color w:val="auto"/>
          <w:highlight w:val="none"/>
        </w:rPr>
        <w:fldChar w:fldCharType="separate"/>
      </w:r>
      <w:r>
        <w:rPr>
          <w:color w:val="auto"/>
          <w:highlight w:val="none"/>
          <w:lang w:eastAsia="zh-CN"/>
        </w:rPr>
        <w:t>2</w:t>
      </w:r>
      <w:r>
        <w:rPr>
          <w:color w:val="auto"/>
          <w:highlight w:val="none"/>
        </w:rPr>
        <w:fldChar w:fldCharType="end"/>
      </w:r>
      <w:r>
        <w:rPr>
          <w:rFonts w:hint="eastAsia"/>
          <w:color w:val="auto"/>
          <w:highlight w:val="none"/>
          <w:lang w:eastAsia="zh-CN"/>
        </w:rPr>
        <w:t xml:space="preserve"> 承包人配合其他专业点位放线及钻孔要求</w:t>
      </w:r>
    </w:p>
    <w:tbl>
      <w:tblPr>
        <w:tblStyle w:val="169"/>
        <w:tblW w:w="5000"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1115"/>
        <w:gridCol w:w="1922"/>
        <w:gridCol w:w="656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jc w:val="center"/>
        </w:trPr>
        <w:tc>
          <w:tcPr>
            <w:tcW w:w="581" w:type="pct"/>
            <w:vAlign w:val="center"/>
          </w:tcPr>
          <w:p>
            <w:pPr>
              <w:keepLines w:val="0"/>
              <w:widowControl/>
              <w:jc w:val="center"/>
              <w:rPr>
                <w:color w:val="auto"/>
                <w:szCs w:val="24"/>
                <w:highlight w:val="none"/>
                <w:lang w:val="zh-CN" w:bidi="zh-CN"/>
              </w:rPr>
            </w:pPr>
            <w:r>
              <w:rPr>
                <w:rFonts w:hint="eastAsia"/>
                <w:color w:val="auto"/>
                <w:szCs w:val="24"/>
                <w:highlight w:val="none"/>
                <w:lang w:val="zh-CN" w:eastAsia="zh-CN" w:bidi="zh-CN"/>
              </w:rPr>
              <w:t>部位</w:t>
            </w:r>
          </w:p>
        </w:tc>
        <w:tc>
          <w:tcPr>
            <w:tcW w:w="1001" w:type="pct"/>
            <w:vAlign w:val="center"/>
          </w:tcPr>
          <w:p>
            <w:pPr>
              <w:keepLines w:val="0"/>
              <w:widowControl/>
              <w:jc w:val="center"/>
              <w:rPr>
                <w:color w:val="auto"/>
                <w:szCs w:val="24"/>
                <w:highlight w:val="none"/>
                <w:lang w:val="zh-CN" w:bidi="zh-CN"/>
              </w:rPr>
            </w:pPr>
            <w:r>
              <w:rPr>
                <w:rFonts w:hint="eastAsia"/>
                <w:color w:val="auto"/>
                <w:szCs w:val="24"/>
                <w:highlight w:val="none"/>
                <w:lang w:val="zh-CN" w:eastAsia="zh-CN" w:bidi="zh-CN"/>
              </w:rPr>
              <w:t>专业点位</w:t>
            </w:r>
          </w:p>
        </w:tc>
        <w:tc>
          <w:tcPr>
            <w:tcW w:w="3418" w:type="pct"/>
            <w:vAlign w:val="center"/>
          </w:tcPr>
          <w:p>
            <w:pPr>
              <w:keepLines w:val="0"/>
              <w:widowControl/>
              <w:jc w:val="center"/>
              <w:rPr>
                <w:color w:val="auto"/>
                <w:szCs w:val="24"/>
                <w:highlight w:val="none"/>
                <w:lang w:val="zh-CN" w:bidi="zh-CN"/>
              </w:rPr>
            </w:pPr>
            <w:r>
              <w:rPr>
                <w:rFonts w:hint="eastAsia"/>
                <w:color w:val="auto"/>
                <w:szCs w:val="24"/>
                <w:highlight w:val="none"/>
                <w:lang w:val="zh-CN" w:eastAsia="zh-CN" w:bidi="zh-CN"/>
              </w:rPr>
              <w:t>放线要求</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jc w:val="center"/>
        </w:trPr>
        <w:tc>
          <w:tcPr>
            <w:tcW w:w="581" w:type="pct"/>
            <w:vMerge w:val="restart"/>
            <w:vAlign w:val="center"/>
          </w:tcPr>
          <w:p>
            <w:pPr>
              <w:keepLines w:val="0"/>
              <w:widowControl/>
              <w:jc w:val="center"/>
              <w:rPr>
                <w:color w:val="auto"/>
                <w:szCs w:val="24"/>
                <w:highlight w:val="none"/>
                <w:lang w:val="zh-CN" w:bidi="zh-CN"/>
              </w:rPr>
            </w:pPr>
            <w:r>
              <w:rPr>
                <w:rFonts w:hint="eastAsia"/>
                <w:color w:val="auto"/>
                <w:szCs w:val="24"/>
                <w:highlight w:val="none"/>
                <w:lang w:val="zh-CN" w:eastAsia="zh-CN" w:bidi="zh-CN"/>
              </w:rPr>
              <w:t>地面</w:t>
            </w:r>
          </w:p>
        </w:tc>
        <w:tc>
          <w:tcPr>
            <w:tcW w:w="1001" w:type="pct"/>
            <w:vAlign w:val="center"/>
          </w:tcPr>
          <w:p>
            <w:pPr>
              <w:keepLines w:val="0"/>
              <w:widowControl/>
              <w:jc w:val="center"/>
              <w:rPr>
                <w:color w:val="auto"/>
                <w:szCs w:val="24"/>
                <w:highlight w:val="none"/>
                <w:lang w:val="zh-CN" w:bidi="zh-CN"/>
              </w:rPr>
            </w:pPr>
            <w:r>
              <w:rPr>
                <w:rFonts w:hint="eastAsia"/>
                <w:color w:val="auto"/>
                <w:szCs w:val="24"/>
                <w:highlight w:val="none"/>
                <w:lang w:val="zh-CN" w:eastAsia="zh-CN" w:bidi="zh-CN"/>
              </w:rPr>
              <w:t>建筑</w:t>
            </w:r>
          </w:p>
        </w:tc>
        <w:tc>
          <w:tcPr>
            <w:tcW w:w="3418" w:type="pct"/>
            <w:vAlign w:val="center"/>
          </w:tcPr>
          <w:p>
            <w:pPr>
              <w:keepLines w:val="0"/>
              <w:widowControl/>
              <w:rPr>
                <w:color w:val="auto"/>
                <w:szCs w:val="24"/>
                <w:highlight w:val="none"/>
                <w:lang w:val="zh-CN" w:eastAsia="zh-CN" w:bidi="zh-CN"/>
              </w:rPr>
            </w:pPr>
            <w:r>
              <w:rPr>
                <w:rFonts w:hint="eastAsia"/>
                <w:color w:val="auto"/>
                <w:szCs w:val="24"/>
                <w:highlight w:val="none"/>
                <w:lang w:val="zh-CN" w:eastAsia="zh-CN" w:bidi="zh-CN"/>
              </w:rPr>
              <w:t>所有隔墙线（标注墙体厚度）。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42" w:hRule="atLeast"/>
          <w:jc w:val="center"/>
        </w:trPr>
        <w:tc>
          <w:tcPr>
            <w:tcW w:w="581" w:type="pct"/>
            <w:vMerge w:val="continue"/>
            <w:tcBorders>
              <w:top w:val="nil"/>
            </w:tcBorders>
            <w:vAlign w:val="center"/>
          </w:tcPr>
          <w:p>
            <w:pPr>
              <w:keepLines w:val="0"/>
              <w:widowControl/>
              <w:rPr>
                <w:color w:val="auto"/>
                <w:szCs w:val="24"/>
                <w:highlight w:val="none"/>
                <w:lang w:eastAsia="zh-CN"/>
              </w:rPr>
            </w:pPr>
          </w:p>
        </w:tc>
        <w:tc>
          <w:tcPr>
            <w:tcW w:w="1001" w:type="pct"/>
            <w:vAlign w:val="center"/>
          </w:tcPr>
          <w:p>
            <w:pPr>
              <w:keepLines w:val="0"/>
              <w:widowControl/>
              <w:jc w:val="center"/>
              <w:rPr>
                <w:color w:val="auto"/>
                <w:szCs w:val="24"/>
                <w:highlight w:val="none"/>
                <w:lang w:val="zh-CN" w:bidi="zh-CN"/>
              </w:rPr>
            </w:pPr>
            <w:r>
              <w:rPr>
                <w:rFonts w:hint="eastAsia"/>
                <w:color w:val="auto"/>
                <w:szCs w:val="24"/>
                <w:highlight w:val="none"/>
                <w:lang w:val="zh-CN" w:eastAsia="zh-CN" w:bidi="zh-CN"/>
              </w:rPr>
              <w:t>给排水点位</w:t>
            </w:r>
          </w:p>
        </w:tc>
        <w:tc>
          <w:tcPr>
            <w:tcW w:w="3418" w:type="pct"/>
            <w:vAlign w:val="center"/>
          </w:tcPr>
          <w:p>
            <w:pPr>
              <w:keepLines w:val="0"/>
              <w:widowControl/>
              <w:rPr>
                <w:color w:val="auto"/>
                <w:szCs w:val="24"/>
                <w:highlight w:val="none"/>
                <w:lang w:val="zh-CN" w:eastAsia="zh-CN" w:bidi="zh-CN"/>
              </w:rPr>
            </w:pPr>
            <w:r>
              <w:rPr>
                <w:rFonts w:hint="eastAsia"/>
                <w:color w:val="auto"/>
                <w:szCs w:val="24"/>
                <w:highlight w:val="none"/>
                <w:lang w:val="zh-CN" w:eastAsia="zh-CN" w:bidi="zh-CN"/>
              </w:rPr>
              <w:t>管中十字线并钻孔、恢复，钻孔尺寸按机电给出的要求施工。</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jc w:val="center"/>
        </w:trPr>
        <w:tc>
          <w:tcPr>
            <w:tcW w:w="581" w:type="pct"/>
            <w:vMerge w:val="continue"/>
            <w:tcBorders>
              <w:top w:val="nil"/>
            </w:tcBorders>
            <w:vAlign w:val="center"/>
          </w:tcPr>
          <w:p>
            <w:pPr>
              <w:keepLines w:val="0"/>
              <w:widowControl/>
              <w:rPr>
                <w:color w:val="auto"/>
                <w:szCs w:val="24"/>
                <w:highlight w:val="none"/>
                <w:lang w:eastAsia="zh-CN"/>
              </w:rPr>
            </w:pPr>
          </w:p>
        </w:tc>
        <w:tc>
          <w:tcPr>
            <w:tcW w:w="1001" w:type="pct"/>
            <w:vAlign w:val="center"/>
          </w:tcPr>
          <w:p>
            <w:pPr>
              <w:keepLines w:val="0"/>
              <w:widowControl/>
              <w:jc w:val="center"/>
              <w:rPr>
                <w:color w:val="auto"/>
                <w:szCs w:val="24"/>
                <w:highlight w:val="none"/>
                <w:lang w:val="zh-CN" w:bidi="zh-CN"/>
              </w:rPr>
            </w:pPr>
            <w:r>
              <w:rPr>
                <w:rFonts w:hint="eastAsia"/>
                <w:color w:val="auto"/>
                <w:szCs w:val="24"/>
                <w:highlight w:val="none"/>
                <w:lang w:val="zh-CN" w:eastAsia="zh-CN" w:bidi="zh-CN"/>
              </w:rPr>
              <w:t>强、弱电</w:t>
            </w:r>
          </w:p>
        </w:tc>
        <w:tc>
          <w:tcPr>
            <w:tcW w:w="3418" w:type="pct"/>
            <w:vAlign w:val="center"/>
          </w:tcPr>
          <w:p>
            <w:pPr>
              <w:keepLines w:val="0"/>
              <w:widowControl/>
              <w:rPr>
                <w:color w:val="auto"/>
                <w:szCs w:val="24"/>
                <w:highlight w:val="none"/>
                <w:lang w:val="zh-CN" w:eastAsia="zh-CN" w:bidi="zh-CN"/>
              </w:rPr>
            </w:pPr>
            <w:r>
              <w:rPr>
                <w:rFonts w:hint="eastAsia"/>
                <w:color w:val="auto"/>
                <w:szCs w:val="24"/>
                <w:highlight w:val="none"/>
                <w:lang w:val="zh-CN" w:eastAsia="zh-CN" w:bidi="zh-CN"/>
              </w:rPr>
              <w:t>线盒点位十字交叉线，用文字说明。</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69" w:hRule="atLeast"/>
          <w:jc w:val="center"/>
        </w:trPr>
        <w:tc>
          <w:tcPr>
            <w:tcW w:w="581" w:type="pct"/>
            <w:vMerge w:val="restart"/>
            <w:vAlign w:val="center"/>
          </w:tcPr>
          <w:p>
            <w:pPr>
              <w:keepLines w:val="0"/>
              <w:widowControl/>
              <w:jc w:val="center"/>
              <w:rPr>
                <w:color w:val="auto"/>
                <w:szCs w:val="24"/>
                <w:highlight w:val="none"/>
                <w:lang w:val="zh-CN" w:bidi="zh-CN"/>
              </w:rPr>
            </w:pPr>
            <w:r>
              <w:rPr>
                <w:rFonts w:hint="eastAsia"/>
                <w:color w:val="auto"/>
                <w:szCs w:val="24"/>
                <w:highlight w:val="none"/>
                <w:lang w:val="zh-CN" w:eastAsia="zh-CN" w:bidi="zh-CN"/>
              </w:rPr>
              <w:t>墙面</w:t>
            </w:r>
          </w:p>
        </w:tc>
        <w:tc>
          <w:tcPr>
            <w:tcW w:w="1001" w:type="pct"/>
            <w:vAlign w:val="center"/>
          </w:tcPr>
          <w:p>
            <w:pPr>
              <w:keepLines w:val="0"/>
              <w:widowControl/>
              <w:jc w:val="center"/>
              <w:rPr>
                <w:color w:val="auto"/>
                <w:szCs w:val="24"/>
                <w:highlight w:val="none"/>
                <w:lang w:val="zh-CN" w:bidi="zh-CN"/>
              </w:rPr>
            </w:pPr>
            <w:r>
              <w:rPr>
                <w:rFonts w:hint="eastAsia"/>
                <w:color w:val="auto"/>
                <w:szCs w:val="24"/>
                <w:highlight w:val="none"/>
                <w:lang w:val="zh-CN" w:eastAsia="zh-CN" w:bidi="zh-CN"/>
              </w:rPr>
              <w:t>建筑、内装</w:t>
            </w:r>
          </w:p>
        </w:tc>
        <w:tc>
          <w:tcPr>
            <w:tcW w:w="3418" w:type="pct"/>
            <w:vAlign w:val="center"/>
          </w:tcPr>
          <w:p>
            <w:pPr>
              <w:keepLines w:val="0"/>
              <w:widowControl/>
              <w:rPr>
                <w:color w:val="auto"/>
                <w:szCs w:val="24"/>
                <w:highlight w:val="none"/>
                <w:lang w:val="zh-CN" w:eastAsia="zh-CN" w:bidi="zh-CN"/>
              </w:rPr>
            </w:pPr>
            <w:r>
              <w:rPr>
                <w:rFonts w:hint="eastAsia"/>
                <w:color w:val="auto"/>
                <w:szCs w:val="24"/>
                <w:highlight w:val="none"/>
                <w:lang w:val="zh-CN" w:eastAsia="zh-CN" w:bidi="zh-CN"/>
              </w:rPr>
              <w:t>最终完成面建筑 1.0 米标高线。</w:t>
            </w:r>
          </w:p>
          <w:p>
            <w:pPr>
              <w:keepLines w:val="0"/>
              <w:widowControl/>
              <w:rPr>
                <w:color w:val="auto"/>
                <w:szCs w:val="24"/>
                <w:highlight w:val="none"/>
                <w:lang w:val="zh-CN" w:eastAsia="zh-CN" w:bidi="zh-CN"/>
              </w:rPr>
            </w:pPr>
            <w:r>
              <w:rPr>
                <w:rFonts w:hint="eastAsia"/>
                <w:color w:val="auto"/>
                <w:szCs w:val="24"/>
                <w:highlight w:val="none"/>
                <w:lang w:val="zh-CN" w:eastAsia="zh-CN" w:bidi="zh-CN"/>
              </w:rPr>
              <w:t>墙体完成面线，石材及瓷砖排版控制线。洗手盆标高线。</w:t>
            </w:r>
          </w:p>
          <w:p>
            <w:pPr>
              <w:keepLines w:val="0"/>
              <w:widowControl/>
              <w:rPr>
                <w:color w:val="auto"/>
                <w:szCs w:val="24"/>
                <w:highlight w:val="none"/>
                <w:lang w:val="zh-CN" w:eastAsia="zh-CN" w:bidi="zh-CN"/>
              </w:rPr>
            </w:pPr>
            <w:r>
              <w:rPr>
                <w:rFonts w:hint="eastAsia"/>
                <w:color w:val="auto"/>
                <w:szCs w:val="24"/>
                <w:highlight w:val="none"/>
                <w:lang w:val="zh-CN" w:eastAsia="zh-CN" w:bidi="zh-CN"/>
              </w:rPr>
              <w:t>装修需要占用吊顶龙骨以上部位的标高标识。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6" w:hRule="atLeast"/>
          <w:jc w:val="center"/>
        </w:trPr>
        <w:tc>
          <w:tcPr>
            <w:tcW w:w="581" w:type="pct"/>
            <w:vMerge w:val="continue"/>
            <w:tcBorders>
              <w:top w:val="nil"/>
            </w:tcBorders>
            <w:vAlign w:val="center"/>
          </w:tcPr>
          <w:p>
            <w:pPr>
              <w:keepLines w:val="0"/>
              <w:widowControl/>
              <w:rPr>
                <w:color w:val="auto"/>
                <w:szCs w:val="24"/>
                <w:highlight w:val="none"/>
                <w:lang w:eastAsia="zh-CN"/>
              </w:rPr>
            </w:pPr>
          </w:p>
        </w:tc>
        <w:tc>
          <w:tcPr>
            <w:tcW w:w="1001" w:type="pct"/>
            <w:vAlign w:val="center"/>
          </w:tcPr>
          <w:p>
            <w:pPr>
              <w:keepLines w:val="0"/>
              <w:widowControl/>
              <w:jc w:val="center"/>
              <w:rPr>
                <w:color w:val="auto"/>
                <w:szCs w:val="24"/>
                <w:highlight w:val="none"/>
                <w:lang w:val="zh-CN" w:bidi="zh-CN"/>
              </w:rPr>
            </w:pPr>
            <w:r>
              <w:rPr>
                <w:rFonts w:hint="eastAsia"/>
                <w:color w:val="auto"/>
                <w:szCs w:val="24"/>
                <w:highlight w:val="none"/>
                <w:lang w:val="zh-CN" w:eastAsia="zh-CN" w:bidi="zh-CN"/>
              </w:rPr>
              <w:t>排水点位</w:t>
            </w:r>
          </w:p>
        </w:tc>
        <w:tc>
          <w:tcPr>
            <w:tcW w:w="3418" w:type="pct"/>
            <w:vAlign w:val="center"/>
          </w:tcPr>
          <w:p>
            <w:pPr>
              <w:keepLines w:val="0"/>
              <w:widowControl/>
              <w:rPr>
                <w:color w:val="auto"/>
                <w:szCs w:val="24"/>
                <w:highlight w:val="none"/>
                <w:lang w:val="zh-CN" w:eastAsia="zh-CN" w:bidi="zh-CN"/>
              </w:rPr>
            </w:pPr>
            <w:r>
              <w:rPr>
                <w:rFonts w:hint="eastAsia"/>
                <w:color w:val="auto"/>
                <w:szCs w:val="24"/>
                <w:highlight w:val="none"/>
                <w:lang w:val="zh-CN" w:eastAsia="zh-CN" w:bidi="zh-CN"/>
              </w:rPr>
              <w:t>管中十字线，用文字标识清楚。</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6" w:hRule="atLeast"/>
          <w:jc w:val="center"/>
        </w:trPr>
        <w:tc>
          <w:tcPr>
            <w:tcW w:w="581" w:type="pct"/>
            <w:vMerge w:val="continue"/>
            <w:tcBorders>
              <w:top w:val="nil"/>
            </w:tcBorders>
            <w:vAlign w:val="center"/>
          </w:tcPr>
          <w:p>
            <w:pPr>
              <w:keepLines w:val="0"/>
              <w:widowControl/>
              <w:rPr>
                <w:color w:val="auto"/>
                <w:szCs w:val="24"/>
                <w:highlight w:val="none"/>
                <w:lang w:eastAsia="zh-CN"/>
              </w:rPr>
            </w:pPr>
          </w:p>
        </w:tc>
        <w:tc>
          <w:tcPr>
            <w:tcW w:w="1001" w:type="pct"/>
            <w:vAlign w:val="center"/>
          </w:tcPr>
          <w:p>
            <w:pPr>
              <w:keepLines w:val="0"/>
              <w:widowControl/>
              <w:jc w:val="center"/>
              <w:rPr>
                <w:color w:val="auto"/>
                <w:szCs w:val="24"/>
                <w:highlight w:val="none"/>
                <w:lang w:val="zh-CN" w:bidi="zh-CN"/>
              </w:rPr>
            </w:pPr>
            <w:r>
              <w:rPr>
                <w:rFonts w:hint="eastAsia"/>
                <w:color w:val="auto"/>
                <w:szCs w:val="24"/>
                <w:highlight w:val="none"/>
                <w:lang w:val="zh-CN" w:eastAsia="zh-CN" w:bidi="zh-CN"/>
              </w:rPr>
              <w:t>消防点位</w:t>
            </w:r>
          </w:p>
        </w:tc>
        <w:tc>
          <w:tcPr>
            <w:tcW w:w="3418" w:type="pct"/>
            <w:vAlign w:val="center"/>
          </w:tcPr>
          <w:p>
            <w:pPr>
              <w:keepLines w:val="0"/>
              <w:widowControl/>
              <w:rPr>
                <w:color w:val="auto"/>
                <w:szCs w:val="24"/>
                <w:highlight w:val="none"/>
                <w:lang w:val="zh-CN" w:bidi="zh-CN"/>
              </w:rPr>
            </w:pPr>
            <w:r>
              <w:rPr>
                <w:rFonts w:hint="eastAsia"/>
                <w:color w:val="auto"/>
                <w:szCs w:val="24"/>
                <w:highlight w:val="none"/>
                <w:lang w:val="zh-CN" w:eastAsia="zh-CN" w:bidi="zh-CN"/>
              </w:rPr>
              <w:t>消火栓箱完成面线。</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jc w:val="center"/>
        </w:trPr>
        <w:tc>
          <w:tcPr>
            <w:tcW w:w="581" w:type="pct"/>
            <w:vMerge w:val="continue"/>
            <w:tcBorders>
              <w:top w:val="nil"/>
            </w:tcBorders>
            <w:vAlign w:val="center"/>
          </w:tcPr>
          <w:p>
            <w:pPr>
              <w:keepLines w:val="0"/>
              <w:widowControl/>
              <w:rPr>
                <w:color w:val="auto"/>
                <w:szCs w:val="24"/>
                <w:highlight w:val="none"/>
              </w:rPr>
            </w:pPr>
          </w:p>
        </w:tc>
        <w:tc>
          <w:tcPr>
            <w:tcW w:w="1001" w:type="pct"/>
            <w:vAlign w:val="center"/>
          </w:tcPr>
          <w:p>
            <w:pPr>
              <w:keepLines w:val="0"/>
              <w:widowControl/>
              <w:jc w:val="center"/>
              <w:rPr>
                <w:color w:val="auto"/>
                <w:szCs w:val="24"/>
                <w:highlight w:val="none"/>
                <w:lang w:val="zh-CN" w:bidi="zh-CN"/>
              </w:rPr>
            </w:pPr>
            <w:r>
              <w:rPr>
                <w:rFonts w:hint="eastAsia"/>
                <w:color w:val="auto"/>
                <w:szCs w:val="24"/>
                <w:highlight w:val="none"/>
                <w:lang w:val="zh-CN" w:eastAsia="zh-CN" w:bidi="zh-CN"/>
              </w:rPr>
              <w:t>给水点位</w:t>
            </w:r>
          </w:p>
        </w:tc>
        <w:tc>
          <w:tcPr>
            <w:tcW w:w="3418" w:type="pct"/>
            <w:vAlign w:val="center"/>
          </w:tcPr>
          <w:p>
            <w:pPr>
              <w:keepLines w:val="0"/>
              <w:widowControl/>
              <w:rPr>
                <w:color w:val="auto"/>
                <w:szCs w:val="24"/>
                <w:highlight w:val="none"/>
                <w:lang w:val="zh-CN" w:eastAsia="zh-CN" w:bidi="zh-CN"/>
              </w:rPr>
            </w:pPr>
            <w:r>
              <w:rPr>
                <w:rFonts w:hint="eastAsia"/>
                <w:color w:val="auto"/>
                <w:szCs w:val="24"/>
                <w:highlight w:val="none"/>
                <w:lang w:val="zh-CN" w:eastAsia="zh-CN" w:bidi="zh-CN"/>
              </w:rPr>
              <w:t>管中十字线，用文字标识清楚。</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00" w:hRule="atLeast"/>
          <w:jc w:val="center"/>
        </w:trPr>
        <w:tc>
          <w:tcPr>
            <w:tcW w:w="581" w:type="pct"/>
            <w:vMerge w:val="continue"/>
            <w:tcBorders>
              <w:top w:val="nil"/>
            </w:tcBorders>
            <w:vAlign w:val="center"/>
          </w:tcPr>
          <w:p>
            <w:pPr>
              <w:keepLines w:val="0"/>
              <w:widowControl/>
              <w:rPr>
                <w:color w:val="auto"/>
                <w:szCs w:val="24"/>
                <w:highlight w:val="none"/>
                <w:lang w:eastAsia="zh-CN"/>
              </w:rPr>
            </w:pPr>
          </w:p>
        </w:tc>
        <w:tc>
          <w:tcPr>
            <w:tcW w:w="1001" w:type="pct"/>
            <w:vAlign w:val="center"/>
          </w:tcPr>
          <w:p>
            <w:pPr>
              <w:keepLines w:val="0"/>
              <w:widowControl/>
              <w:jc w:val="center"/>
              <w:rPr>
                <w:color w:val="auto"/>
                <w:szCs w:val="24"/>
                <w:highlight w:val="none"/>
                <w:lang w:val="zh-CN" w:bidi="zh-CN"/>
              </w:rPr>
            </w:pPr>
            <w:r>
              <w:rPr>
                <w:rFonts w:hint="eastAsia"/>
                <w:color w:val="auto"/>
                <w:szCs w:val="24"/>
                <w:highlight w:val="none"/>
                <w:lang w:val="zh-CN" w:eastAsia="zh-CN" w:bidi="zh-CN"/>
              </w:rPr>
              <w:t>强、弱电</w:t>
            </w:r>
          </w:p>
        </w:tc>
        <w:tc>
          <w:tcPr>
            <w:tcW w:w="3418" w:type="pct"/>
            <w:vAlign w:val="center"/>
          </w:tcPr>
          <w:p>
            <w:pPr>
              <w:keepLines w:val="0"/>
              <w:widowControl/>
              <w:rPr>
                <w:color w:val="auto"/>
                <w:szCs w:val="24"/>
                <w:highlight w:val="none"/>
                <w:lang w:val="zh-CN" w:eastAsia="zh-CN" w:bidi="zh-CN"/>
              </w:rPr>
            </w:pPr>
            <w:r>
              <w:rPr>
                <w:rFonts w:hint="eastAsia"/>
                <w:color w:val="auto"/>
                <w:szCs w:val="24"/>
                <w:highlight w:val="none"/>
                <w:lang w:val="zh-CN" w:eastAsia="zh-CN" w:bidi="zh-CN"/>
              </w:rPr>
              <w:t>1、线盒点位十字交叉线，用文字说明。</w:t>
            </w:r>
          </w:p>
          <w:p>
            <w:pPr>
              <w:keepLines w:val="0"/>
              <w:widowControl/>
              <w:rPr>
                <w:color w:val="auto"/>
                <w:szCs w:val="24"/>
                <w:highlight w:val="none"/>
                <w:lang w:val="zh-CN" w:eastAsia="zh-CN" w:bidi="zh-CN"/>
              </w:rPr>
            </w:pPr>
            <w:r>
              <w:rPr>
                <w:rFonts w:hint="eastAsia"/>
                <w:color w:val="auto"/>
                <w:szCs w:val="24"/>
                <w:highlight w:val="none"/>
                <w:lang w:val="zh-CN" w:eastAsia="zh-CN" w:bidi="zh-CN"/>
              </w:rPr>
              <w:t>2、线箱定位线。</w:t>
            </w:r>
          </w:p>
          <w:p>
            <w:pPr>
              <w:keepLines w:val="0"/>
              <w:widowControl/>
              <w:rPr>
                <w:color w:val="auto"/>
                <w:szCs w:val="24"/>
                <w:highlight w:val="none"/>
                <w:lang w:val="zh-CN" w:eastAsia="zh-CN" w:bidi="zh-CN"/>
              </w:rPr>
            </w:pPr>
            <w:r>
              <w:rPr>
                <w:rFonts w:hint="eastAsia"/>
                <w:color w:val="auto"/>
                <w:szCs w:val="24"/>
                <w:highlight w:val="none"/>
                <w:lang w:val="zh-CN" w:eastAsia="zh-CN" w:bidi="zh-CN"/>
              </w:rPr>
              <w:t>3、手报定位十字线。</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33" w:hRule="atLeast"/>
          <w:jc w:val="center"/>
        </w:trPr>
        <w:tc>
          <w:tcPr>
            <w:tcW w:w="581" w:type="pct"/>
            <w:vMerge w:val="restart"/>
            <w:vAlign w:val="center"/>
          </w:tcPr>
          <w:p>
            <w:pPr>
              <w:keepLines w:val="0"/>
              <w:widowControl/>
              <w:jc w:val="center"/>
              <w:rPr>
                <w:color w:val="auto"/>
                <w:szCs w:val="24"/>
                <w:highlight w:val="none"/>
                <w:lang w:val="zh-CN" w:bidi="zh-CN"/>
              </w:rPr>
            </w:pPr>
            <w:r>
              <w:rPr>
                <w:rFonts w:hint="eastAsia"/>
                <w:color w:val="auto"/>
                <w:szCs w:val="24"/>
                <w:highlight w:val="none"/>
                <w:lang w:val="zh-CN" w:eastAsia="zh-CN" w:bidi="zh-CN"/>
              </w:rPr>
              <w:t>天花</w:t>
            </w:r>
          </w:p>
        </w:tc>
        <w:tc>
          <w:tcPr>
            <w:tcW w:w="1001" w:type="pct"/>
            <w:vAlign w:val="center"/>
          </w:tcPr>
          <w:p>
            <w:pPr>
              <w:keepLines w:val="0"/>
              <w:widowControl/>
              <w:jc w:val="center"/>
              <w:rPr>
                <w:color w:val="auto"/>
                <w:szCs w:val="24"/>
                <w:highlight w:val="none"/>
                <w:lang w:val="zh-CN" w:bidi="zh-CN"/>
              </w:rPr>
            </w:pPr>
            <w:r>
              <w:rPr>
                <w:rFonts w:hint="eastAsia"/>
                <w:color w:val="auto"/>
                <w:szCs w:val="24"/>
                <w:highlight w:val="none"/>
                <w:lang w:val="zh-CN" w:eastAsia="zh-CN" w:bidi="zh-CN"/>
              </w:rPr>
              <w:t>建筑</w:t>
            </w:r>
          </w:p>
        </w:tc>
        <w:tc>
          <w:tcPr>
            <w:tcW w:w="3418" w:type="pct"/>
            <w:vAlign w:val="center"/>
          </w:tcPr>
          <w:p>
            <w:pPr>
              <w:keepLines w:val="0"/>
              <w:widowControl/>
              <w:rPr>
                <w:color w:val="auto"/>
                <w:szCs w:val="24"/>
                <w:highlight w:val="none"/>
                <w:lang w:val="zh-CN" w:eastAsia="zh-CN" w:bidi="zh-CN"/>
              </w:rPr>
            </w:pPr>
            <w:r>
              <w:rPr>
                <w:rFonts w:hint="eastAsia"/>
                <w:color w:val="auto"/>
                <w:szCs w:val="24"/>
                <w:highlight w:val="none"/>
                <w:lang w:val="zh-CN" w:eastAsia="zh-CN" w:bidi="zh-CN"/>
              </w:rPr>
              <w:t>天花标高及造型线（能辨认标高变化）。</w:t>
            </w:r>
          </w:p>
          <w:p>
            <w:pPr>
              <w:keepLines w:val="0"/>
              <w:widowControl/>
              <w:rPr>
                <w:color w:val="auto"/>
                <w:szCs w:val="24"/>
                <w:highlight w:val="none"/>
                <w:lang w:val="zh-CN" w:eastAsia="zh-CN" w:bidi="zh-CN"/>
              </w:rPr>
            </w:pPr>
            <w:r>
              <w:rPr>
                <w:rFonts w:hint="eastAsia"/>
                <w:color w:val="auto"/>
                <w:szCs w:val="24"/>
                <w:highlight w:val="none"/>
                <w:lang w:val="zh-CN" w:eastAsia="zh-CN" w:bidi="zh-CN"/>
              </w:rPr>
              <w:t>检修口定位的地面投影线。</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33" w:hRule="atLeast"/>
          <w:jc w:val="center"/>
        </w:trPr>
        <w:tc>
          <w:tcPr>
            <w:tcW w:w="581" w:type="pct"/>
            <w:vMerge w:val="continue"/>
            <w:vAlign w:val="center"/>
          </w:tcPr>
          <w:p>
            <w:pPr>
              <w:keepLines w:val="0"/>
              <w:widowControl/>
              <w:rPr>
                <w:color w:val="auto"/>
                <w:szCs w:val="24"/>
                <w:highlight w:val="none"/>
                <w:lang w:val="zh-CN" w:eastAsia="zh-CN" w:bidi="zh-CN"/>
              </w:rPr>
            </w:pPr>
          </w:p>
        </w:tc>
        <w:tc>
          <w:tcPr>
            <w:tcW w:w="1001" w:type="pct"/>
            <w:vAlign w:val="center"/>
          </w:tcPr>
          <w:p>
            <w:pPr>
              <w:keepLines w:val="0"/>
              <w:widowControl/>
              <w:jc w:val="center"/>
              <w:rPr>
                <w:color w:val="auto"/>
                <w:szCs w:val="24"/>
                <w:highlight w:val="none"/>
                <w:lang w:val="zh-CN" w:bidi="zh-CN"/>
              </w:rPr>
            </w:pPr>
            <w:r>
              <w:rPr>
                <w:rFonts w:hint="eastAsia"/>
                <w:color w:val="auto"/>
                <w:szCs w:val="24"/>
                <w:highlight w:val="none"/>
                <w:lang w:val="zh-CN" w:eastAsia="zh-CN" w:bidi="zh-CN"/>
              </w:rPr>
              <w:t>消防</w:t>
            </w:r>
          </w:p>
        </w:tc>
        <w:tc>
          <w:tcPr>
            <w:tcW w:w="3418" w:type="pct"/>
            <w:vAlign w:val="center"/>
          </w:tcPr>
          <w:p>
            <w:pPr>
              <w:keepLines w:val="0"/>
              <w:widowControl/>
              <w:rPr>
                <w:color w:val="auto"/>
                <w:szCs w:val="24"/>
                <w:highlight w:val="none"/>
                <w:lang w:val="zh-CN" w:eastAsia="zh-CN" w:bidi="zh-CN"/>
              </w:rPr>
            </w:pPr>
            <w:r>
              <w:rPr>
                <w:rFonts w:hint="eastAsia"/>
                <w:color w:val="auto"/>
                <w:szCs w:val="24"/>
                <w:highlight w:val="none"/>
                <w:lang w:val="zh-CN" w:eastAsia="zh-CN" w:bidi="zh-CN"/>
              </w:rPr>
              <w:t>喷淋点位，封板前局部采用小块石膏板经放线定位钻孔后，准确给出喷淋点位，喷淋系统验收合格后封板。</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33" w:hRule="atLeast"/>
          <w:jc w:val="center"/>
        </w:trPr>
        <w:tc>
          <w:tcPr>
            <w:tcW w:w="581" w:type="pct"/>
            <w:vMerge w:val="continue"/>
            <w:vAlign w:val="center"/>
          </w:tcPr>
          <w:p>
            <w:pPr>
              <w:keepLines w:val="0"/>
              <w:widowControl/>
              <w:rPr>
                <w:color w:val="auto"/>
                <w:szCs w:val="24"/>
                <w:highlight w:val="none"/>
                <w:lang w:val="zh-CN" w:eastAsia="zh-CN" w:bidi="zh-CN"/>
              </w:rPr>
            </w:pPr>
          </w:p>
        </w:tc>
        <w:tc>
          <w:tcPr>
            <w:tcW w:w="1001" w:type="pct"/>
            <w:vAlign w:val="center"/>
          </w:tcPr>
          <w:p>
            <w:pPr>
              <w:keepLines w:val="0"/>
              <w:widowControl/>
              <w:jc w:val="center"/>
              <w:rPr>
                <w:color w:val="auto"/>
                <w:szCs w:val="24"/>
                <w:highlight w:val="none"/>
                <w:lang w:val="zh-CN" w:bidi="zh-CN"/>
              </w:rPr>
            </w:pPr>
            <w:r>
              <w:rPr>
                <w:rFonts w:hint="eastAsia"/>
                <w:color w:val="auto"/>
                <w:szCs w:val="24"/>
                <w:highlight w:val="none"/>
                <w:lang w:val="zh-CN" w:eastAsia="zh-CN" w:bidi="zh-CN"/>
              </w:rPr>
              <w:t>空调</w:t>
            </w:r>
          </w:p>
        </w:tc>
        <w:tc>
          <w:tcPr>
            <w:tcW w:w="3418" w:type="pct"/>
            <w:vAlign w:val="center"/>
          </w:tcPr>
          <w:p>
            <w:pPr>
              <w:keepLines w:val="0"/>
              <w:widowControl/>
              <w:rPr>
                <w:color w:val="auto"/>
                <w:szCs w:val="24"/>
                <w:highlight w:val="none"/>
                <w:lang w:val="zh-CN" w:eastAsia="zh-CN" w:bidi="zh-CN"/>
              </w:rPr>
            </w:pPr>
            <w:r>
              <w:rPr>
                <w:rFonts w:hint="eastAsia"/>
                <w:color w:val="auto"/>
                <w:szCs w:val="24"/>
                <w:highlight w:val="none"/>
                <w:lang w:val="zh-CN" w:eastAsia="zh-CN" w:bidi="zh-CN"/>
              </w:rPr>
              <w:t>所有风口位置。风口位置应划出风口面尺寸。</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33" w:hRule="atLeast"/>
          <w:jc w:val="center"/>
        </w:trPr>
        <w:tc>
          <w:tcPr>
            <w:tcW w:w="581" w:type="pct"/>
            <w:vMerge w:val="continue"/>
            <w:vAlign w:val="center"/>
          </w:tcPr>
          <w:p>
            <w:pPr>
              <w:keepLines w:val="0"/>
              <w:widowControl/>
              <w:rPr>
                <w:color w:val="auto"/>
                <w:szCs w:val="24"/>
                <w:highlight w:val="none"/>
                <w:lang w:val="zh-CN" w:eastAsia="zh-CN" w:bidi="zh-CN"/>
              </w:rPr>
            </w:pPr>
          </w:p>
        </w:tc>
        <w:tc>
          <w:tcPr>
            <w:tcW w:w="1001" w:type="pct"/>
            <w:vAlign w:val="center"/>
          </w:tcPr>
          <w:p>
            <w:pPr>
              <w:keepLines w:val="0"/>
              <w:widowControl/>
              <w:jc w:val="center"/>
              <w:rPr>
                <w:color w:val="auto"/>
                <w:szCs w:val="24"/>
                <w:highlight w:val="none"/>
                <w:lang w:val="zh-CN" w:bidi="zh-CN"/>
              </w:rPr>
            </w:pPr>
            <w:r>
              <w:rPr>
                <w:rFonts w:hint="eastAsia"/>
                <w:color w:val="auto"/>
                <w:szCs w:val="24"/>
                <w:highlight w:val="none"/>
                <w:lang w:val="zh-CN" w:eastAsia="zh-CN" w:bidi="zh-CN"/>
              </w:rPr>
              <w:t>强、弱电</w:t>
            </w:r>
          </w:p>
        </w:tc>
        <w:tc>
          <w:tcPr>
            <w:tcW w:w="3418" w:type="pct"/>
            <w:vAlign w:val="center"/>
          </w:tcPr>
          <w:p>
            <w:pPr>
              <w:keepLines w:val="0"/>
              <w:widowControl/>
              <w:rPr>
                <w:color w:val="auto"/>
                <w:szCs w:val="24"/>
                <w:highlight w:val="none"/>
                <w:lang w:val="zh-CN" w:eastAsia="zh-CN" w:bidi="zh-CN"/>
              </w:rPr>
            </w:pPr>
            <w:r>
              <w:rPr>
                <w:rFonts w:hint="eastAsia"/>
                <w:color w:val="auto"/>
                <w:szCs w:val="24"/>
                <w:highlight w:val="none"/>
                <w:lang w:val="zh-CN" w:eastAsia="zh-CN" w:bidi="zh-CN"/>
              </w:rPr>
              <w:t>喇叭、烟感、温感、摄像头等点位放线、开孔及修复。</w:t>
            </w:r>
          </w:p>
        </w:tc>
      </w:tr>
    </w:tbl>
    <w:p>
      <w:pPr>
        <w:widowControl/>
        <w:spacing w:before="124"/>
        <w:ind w:firstLine="482" w:firstLineChars="200"/>
        <w:rPr>
          <w:rFonts w:cs="Times New Roman" w:asciiTheme="minorEastAsia" w:hAnsiTheme="minorEastAsia"/>
          <w:b/>
          <w:bCs/>
          <w:color w:val="auto"/>
          <w:szCs w:val="21"/>
          <w:highlight w:val="none"/>
          <w:lang w:eastAsia="zh-CN"/>
        </w:rPr>
      </w:pPr>
      <w:r>
        <w:rPr>
          <w:rFonts w:hint="eastAsia" w:cs="Times New Roman" w:asciiTheme="minorEastAsia" w:hAnsiTheme="minorEastAsia"/>
          <w:b/>
          <w:bCs/>
          <w:color w:val="auto"/>
          <w:szCs w:val="21"/>
          <w:highlight w:val="none"/>
          <w:lang w:eastAsia="zh-CN"/>
        </w:rPr>
        <w:t>以上所有放线应有永久性参照，无参照者引起的其他专业的返工责任由精装承包人负责。</w:t>
      </w:r>
    </w:p>
    <w:p>
      <w:pPr>
        <w:widowControl/>
        <w:numPr>
          <w:ilvl w:val="0"/>
          <w:numId w:val="59"/>
        </w:numPr>
        <w:tabs>
          <w:tab w:val="left" w:pos="1240"/>
          <w:tab w:val="left" w:pos="1241"/>
        </w:tabs>
        <w:ind w:left="0"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总承包人提供给电梯安装单位基准线，电梯安装单位提供厅门地面十字线，精装承包人提供标高线并复核全部工作。</w:t>
      </w:r>
    </w:p>
    <w:p>
      <w:pPr>
        <w:pStyle w:val="5"/>
        <w:rPr>
          <w:color w:val="auto"/>
          <w:highlight w:val="none"/>
        </w:rPr>
      </w:pPr>
      <w:r>
        <w:rPr>
          <w:rFonts w:hint="eastAsia"/>
          <w:color w:val="auto"/>
          <w:highlight w:val="none"/>
        </w:rPr>
        <w:t>装饰工程技术要求</w:t>
      </w:r>
    </w:p>
    <w:p>
      <w:pPr>
        <w:widowControl/>
        <w:tabs>
          <w:tab w:val="left" w:pos="1531"/>
        </w:tabs>
        <w:ind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所有建筑装修项目在施工前须做单元样板。承包人应在指定的区间建造样板间。有关材料及操作工艺均以设计要求为标准。竣工的样板间由建筑设计师检验，经发包人、监理认可后，方可全面推行。否则，一切返工责任均由承包人承担。不合标准的样板间需有承包人自费拆卸及重新修建，直至合格为止。没有建筑设计师或发包人同意，承包人不得拆卸样板间或移走样板间内任何已批准的的样板。样板间将视为日后品质检验的标准及有关机电工程管线布置的根据。如有需要，建筑设计师将做细部上的修改。</w:t>
      </w:r>
    </w:p>
    <w:p>
      <w:pPr>
        <w:pStyle w:val="7"/>
        <w:rPr>
          <w:color w:val="auto"/>
          <w:highlight w:val="none"/>
        </w:rPr>
      </w:pPr>
      <w:r>
        <w:rPr>
          <w:rFonts w:hint="eastAsia"/>
          <w:color w:val="auto"/>
          <w:highlight w:val="none"/>
        </w:rPr>
        <w:t>定位放线技术及要求</w:t>
      </w:r>
    </w:p>
    <w:p>
      <w:pPr>
        <w:widowControl/>
        <w:ind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w:t>
      </w:r>
      <w:r>
        <w:rPr>
          <w:rFonts w:cs="Times New Roman" w:asciiTheme="minorEastAsia" w:hAnsiTheme="minorEastAsia"/>
          <w:color w:val="auto"/>
          <w:szCs w:val="24"/>
          <w:highlight w:val="none"/>
          <w:lang w:eastAsia="zh-CN"/>
        </w:rPr>
        <w:t>1</w:t>
      </w:r>
      <w:r>
        <w:rPr>
          <w:rFonts w:hint="eastAsia" w:cs="Times New Roman" w:asciiTheme="minorEastAsia" w:hAnsiTheme="minorEastAsia"/>
          <w:color w:val="auto"/>
          <w:szCs w:val="24"/>
          <w:highlight w:val="none"/>
          <w:lang w:eastAsia="zh-CN"/>
        </w:rPr>
        <w:t>）根据总平面图纸或深化设计图纸（必须是经发包人、监理人、设计人三方确定，经过图纸会审后）进行计量、测定、编制坐标定位。</w:t>
      </w:r>
    </w:p>
    <w:p>
      <w:pPr>
        <w:widowControl/>
        <w:ind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w:t>
      </w:r>
      <w:r>
        <w:rPr>
          <w:rFonts w:cs="Times New Roman" w:asciiTheme="minorEastAsia" w:hAnsiTheme="minorEastAsia"/>
          <w:color w:val="auto"/>
          <w:szCs w:val="24"/>
          <w:highlight w:val="none"/>
          <w:lang w:eastAsia="zh-CN"/>
        </w:rPr>
        <w:t>2</w:t>
      </w:r>
      <w:r>
        <w:rPr>
          <w:rFonts w:hint="eastAsia" w:cs="Times New Roman" w:asciiTheme="minorEastAsia" w:hAnsiTheme="minorEastAsia"/>
          <w:color w:val="auto"/>
          <w:szCs w:val="24"/>
          <w:highlight w:val="none"/>
          <w:lang w:eastAsia="zh-CN"/>
        </w:rPr>
        <w:t>）在总平面中按功能要求分区域及平面轴线及结构几何尺寸定位。</w:t>
      </w:r>
    </w:p>
    <w:p>
      <w:pPr>
        <w:widowControl/>
        <w:ind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w:t>
      </w:r>
      <w:r>
        <w:rPr>
          <w:rFonts w:cs="Times New Roman" w:asciiTheme="minorEastAsia" w:hAnsiTheme="minorEastAsia"/>
          <w:color w:val="auto"/>
          <w:szCs w:val="24"/>
          <w:highlight w:val="none"/>
          <w:lang w:eastAsia="zh-CN"/>
        </w:rPr>
        <w:t>3</w:t>
      </w:r>
      <w:r>
        <w:rPr>
          <w:rFonts w:hint="eastAsia" w:cs="Times New Roman" w:asciiTheme="minorEastAsia" w:hAnsiTheme="minorEastAsia"/>
          <w:color w:val="auto"/>
          <w:szCs w:val="24"/>
          <w:highlight w:val="none"/>
          <w:lang w:eastAsia="zh-CN"/>
        </w:rPr>
        <w:t>）根据立面图的设计要求，采用激光水平仪定位法，标出各功能区域的实际标高定位。</w:t>
      </w:r>
    </w:p>
    <w:p>
      <w:pPr>
        <w:pStyle w:val="6"/>
        <w:rPr>
          <w:color w:val="auto"/>
          <w:highlight w:val="none"/>
        </w:rPr>
      </w:pPr>
      <w:r>
        <w:rPr>
          <w:rFonts w:hint="eastAsia"/>
          <w:color w:val="auto"/>
          <w:highlight w:val="none"/>
        </w:rPr>
        <w:t>地面工程</w:t>
      </w:r>
    </w:p>
    <w:p>
      <w:pPr>
        <w:widowControl/>
        <w:ind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w:t>
      </w:r>
      <w:r>
        <w:rPr>
          <w:rFonts w:cs="Times New Roman" w:asciiTheme="minorEastAsia" w:hAnsiTheme="minorEastAsia"/>
          <w:color w:val="auto"/>
          <w:szCs w:val="24"/>
          <w:highlight w:val="none"/>
          <w:lang w:eastAsia="zh-CN"/>
        </w:rPr>
        <w:t>1</w:t>
      </w:r>
      <w:r>
        <w:rPr>
          <w:rFonts w:hint="eastAsia" w:cs="Times New Roman" w:asciiTheme="minorEastAsia" w:hAnsiTheme="minorEastAsia"/>
          <w:color w:val="auto"/>
          <w:szCs w:val="24"/>
          <w:highlight w:val="none"/>
          <w:lang w:eastAsia="zh-CN"/>
        </w:rPr>
        <w:t>）瓷砖面层：</w:t>
      </w:r>
    </w:p>
    <w:p>
      <w:pPr>
        <w:widowControl/>
        <w:tabs>
          <w:tab w:val="left" w:pos="0"/>
        </w:tabs>
        <w:ind w:firstLine="960" w:firstLineChars="400"/>
        <w:rPr>
          <w:rFonts w:cs="Times New Roman" w:asciiTheme="minorEastAsia" w:hAnsiTheme="minorEastAsia"/>
          <w:color w:val="auto"/>
          <w:szCs w:val="24"/>
          <w:highlight w:val="none"/>
          <w:lang w:eastAsia="zh-CN"/>
        </w:rPr>
      </w:pPr>
      <w:r>
        <w:rPr>
          <w:rFonts w:cs="Times New Roman" w:asciiTheme="minorEastAsia" w:hAnsiTheme="minorEastAsia"/>
          <w:color w:val="auto"/>
          <w:szCs w:val="24"/>
          <w:highlight w:val="none"/>
          <w:lang w:eastAsia="zh-CN"/>
        </w:rPr>
        <w:t>1</w:t>
      </w:r>
      <w:r>
        <w:rPr>
          <w:rFonts w:hint="eastAsia" w:cs="Times New Roman" w:asciiTheme="minorEastAsia" w:hAnsiTheme="minorEastAsia"/>
          <w:color w:val="auto"/>
          <w:szCs w:val="24"/>
          <w:highlight w:val="none"/>
          <w:lang w:eastAsia="zh-CN"/>
        </w:rPr>
        <w:t>）材料要求：</w:t>
      </w:r>
    </w:p>
    <w:p>
      <w:pPr>
        <w:pStyle w:val="9"/>
        <w:numPr>
          <w:ilvl w:val="1"/>
          <w:numId w:val="60"/>
        </w:numPr>
        <w:rPr>
          <w:color w:val="auto"/>
          <w:highlight w:val="none"/>
        </w:rPr>
      </w:pPr>
      <w:r>
        <w:rPr>
          <w:rFonts w:hint="eastAsia"/>
          <w:color w:val="auto"/>
          <w:highlight w:val="none"/>
        </w:rPr>
        <w:t>①硅酸盐水泥、普通硅酸盐水泥或矿渣硅酸盐水泥，其强度等级不小于</w:t>
      </w:r>
      <w:r>
        <w:rPr>
          <w:color w:val="auto"/>
          <w:highlight w:val="none"/>
        </w:rPr>
        <w:t>42.5MPa</w:t>
      </w:r>
      <w:r>
        <w:rPr>
          <w:rFonts w:hint="eastAsia"/>
          <w:color w:val="auto"/>
          <w:highlight w:val="none"/>
        </w:rPr>
        <w:t>。粗砂或中砂，用时过筛，其含泥量不大于</w:t>
      </w:r>
      <w:r>
        <w:rPr>
          <w:color w:val="auto"/>
          <w:highlight w:val="none"/>
        </w:rPr>
        <w:t>3%</w:t>
      </w:r>
      <w:r>
        <w:rPr>
          <w:rFonts w:hint="eastAsia"/>
          <w:color w:val="auto"/>
          <w:highlight w:val="none"/>
        </w:rPr>
        <w:t>。</w:t>
      </w:r>
    </w:p>
    <w:p>
      <w:pPr>
        <w:pStyle w:val="9"/>
        <w:numPr>
          <w:ilvl w:val="1"/>
          <w:numId w:val="60"/>
        </w:numPr>
        <w:rPr>
          <w:color w:val="auto"/>
          <w:highlight w:val="none"/>
        </w:rPr>
      </w:pPr>
      <w:r>
        <w:rPr>
          <w:rFonts w:hint="eastAsia"/>
          <w:color w:val="auto"/>
          <w:highlight w:val="none"/>
        </w:rPr>
        <w:t>②瓷砖面层的表面应洁净、图案清晰，色泽一致，接缝平整，深浅一致，周边顺直。板块无裂纹、掉角和缺楞等缺陷。所用材料应有出厂合格证，强度和品种不同的板块不得混杂使用。</w:t>
      </w:r>
    </w:p>
    <w:p>
      <w:pPr>
        <w:widowControl/>
        <w:tabs>
          <w:tab w:val="left" w:pos="0"/>
        </w:tabs>
        <w:ind w:firstLine="960" w:firstLineChars="400"/>
        <w:rPr>
          <w:rFonts w:cs="Times New Roman" w:asciiTheme="minorEastAsia" w:hAnsiTheme="minorEastAsia"/>
          <w:color w:val="auto"/>
          <w:szCs w:val="24"/>
          <w:highlight w:val="none"/>
          <w:lang w:eastAsia="zh-CN"/>
        </w:rPr>
      </w:pPr>
      <w:r>
        <w:rPr>
          <w:rFonts w:cs="Times New Roman" w:asciiTheme="minorEastAsia" w:hAnsiTheme="minorEastAsia"/>
          <w:color w:val="auto"/>
          <w:szCs w:val="24"/>
          <w:highlight w:val="none"/>
          <w:lang w:eastAsia="zh-CN"/>
        </w:rPr>
        <w:t>2</w:t>
      </w:r>
      <w:r>
        <w:rPr>
          <w:rFonts w:hint="eastAsia" w:cs="Times New Roman" w:asciiTheme="minorEastAsia" w:hAnsiTheme="minorEastAsia"/>
          <w:color w:val="auto"/>
          <w:szCs w:val="24"/>
          <w:highlight w:val="none"/>
          <w:lang w:eastAsia="zh-CN"/>
        </w:rPr>
        <w:t>）瓷砖面层施工技术要求</w:t>
      </w:r>
    </w:p>
    <w:p>
      <w:pPr>
        <w:pStyle w:val="9"/>
        <w:numPr>
          <w:ilvl w:val="1"/>
          <w:numId w:val="61"/>
        </w:numPr>
        <w:rPr>
          <w:color w:val="auto"/>
          <w:highlight w:val="none"/>
          <w:lang w:val="zh-CN"/>
        </w:rPr>
      </w:pPr>
      <w:r>
        <w:rPr>
          <w:rFonts w:hint="eastAsia"/>
          <w:color w:val="auto"/>
          <w:highlight w:val="none"/>
          <w:lang w:val="zh-CN"/>
        </w:rPr>
        <w:t>承包人应在瓷砖地面饰面施工前，组织花纹、颜色的分类和选配、排版工作，以达到同一块地面上的瓷砖、地砖饰面具有统一和谐的外观效果。而同一范围内的同类饰面不得出现明显的色泽、纹理不协调和突兀的情况。材料色泽及纹理组合现场观察样板必须经建筑设计师批准才可施工。</w:t>
      </w:r>
    </w:p>
    <w:p>
      <w:pPr>
        <w:pStyle w:val="9"/>
        <w:numPr>
          <w:ilvl w:val="1"/>
          <w:numId w:val="61"/>
        </w:numPr>
        <w:rPr>
          <w:color w:val="auto"/>
          <w:highlight w:val="none"/>
        </w:rPr>
      </w:pPr>
      <w:r>
        <w:rPr>
          <w:rFonts w:hint="eastAsia"/>
          <w:color w:val="auto"/>
          <w:highlight w:val="none"/>
        </w:rPr>
        <w:t>砖面层施工前穿过地面的套管已做完，管洞已堵实，防水层已按设计要求做好，并已做好隐检手续，墙面抹灰已做完；水平标高线已弹好。</w:t>
      </w:r>
    </w:p>
    <w:p>
      <w:pPr>
        <w:pStyle w:val="9"/>
        <w:numPr>
          <w:ilvl w:val="1"/>
          <w:numId w:val="61"/>
        </w:numPr>
        <w:rPr>
          <w:color w:val="auto"/>
          <w:highlight w:val="none"/>
        </w:rPr>
      </w:pPr>
      <w:r>
        <w:rPr>
          <w:rFonts w:hint="eastAsia"/>
          <w:color w:val="auto"/>
          <w:highlight w:val="none"/>
        </w:rPr>
        <w:t>基层面层清理，并洒水湿润。根据水平标高线，测量并弹出面层标高。根据地砖尺寸在基面上弹地砖铺设基准线。铺设前，对地砖进行挑选并湿润地砖。</w:t>
      </w:r>
    </w:p>
    <w:p>
      <w:pPr>
        <w:pStyle w:val="9"/>
        <w:numPr>
          <w:ilvl w:val="1"/>
          <w:numId w:val="61"/>
        </w:numPr>
        <w:rPr>
          <w:color w:val="auto"/>
          <w:highlight w:val="none"/>
        </w:rPr>
      </w:pPr>
      <w:r>
        <w:rPr>
          <w:rFonts w:hint="eastAsia"/>
          <w:color w:val="auto"/>
          <w:highlight w:val="none"/>
        </w:rPr>
        <w:t>地砖铺设完后需在</w:t>
      </w:r>
      <w:r>
        <w:rPr>
          <w:color w:val="auto"/>
          <w:highlight w:val="none"/>
        </w:rPr>
        <w:t>24</w:t>
      </w:r>
      <w:r>
        <w:rPr>
          <w:rFonts w:hint="eastAsia"/>
          <w:color w:val="auto"/>
          <w:highlight w:val="none"/>
        </w:rPr>
        <w:t>小时之内擦缝，铺设地砖的养护不少于</w:t>
      </w:r>
      <w:r>
        <w:rPr>
          <w:color w:val="auto"/>
          <w:highlight w:val="none"/>
        </w:rPr>
        <w:t>7</w:t>
      </w:r>
      <w:r>
        <w:rPr>
          <w:rFonts w:hint="eastAsia"/>
          <w:color w:val="auto"/>
          <w:highlight w:val="none"/>
        </w:rPr>
        <w:t>天。</w:t>
      </w:r>
    </w:p>
    <w:p>
      <w:pPr>
        <w:widowControl/>
        <w:tabs>
          <w:tab w:val="left" w:pos="0"/>
        </w:tabs>
        <w:ind w:firstLine="960" w:firstLineChars="400"/>
        <w:rPr>
          <w:rFonts w:cs="Times New Roman" w:asciiTheme="minorEastAsia" w:hAnsiTheme="minorEastAsia"/>
          <w:color w:val="auto"/>
          <w:szCs w:val="24"/>
          <w:highlight w:val="none"/>
          <w:lang w:eastAsia="zh-CN"/>
        </w:rPr>
      </w:pPr>
      <w:r>
        <w:rPr>
          <w:rFonts w:cs="Times New Roman" w:asciiTheme="minorEastAsia" w:hAnsiTheme="minorEastAsia"/>
          <w:color w:val="auto"/>
          <w:szCs w:val="24"/>
          <w:highlight w:val="none"/>
          <w:lang w:eastAsia="zh-CN"/>
        </w:rPr>
        <w:t>3</w:t>
      </w:r>
      <w:r>
        <w:rPr>
          <w:rFonts w:hint="eastAsia" w:cs="Times New Roman" w:asciiTheme="minorEastAsia" w:hAnsiTheme="minorEastAsia"/>
          <w:color w:val="auto"/>
          <w:szCs w:val="24"/>
          <w:highlight w:val="none"/>
          <w:lang w:eastAsia="zh-CN"/>
        </w:rPr>
        <w:t>）质量检验要求：</w:t>
      </w:r>
    </w:p>
    <w:p>
      <w:pPr>
        <w:widowControl/>
        <w:ind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地面平整色泽基本调和，不得有空鼓现象。表面平整≤</w:t>
      </w:r>
      <w:r>
        <w:rPr>
          <w:rFonts w:cs="Times New Roman" w:asciiTheme="minorEastAsia" w:hAnsiTheme="minorEastAsia"/>
          <w:color w:val="auto"/>
          <w:szCs w:val="24"/>
          <w:highlight w:val="none"/>
          <w:lang w:eastAsia="zh-CN"/>
        </w:rPr>
        <w:t>1mm</w:t>
      </w:r>
      <w:r>
        <w:rPr>
          <w:rFonts w:hint="eastAsia" w:cs="Times New Roman" w:asciiTheme="minorEastAsia" w:hAnsiTheme="minorEastAsia"/>
          <w:color w:val="auto"/>
          <w:szCs w:val="24"/>
          <w:highlight w:val="none"/>
          <w:lang w:eastAsia="zh-CN"/>
        </w:rPr>
        <w:t>（光面），（用</w:t>
      </w:r>
      <w:r>
        <w:rPr>
          <w:rFonts w:cs="Times New Roman" w:asciiTheme="minorEastAsia" w:hAnsiTheme="minorEastAsia"/>
          <w:color w:val="auto"/>
          <w:szCs w:val="24"/>
          <w:highlight w:val="none"/>
          <w:lang w:eastAsia="zh-CN"/>
        </w:rPr>
        <w:t>2m</w:t>
      </w:r>
      <w:r>
        <w:rPr>
          <w:rFonts w:hint="eastAsia" w:cs="Times New Roman" w:asciiTheme="minorEastAsia" w:hAnsiTheme="minorEastAsia"/>
          <w:color w:val="auto"/>
          <w:szCs w:val="24"/>
          <w:highlight w:val="none"/>
          <w:lang w:eastAsia="zh-CN"/>
        </w:rPr>
        <w:t>靠尺和锲形塞尺检查）</w:t>
      </w:r>
      <w:r>
        <w:rPr>
          <w:rFonts w:cs="Times New Roman" w:asciiTheme="minorEastAsia" w:hAnsiTheme="minorEastAsia"/>
          <w:color w:val="auto"/>
          <w:szCs w:val="24"/>
          <w:highlight w:val="none"/>
          <w:lang w:eastAsia="zh-CN"/>
        </w:rPr>
        <w:t xml:space="preserve">, </w:t>
      </w:r>
      <w:r>
        <w:rPr>
          <w:rFonts w:hint="eastAsia" w:cs="Times New Roman" w:asciiTheme="minorEastAsia" w:hAnsiTheme="minorEastAsia"/>
          <w:color w:val="auto"/>
          <w:szCs w:val="24"/>
          <w:highlight w:val="none"/>
          <w:lang w:eastAsia="zh-CN"/>
        </w:rPr>
        <w:t>接缝平直≤</w:t>
      </w:r>
      <w:r>
        <w:rPr>
          <w:rFonts w:cs="Times New Roman" w:asciiTheme="minorEastAsia" w:hAnsiTheme="minorEastAsia"/>
          <w:color w:val="auto"/>
          <w:szCs w:val="24"/>
          <w:highlight w:val="none"/>
          <w:lang w:eastAsia="zh-CN"/>
        </w:rPr>
        <w:t>2mm</w:t>
      </w:r>
      <w:r>
        <w:rPr>
          <w:rFonts w:hint="eastAsia" w:cs="Times New Roman" w:asciiTheme="minorEastAsia" w:hAnsiTheme="minorEastAsia"/>
          <w:color w:val="auto"/>
          <w:szCs w:val="24"/>
          <w:highlight w:val="none"/>
          <w:lang w:eastAsia="zh-CN"/>
        </w:rPr>
        <w:t>（拉</w:t>
      </w:r>
      <w:r>
        <w:rPr>
          <w:rFonts w:cs="Times New Roman" w:asciiTheme="minorEastAsia" w:hAnsiTheme="minorEastAsia"/>
          <w:color w:val="auto"/>
          <w:szCs w:val="24"/>
          <w:highlight w:val="none"/>
          <w:lang w:eastAsia="zh-CN"/>
        </w:rPr>
        <w:t>5m</w:t>
      </w:r>
      <w:r>
        <w:rPr>
          <w:rFonts w:hint="eastAsia" w:cs="Times New Roman" w:asciiTheme="minorEastAsia" w:hAnsiTheme="minorEastAsia"/>
          <w:color w:val="auto"/>
          <w:szCs w:val="24"/>
          <w:highlight w:val="none"/>
          <w:lang w:eastAsia="zh-CN"/>
        </w:rPr>
        <w:t>线检查</w:t>
      </w:r>
      <w:r>
        <w:rPr>
          <w:rFonts w:cs="Times New Roman" w:asciiTheme="minorEastAsia" w:hAnsiTheme="minorEastAsia"/>
          <w:color w:val="auto"/>
          <w:szCs w:val="24"/>
          <w:highlight w:val="none"/>
          <w:lang w:eastAsia="zh-CN"/>
        </w:rPr>
        <w:t>,</w:t>
      </w:r>
      <w:r>
        <w:rPr>
          <w:rFonts w:hint="eastAsia" w:cs="Times New Roman" w:asciiTheme="minorEastAsia" w:hAnsiTheme="minorEastAsia"/>
          <w:color w:val="auto"/>
          <w:szCs w:val="24"/>
          <w:highlight w:val="none"/>
          <w:lang w:eastAsia="zh-CN"/>
        </w:rPr>
        <w:t>不足</w:t>
      </w:r>
      <w:r>
        <w:rPr>
          <w:rFonts w:cs="Times New Roman" w:asciiTheme="minorEastAsia" w:hAnsiTheme="minorEastAsia"/>
          <w:color w:val="auto"/>
          <w:szCs w:val="24"/>
          <w:highlight w:val="none"/>
          <w:lang w:eastAsia="zh-CN"/>
        </w:rPr>
        <w:t>5m</w:t>
      </w:r>
      <w:r>
        <w:rPr>
          <w:rFonts w:hint="eastAsia" w:cs="Times New Roman" w:asciiTheme="minorEastAsia" w:hAnsiTheme="minorEastAsia"/>
          <w:color w:val="auto"/>
          <w:szCs w:val="24"/>
          <w:highlight w:val="none"/>
          <w:lang w:eastAsia="zh-CN"/>
        </w:rPr>
        <w:t>拉通线检查）</w:t>
      </w:r>
      <w:r>
        <w:rPr>
          <w:rFonts w:cs="Times New Roman" w:asciiTheme="minorEastAsia" w:hAnsiTheme="minorEastAsia"/>
          <w:color w:val="auto"/>
          <w:szCs w:val="24"/>
          <w:highlight w:val="none"/>
          <w:lang w:eastAsia="zh-CN"/>
        </w:rPr>
        <w:t>;</w:t>
      </w:r>
      <w:r>
        <w:rPr>
          <w:rFonts w:hint="eastAsia" w:cs="Times New Roman" w:asciiTheme="minorEastAsia" w:hAnsiTheme="minorEastAsia"/>
          <w:color w:val="auto"/>
          <w:szCs w:val="24"/>
          <w:highlight w:val="none"/>
          <w:lang w:eastAsia="zh-CN"/>
        </w:rPr>
        <w:t>接缝高低≤</w:t>
      </w:r>
      <w:r>
        <w:rPr>
          <w:rFonts w:cs="Times New Roman" w:asciiTheme="minorEastAsia" w:hAnsiTheme="minorEastAsia"/>
          <w:color w:val="auto"/>
          <w:szCs w:val="24"/>
          <w:highlight w:val="none"/>
          <w:lang w:eastAsia="zh-CN"/>
        </w:rPr>
        <w:t>0.3mm;</w:t>
      </w:r>
      <w:r>
        <w:rPr>
          <w:rFonts w:hint="eastAsia" w:cs="Times New Roman" w:asciiTheme="minorEastAsia" w:hAnsiTheme="minorEastAsia"/>
          <w:color w:val="auto"/>
          <w:szCs w:val="24"/>
          <w:highlight w:val="none"/>
          <w:lang w:eastAsia="zh-CN"/>
        </w:rPr>
        <w:t>接缝宽度≤</w:t>
      </w:r>
      <w:r>
        <w:rPr>
          <w:rFonts w:cs="Times New Roman" w:asciiTheme="minorEastAsia" w:hAnsiTheme="minorEastAsia"/>
          <w:color w:val="auto"/>
          <w:szCs w:val="24"/>
          <w:highlight w:val="none"/>
          <w:lang w:eastAsia="zh-CN"/>
        </w:rPr>
        <w:t>0.5mm</w:t>
      </w:r>
      <w:r>
        <w:rPr>
          <w:rFonts w:hint="eastAsia" w:cs="Times New Roman" w:asciiTheme="minorEastAsia" w:hAnsiTheme="minorEastAsia"/>
          <w:color w:val="auto"/>
          <w:szCs w:val="24"/>
          <w:highlight w:val="none"/>
          <w:lang w:eastAsia="zh-CN"/>
        </w:rPr>
        <w:t>。</w:t>
      </w:r>
    </w:p>
    <w:p>
      <w:pPr>
        <w:widowControl/>
        <w:tabs>
          <w:tab w:val="left" w:pos="0"/>
        </w:tabs>
        <w:ind w:firstLine="960" w:firstLineChars="400"/>
        <w:rPr>
          <w:rFonts w:cs="Times New Roman" w:asciiTheme="minorEastAsia" w:hAnsiTheme="minorEastAsia"/>
          <w:color w:val="auto"/>
          <w:szCs w:val="24"/>
          <w:highlight w:val="none"/>
          <w:lang w:eastAsia="zh-CN"/>
        </w:rPr>
      </w:pPr>
      <w:r>
        <w:rPr>
          <w:rFonts w:cs="Times New Roman" w:asciiTheme="minorEastAsia" w:hAnsiTheme="minorEastAsia"/>
          <w:color w:val="auto"/>
          <w:szCs w:val="24"/>
          <w:highlight w:val="none"/>
          <w:lang w:eastAsia="zh-CN"/>
        </w:rPr>
        <w:t>4</w:t>
      </w:r>
      <w:r>
        <w:rPr>
          <w:rFonts w:hint="eastAsia" w:cs="Times New Roman" w:asciiTheme="minorEastAsia" w:hAnsiTheme="minorEastAsia"/>
          <w:color w:val="auto"/>
          <w:szCs w:val="24"/>
          <w:highlight w:val="none"/>
          <w:lang w:eastAsia="zh-CN"/>
        </w:rPr>
        <w:t>）成品、半成品保护：</w:t>
      </w:r>
    </w:p>
    <w:p>
      <w:pPr>
        <w:pStyle w:val="9"/>
        <w:numPr>
          <w:ilvl w:val="1"/>
          <w:numId w:val="62"/>
        </w:numPr>
        <w:rPr>
          <w:color w:val="auto"/>
          <w:highlight w:val="none"/>
        </w:rPr>
      </w:pPr>
      <w:r>
        <w:rPr>
          <w:rFonts w:hint="eastAsia"/>
          <w:color w:val="auto"/>
          <w:highlight w:val="none"/>
        </w:rPr>
        <w:t>施工人员应穿软底鞋，并要做到随砌随揩净。</w:t>
      </w:r>
    </w:p>
    <w:p>
      <w:pPr>
        <w:pStyle w:val="9"/>
        <w:numPr>
          <w:ilvl w:val="1"/>
          <w:numId w:val="62"/>
        </w:numPr>
        <w:rPr>
          <w:color w:val="auto"/>
          <w:highlight w:val="none"/>
        </w:rPr>
      </w:pPr>
      <w:r>
        <w:rPr>
          <w:rFonts w:hint="eastAsia"/>
          <w:color w:val="auto"/>
          <w:highlight w:val="none"/>
        </w:rPr>
        <w:t>铺砌好地面的房间应临时封闭，当必需进入施工时，应在地面上作必要的铺垫保护，要避免重物铁器碰伤或划痕。</w:t>
      </w:r>
    </w:p>
    <w:p>
      <w:pPr>
        <w:widowControl/>
        <w:tabs>
          <w:tab w:val="left" w:pos="2940"/>
        </w:tabs>
        <w:ind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w:t>
      </w:r>
      <w:r>
        <w:rPr>
          <w:rFonts w:cs="Times New Roman" w:asciiTheme="minorEastAsia" w:hAnsiTheme="minorEastAsia"/>
          <w:color w:val="auto"/>
          <w:szCs w:val="24"/>
          <w:highlight w:val="none"/>
          <w:lang w:eastAsia="zh-CN"/>
        </w:rPr>
        <w:t>2</w:t>
      </w:r>
      <w:r>
        <w:rPr>
          <w:rFonts w:hint="eastAsia" w:cs="Times New Roman" w:asciiTheme="minorEastAsia" w:hAnsiTheme="minorEastAsia"/>
          <w:color w:val="auto"/>
          <w:szCs w:val="24"/>
          <w:highlight w:val="none"/>
          <w:lang w:eastAsia="zh-CN"/>
        </w:rPr>
        <w:t>）抗静电同质透心</w:t>
      </w:r>
      <w:r>
        <w:rPr>
          <w:rFonts w:cs="Times New Roman" w:asciiTheme="minorEastAsia" w:hAnsiTheme="minorEastAsia"/>
          <w:color w:val="auto"/>
          <w:szCs w:val="24"/>
          <w:highlight w:val="none"/>
          <w:lang w:eastAsia="zh-CN"/>
        </w:rPr>
        <w:t>PVC</w:t>
      </w:r>
      <w:r>
        <w:rPr>
          <w:rFonts w:hint="eastAsia" w:cs="Times New Roman" w:asciiTheme="minorEastAsia" w:hAnsiTheme="minorEastAsia"/>
          <w:color w:val="auto"/>
          <w:szCs w:val="24"/>
          <w:highlight w:val="none"/>
          <w:lang w:eastAsia="zh-CN"/>
        </w:rPr>
        <w:t>地板面层：</w:t>
      </w:r>
    </w:p>
    <w:p>
      <w:pPr>
        <w:pStyle w:val="8"/>
        <w:numPr>
          <w:ilvl w:val="0"/>
          <w:numId w:val="63"/>
        </w:numPr>
        <w:rPr>
          <w:color w:val="auto"/>
          <w:highlight w:val="none"/>
        </w:rPr>
      </w:pPr>
      <w:r>
        <w:rPr>
          <w:rFonts w:hint="eastAsia"/>
          <w:color w:val="auto"/>
          <w:highlight w:val="none"/>
        </w:rPr>
        <w:t>地坪检测</w:t>
      </w:r>
    </w:p>
    <w:p>
      <w:pPr>
        <w:pStyle w:val="9"/>
        <w:numPr>
          <w:ilvl w:val="1"/>
          <w:numId w:val="64"/>
        </w:numPr>
        <w:rPr>
          <w:color w:val="auto"/>
          <w:highlight w:val="none"/>
        </w:rPr>
      </w:pPr>
      <w:r>
        <w:rPr>
          <w:rFonts w:hint="eastAsia"/>
          <w:color w:val="auto"/>
          <w:highlight w:val="none"/>
        </w:rPr>
        <w:t>平整度：平整度是指基层地面的平整度，地面</w:t>
      </w:r>
      <w:r>
        <w:rPr>
          <w:color w:val="auto"/>
          <w:highlight w:val="none"/>
        </w:rPr>
        <w:t>2</w:t>
      </w:r>
      <w:r>
        <w:rPr>
          <w:rFonts w:hint="eastAsia"/>
          <w:color w:val="auto"/>
          <w:highlight w:val="none"/>
        </w:rPr>
        <w:t>米以内误差不大于</w:t>
      </w:r>
      <w:r>
        <w:rPr>
          <w:color w:val="auto"/>
          <w:highlight w:val="none"/>
        </w:rPr>
        <w:t>2mm</w:t>
      </w:r>
      <w:r>
        <w:rPr>
          <w:rFonts w:hint="eastAsia"/>
          <w:color w:val="auto"/>
          <w:highlight w:val="none"/>
        </w:rPr>
        <w:t xml:space="preserve">。  </w:t>
      </w:r>
    </w:p>
    <w:p>
      <w:pPr>
        <w:pStyle w:val="9"/>
        <w:numPr>
          <w:ilvl w:val="1"/>
          <w:numId w:val="64"/>
        </w:numPr>
        <w:rPr>
          <w:color w:val="auto"/>
          <w:highlight w:val="none"/>
        </w:rPr>
      </w:pPr>
      <w:r>
        <w:rPr>
          <w:rFonts w:hint="eastAsia"/>
          <w:color w:val="auto"/>
          <w:highlight w:val="none"/>
        </w:rPr>
        <w:t>含水率：保证地面充分干燥，含水率要低于</w:t>
      </w:r>
      <w:r>
        <w:rPr>
          <w:color w:val="auto"/>
          <w:highlight w:val="none"/>
        </w:rPr>
        <w:t>6%</w:t>
      </w:r>
      <w:r>
        <w:rPr>
          <w:rFonts w:hint="eastAsia"/>
          <w:color w:val="auto"/>
          <w:highlight w:val="none"/>
        </w:rPr>
        <w:t xml:space="preserve">，对于经常有潮气渗出的地面，需做防水处理。  </w:t>
      </w:r>
    </w:p>
    <w:p>
      <w:pPr>
        <w:pStyle w:val="9"/>
        <w:numPr>
          <w:ilvl w:val="1"/>
          <w:numId w:val="64"/>
        </w:numPr>
        <w:rPr>
          <w:color w:val="auto"/>
          <w:highlight w:val="none"/>
        </w:rPr>
      </w:pPr>
      <w:r>
        <w:rPr>
          <w:rFonts w:hint="eastAsia"/>
          <w:color w:val="auto"/>
          <w:highlight w:val="none"/>
        </w:rPr>
        <w:t>强度：地面应不能有空鼓和起砂的现象，并要有足够的承载力。</w:t>
      </w:r>
    </w:p>
    <w:p>
      <w:pPr>
        <w:pStyle w:val="9"/>
        <w:numPr>
          <w:ilvl w:val="1"/>
          <w:numId w:val="64"/>
        </w:numPr>
        <w:rPr>
          <w:color w:val="auto"/>
          <w:highlight w:val="none"/>
        </w:rPr>
      </w:pPr>
      <w:r>
        <w:rPr>
          <w:rFonts w:hint="eastAsia"/>
          <w:color w:val="auto"/>
          <w:highlight w:val="none"/>
        </w:rPr>
        <w:t>清洁度：地面应无灰尘、油污、酸碱等会影响胶水粘性的杂质</w:t>
      </w:r>
    </w:p>
    <w:p>
      <w:pPr>
        <w:pStyle w:val="8"/>
        <w:numPr>
          <w:ilvl w:val="0"/>
          <w:numId w:val="63"/>
        </w:numPr>
        <w:rPr>
          <w:color w:val="auto"/>
          <w:highlight w:val="none"/>
        </w:rPr>
      </w:pPr>
      <w:r>
        <w:rPr>
          <w:rFonts w:hint="eastAsia"/>
          <w:color w:val="auto"/>
          <w:highlight w:val="none"/>
        </w:rPr>
        <w:t>地坪预处理基本要求：</w:t>
      </w:r>
    </w:p>
    <w:p>
      <w:pPr>
        <w:widowControl/>
        <w:ind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地面表面基层应当平整，干燥，坚固，没有灰尘和油污等，阴角处应用水泥砂浆做成小圆弧（</w:t>
      </w:r>
      <w:r>
        <w:rPr>
          <w:rFonts w:cs="Times New Roman" w:asciiTheme="minorEastAsia" w:hAnsiTheme="minorEastAsia"/>
          <w:color w:val="auto"/>
          <w:szCs w:val="24"/>
          <w:highlight w:val="none"/>
          <w:lang w:eastAsia="zh-CN"/>
        </w:rPr>
        <w:t>R=5-6CM</w:t>
      </w:r>
      <w:r>
        <w:rPr>
          <w:rFonts w:hint="eastAsia" w:cs="Times New Roman" w:asciiTheme="minorEastAsia" w:hAnsiTheme="minorEastAsia"/>
          <w:color w:val="auto"/>
          <w:szCs w:val="24"/>
          <w:highlight w:val="none"/>
          <w:lang w:eastAsia="zh-CN"/>
        </w:rPr>
        <w:t>）。</w:t>
      </w:r>
    </w:p>
    <w:p>
      <w:pPr>
        <w:pStyle w:val="8"/>
        <w:numPr>
          <w:ilvl w:val="0"/>
          <w:numId w:val="63"/>
        </w:numPr>
        <w:rPr>
          <w:color w:val="auto"/>
          <w:highlight w:val="none"/>
        </w:rPr>
      </w:pPr>
      <w:r>
        <w:rPr>
          <w:rFonts w:hint="eastAsia"/>
          <w:color w:val="auto"/>
          <w:highlight w:val="none"/>
        </w:rPr>
        <w:t>施工要求</w:t>
      </w:r>
    </w:p>
    <w:p>
      <w:pPr>
        <w:pStyle w:val="8"/>
        <w:numPr>
          <w:ilvl w:val="0"/>
          <w:numId w:val="63"/>
        </w:numPr>
        <w:rPr>
          <w:color w:val="auto"/>
          <w:highlight w:val="none"/>
        </w:rPr>
      </w:pPr>
      <w:r>
        <w:rPr>
          <w:rFonts w:hint="eastAsia"/>
          <w:color w:val="auto"/>
          <w:highlight w:val="none"/>
        </w:rPr>
        <w:t xml:space="preserve">基层底涂处理  </w:t>
      </w:r>
    </w:p>
    <w:p>
      <w:pPr>
        <w:widowControl/>
        <w:ind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底油的目的是将地表基层与自流平水泥隔开，并有一定程度的防潮功能。根据不同的生产厂商的要求，加水比例可以根据厂商的建议来进行。加水后务必进行充分的搅拌，然后用不掉毛的滚筒将底油按照厂商提供底油可以适当加一些水，的使用量均匀的涂在地表，特别干燥的地面可以分两次来涂刷底油，使用量与一次涂刷一样，间隔时间根据底油的变色情况来确定。</w:t>
      </w:r>
    </w:p>
    <w:p>
      <w:pPr>
        <w:pStyle w:val="8"/>
        <w:numPr>
          <w:ilvl w:val="0"/>
          <w:numId w:val="63"/>
        </w:numPr>
        <w:rPr>
          <w:color w:val="auto"/>
          <w:highlight w:val="none"/>
        </w:rPr>
      </w:pPr>
      <w:r>
        <w:rPr>
          <w:rFonts w:hint="eastAsia"/>
          <w:color w:val="auto"/>
          <w:highlight w:val="none"/>
        </w:rPr>
        <w:t xml:space="preserve">自流平施工—搅拌  </w:t>
      </w:r>
    </w:p>
    <w:p>
      <w:pPr>
        <w:widowControl/>
        <w:tabs>
          <w:tab w:val="left" w:pos="0"/>
        </w:tabs>
        <w:ind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在搅拌之前的准备工作一定要做充分，一组施工人员最好备用多个水桶，其中一个用来搅拌，一个用来量水，一个用来盛水。量水的水桶一定要精确，要严格按照厂家提供的水配比建议。搅拌器一定要选择功率大的搅拌器，并且可以调速，起先放在低速成档上，因为刚开始搅拌时需要较大的离心力，待水泥完全融入水中以后可以放在中速档上，再搅拌</w:t>
      </w:r>
      <w:r>
        <w:rPr>
          <w:rFonts w:cs="Times New Roman" w:asciiTheme="minorEastAsia" w:hAnsiTheme="minorEastAsia"/>
          <w:color w:val="auto"/>
          <w:szCs w:val="24"/>
          <w:highlight w:val="none"/>
          <w:lang w:eastAsia="zh-CN"/>
        </w:rPr>
        <w:t>2</w:t>
      </w:r>
      <w:r>
        <w:rPr>
          <w:rFonts w:hint="eastAsia" w:cs="Times New Roman" w:asciiTheme="minorEastAsia" w:hAnsiTheme="minorEastAsia"/>
          <w:color w:val="auto"/>
          <w:szCs w:val="24"/>
          <w:highlight w:val="none"/>
          <w:lang w:eastAsia="zh-CN"/>
        </w:rPr>
        <w:t>—</w:t>
      </w:r>
      <w:r>
        <w:rPr>
          <w:rFonts w:cs="Times New Roman" w:asciiTheme="minorEastAsia" w:hAnsiTheme="minorEastAsia"/>
          <w:color w:val="auto"/>
          <w:szCs w:val="24"/>
          <w:highlight w:val="none"/>
          <w:lang w:eastAsia="zh-CN"/>
        </w:rPr>
        <w:t>3</w:t>
      </w:r>
      <w:r>
        <w:rPr>
          <w:rFonts w:hint="eastAsia" w:cs="Times New Roman" w:asciiTheme="minorEastAsia" w:hAnsiTheme="minorEastAsia"/>
          <w:color w:val="auto"/>
          <w:szCs w:val="24"/>
          <w:highlight w:val="none"/>
          <w:lang w:eastAsia="zh-CN"/>
        </w:rPr>
        <w:t>分钟。搅拌完</w:t>
      </w:r>
      <w:r>
        <w:rPr>
          <w:rFonts w:cs="Times New Roman" w:asciiTheme="minorEastAsia" w:hAnsiTheme="minorEastAsia"/>
          <w:color w:val="auto"/>
          <w:szCs w:val="24"/>
          <w:highlight w:val="none"/>
          <w:lang w:eastAsia="zh-CN"/>
        </w:rPr>
        <w:t>4</w:t>
      </w:r>
      <w:r>
        <w:rPr>
          <w:rFonts w:hint="eastAsia" w:cs="Times New Roman" w:asciiTheme="minorEastAsia" w:hAnsiTheme="minorEastAsia"/>
          <w:color w:val="auto"/>
          <w:szCs w:val="24"/>
          <w:highlight w:val="none"/>
          <w:lang w:eastAsia="zh-CN"/>
        </w:rPr>
        <w:t>—</w:t>
      </w:r>
      <w:r>
        <w:rPr>
          <w:rFonts w:cs="Times New Roman" w:asciiTheme="minorEastAsia" w:hAnsiTheme="minorEastAsia"/>
          <w:color w:val="auto"/>
          <w:szCs w:val="24"/>
          <w:highlight w:val="none"/>
          <w:lang w:eastAsia="zh-CN"/>
        </w:rPr>
        <w:t>6</w:t>
      </w:r>
      <w:r>
        <w:rPr>
          <w:rFonts w:hint="eastAsia" w:cs="Times New Roman" w:asciiTheme="minorEastAsia" w:hAnsiTheme="minorEastAsia"/>
          <w:color w:val="auto"/>
          <w:szCs w:val="24"/>
          <w:highlight w:val="none"/>
          <w:lang w:eastAsia="zh-CN"/>
        </w:rPr>
        <w:t>桶后应当清洗搅拌头，以防时间久后自流平在桶壁和搅拌头凝结成块。搅拌头直径的选择根据桶内径的大小，一般情况下，桶内径为搅拌头直径的</w:t>
      </w:r>
      <w:r>
        <w:rPr>
          <w:rFonts w:cs="Times New Roman" w:asciiTheme="minorEastAsia" w:hAnsiTheme="minorEastAsia"/>
          <w:color w:val="auto"/>
          <w:szCs w:val="24"/>
          <w:highlight w:val="none"/>
          <w:lang w:eastAsia="zh-CN"/>
        </w:rPr>
        <w:t>2.5</w:t>
      </w:r>
      <w:r>
        <w:rPr>
          <w:rFonts w:hint="eastAsia" w:cs="Times New Roman" w:asciiTheme="minorEastAsia" w:hAnsiTheme="minorEastAsia"/>
          <w:color w:val="auto"/>
          <w:szCs w:val="24"/>
          <w:highlight w:val="none"/>
          <w:lang w:eastAsia="zh-CN"/>
        </w:rPr>
        <w:t xml:space="preserve">倍。  </w:t>
      </w:r>
    </w:p>
    <w:p>
      <w:pPr>
        <w:pStyle w:val="8"/>
        <w:numPr>
          <w:ilvl w:val="0"/>
          <w:numId w:val="63"/>
        </w:numPr>
        <w:rPr>
          <w:color w:val="auto"/>
          <w:highlight w:val="none"/>
        </w:rPr>
      </w:pPr>
      <w:r>
        <w:rPr>
          <w:rFonts w:hint="eastAsia"/>
          <w:color w:val="auto"/>
          <w:highlight w:val="none"/>
        </w:rPr>
        <w:t xml:space="preserve">自流平施工-铺设、排气  </w:t>
      </w:r>
    </w:p>
    <w:p>
      <w:pPr>
        <w:widowControl/>
        <w:tabs>
          <w:tab w:val="left" w:pos="0"/>
        </w:tabs>
        <w:ind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先用铲刀将地面上原有的石膏，油漆，水泥硬块等到突起物铲除，用高标号水泥拌</w:t>
      </w:r>
      <w:r>
        <w:rPr>
          <w:rFonts w:cs="Times New Roman" w:asciiTheme="minorEastAsia" w:hAnsiTheme="minorEastAsia"/>
          <w:color w:val="auto"/>
          <w:szCs w:val="24"/>
          <w:highlight w:val="none"/>
          <w:lang w:eastAsia="zh-CN"/>
        </w:rPr>
        <w:t>108</w:t>
      </w:r>
      <w:r>
        <w:rPr>
          <w:rFonts w:hint="eastAsia" w:cs="Times New Roman" w:asciiTheme="minorEastAsia" w:hAnsiTheme="minorEastAsia"/>
          <w:color w:val="auto"/>
          <w:szCs w:val="24"/>
          <w:highlight w:val="none"/>
          <w:lang w:eastAsia="zh-CN"/>
        </w:rPr>
        <w:t>胶水垫平地表的坑洼及裂缝，做到地面平整要求；再用打磨机将整个地面打磨一遍，以确保地面没有突起和松动的地表；然后将平整过的地面自然风干或用加热方式将其快速风干，使整个地面含水率不超过</w:t>
      </w:r>
      <w:r>
        <w:rPr>
          <w:rFonts w:cs="Times New Roman" w:asciiTheme="minorEastAsia" w:hAnsiTheme="minorEastAsia"/>
          <w:color w:val="auto"/>
          <w:szCs w:val="24"/>
          <w:highlight w:val="none"/>
          <w:lang w:eastAsia="zh-CN"/>
        </w:rPr>
        <w:t>6%</w:t>
      </w:r>
      <w:r>
        <w:rPr>
          <w:rFonts w:hint="eastAsia" w:cs="Times New Roman" w:asciiTheme="minorEastAsia" w:hAnsiTheme="minorEastAsia"/>
          <w:color w:val="auto"/>
          <w:szCs w:val="24"/>
          <w:highlight w:val="none"/>
          <w:lang w:eastAsia="zh-CN"/>
        </w:rPr>
        <w:t>；再用扫帚将地面及各个角落清扫干净；用水平测量仪将地表上特别高出的地方结合粉笔将其圈出，再用打磨机在这局部高处进行精磨，使该处与其旁边地面厚度差不超过</w:t>
      </w:r>
      <w:r>
        <w:rPr>
          <w:rFonts w:cs="Times New Roman" w:asciiTheme="minorEastAsia" w:hAnsiTheme="minorEastAsia"/>
          <w:color w:val="auto"/>
          <w:szCs w:val="24"/>
          <w:highlight w:val="none"/>
          <w:lang w:eastAsia="zh-CN"/>
        </w:rPr>
        <w:t>2.0</w:t>
      </w:r>
      <w:r>
        <w:rPr>
          <w:rFonts w:hint="eastAsia" w:cs="Times New Roman" w:asciiTheme="minorEastAsia" w:hAnsiTheme="minorEastAsia"/>
          <w:color w:val="auto"/>
          <w:szCs w:val="24"/>
          <w:highlight w:val="none"/>
          <w:lang w:eastAsia="zh-CN"/>
        </w:rPr>
        <w:t>毫米；最后用吸尘器将所施工地面完整的吸几遍，务必清除地面微小颗粒。</w:t>
      </w:r>
    </w:p>
    <w:p>
      <w:pPr>
        <w:pStyle w:val="8"/>
        <w:numPr>
          <w:ilvl w:val="0"/>
          <w:numId w:val="63"/>
        </w:numPr>
        <w:rPr>
          <w:color w:val="auto"/>
          <w:highlight w:val="none"/>
        </w:rPr>
      </w:pPr>
      <w:r>
        <w:rPr>
          <w:rFonts w:hint="eastAsia"/>
          <w:color w:val="auto"/>
          <w:highlight w:val="none"/>
        </w:rPr>
        <w:t>地板的铺装-粘贴</w:t>
      </w:r>
    </w:p>
    <w:p>
      <w:pPr>
        <w:widowControl/>
        <w:ind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将胶地板均匀牢固的固定在地面上，将地板搭接部分处理成略留有缝隙的拼接处理：</w:t>
      </w:r>
    </w:p>
    <w:p>
      <w:pPr>
        <w:pStyle w:val="9"/>
        <w:numPr>
          <w:ilvl w:val="1"/>
          <w:numId w:val="65"/>
        </w:numPr>
        <w:rPr>
          <w:color w:val="auto"/>
          <w:highlight w:val="none"/>
        </w:rPr>
      </w:pPr>
      <w:r>
        <w:rPr>
          <w:color w:val="auto"/>
          <w:highlight w:val="none"/>
        </w:rPr>
        <w:t xml:space="preserve"> </w:t>
      </w:r>
      <w:r>
        <w:rPr>
          <w:rFonts w:hint="eastAsia"/>
          <w:color w:val="auto"/>
          <w:highlight w:val="none"/>
        </w:rPr>
        <w:t>用墨盒和弹线按照测量尺寸和原先的布局在地表上弹出地板铺设的轮廓；</w:t>
      </w:r>
    </w:p>
    <w:p>
      <w:pPr>
        <w:pStyle w:val="9"/>
        <w:numPr>
          <w:ilvl w:val="1"/>
          <w:numId w:val="65"/>
        </w:numPr>
        <w:rPr>
          <w:color w:val="auto"/>
          <w:highlight w:val="none"/>
        </w:rPr>
      </w:pPr>
      <w:r>
        <w:rPr>
          <w:rFonts w:hint="eastAsia"/>
          <w:color w:val="auto"/>
          <w:highlight w:val="none"/>
        </w:rPr>
        <w:t>将地板在干净的房间里根据尺寸进行裁剪，注意要留有余地，然后将地板移到要铺设的房间内，根据轮廓平整放下；</w:t>
      </w:r>
    </w:p>
    <w:p>
      <w:pPr>
        <w:pStyle w:val="9"/>
        <w:numPr>
          <w:ilvl w:val="1"/>
          <w:numId w:val="65"/>
        </w:numPr>
        <w:rPr>
          <w:color w:val="auto"/>
          <w:highlight w:val="none"/>
        </w:rPr>
      </w:pPr>
      <w:r>
        <w:rPr>
          <w:rFonts w:hint="eastAsia"/>
          <w:color w:val="auto"/>
          <w:highlight w:val="none"/>
        </w:rPr>
        <w:t>掀起地板的一半，将胶水依照胶水施工规范和用量均匀铺设到地面；</w:t>
      </w:r>
    </w:p>
    <w:p>
      <w:pPr>
        <w:pStyle w:val="9"/>
        <w:numPr>
          <w:ilvl w:val="1"/>
          <w:numId w:val="65"/>
        </w:numPr>
        <w:rPr>
          <w:color w:val="auto"/>
          <w:highlight w:val="none"/>
        </w:rPr>
      </w:pPr>
      <w:r>
        <w:rPr>
          <w:rFonts w:hint="eastAsia"/>
          <w:color w:val="auto"/>
          <w:highlight w:val="none"/>
        </w:rPr>
        <w:t>当胶水产生粘性后将掀起的一半地板用软木块推行，使地板与胶水充分接触；</w:t>
      </w:r>
    </w:p>
    <w:p>
      <w:pPr>
        <w:pStyle w:val="9"/>
        <w:numPr>
          <w:ilvl w:val="1"/>
          <w:numId w:val="65"/>
        </w:numPr>
        <w:rPr>
          <w:color w:val="auto"/>
          <w:highlight w:val="none"/>
        </w:rPr>
      </w:pPr>
      <w:r>
        <w:rPr>
          <w:rFonts w:hint="eastAsia"/>
          <w:color w:val="auto"/>
          <w:highlight w:val="none"/>
        </w:rPr>
        <w:t>同样进行另一半地板的粘接；</w:t>
      </w:r>
    </w:p>
    <w:p>
      <w:pPr>
        <w:pStyle w:val="9"/>
        <w:numPr>
          <w:ilvl w:val="1"/>
          <w:numId w:val="65"/>
        </w:numPr>
        <w:rPr>
          <w:color w:val="auto"/>
          <w:highlight w:val="none"/>
        </w:rPr>
      </w:pPr>
      <w:r>
        <w:rPr>
          <w:rFonts w:hint="eastAsia"/>
          <w:color w:val="auto"/>
          <w:highlight w:val="none"/>
        </w:rPr>
        <w:t>地板搭接部分用划线器或接缝切割器裁去多余部分，卷与卷之间的缝隙最好控制在</w:t>
      </w:r>
      <w:r>
        <w:rPr>
          <w:color w:val="auto"/>
          <w:highlight w:val="none"/>
        </w:rPr>
        <w:t>0.2</w:t>
      </w:r>
      <w:r>
        <w:rPr>
          <w:rFonts w:hint="eastAsia"/>
          <w:color w:val="auto"/>
          <w:highlight w:val="none"/>
        </w:rPr>
        <w:t>—</w:t>
      </w:r>
      <w:r>
        <w:rPr>
          <w:color w:val="auto"/>
          <w:highlight w:val="none"/>
        </w:rPr>
        <w:t>0.5MM</w:t>
      </w:r>
      <w:r>
        <w:rPr>
          <w:rFonts w:hint="eastAsia"/>
          <w:color w:val="auto"/>
          <w:highlight w:val="none"/>
        </w:rPr>
        <w:t>左右；</w:t>
      </w:r>
    </w:p>
    <w:p>
      <w:pPr>
        <w:pStyle w:val="9"/>
        <w:numPr>
          <w:ilvl w:val="1"/>
          <w:numId w:val="64"/>
        </w:numPr>
        <w:rPr>
          <w:color w:val="auto"/>
          <w:highlight w:val="none"/>
        </w:rPr>
      </w:pPr>
      <w:r>
        <w:rPr>
          <w:rFonts w:hint="eastAsia"/>
          <w:color w:val="auto"/>
          <w:highlight w:val="none"/>
        </w:rPr>
        <w:t>地板铺装</w:t>
      </w:r>
      <w:r>
        <w:rPr>
          <w:color w:val="auto"/>
          <w:highlight w:val="none"/>
        </w:rPr>
        <w:t>-</w:t>
      </w:r>
      <w:r>
        <w:rPr>
          <w:rFonts w:hint="eastAsia"/>
          <w:color w:val="auto"/>
          <w:highlight w:val="none"/>
        </w:rPr>
        <w:t>排气、滚压</w:t>
      </w:r>
      <w:r>
        <w:rPr>
          <w:color w:val="auto"/>
          <w:highlight w:val="none"/>
        </w:rPr>
        <w:t xml:space="preserve">  </w:t>
      </w:r>
      <w:r>
        <w:rPr>
          <w:rFonts w:hint="eastAsia"/>
          <w:color w:val="auto"/>
          <w:highlight w:val="none"/>
        </w:rPr>
        <w:t>用滚筒前后左右将地板与地面充分压实；</w:t>
      </w:r>
      <w:r>
        <w:rPr>
          <w:color w:val="auto"/>
          <w:highlight w:val="none"/>
        </w:rPr>
        <w:t xml:space="preserve"> </w:t>
      </w:r>
      <w:r>
        <w:rPr>
          <w:rFonts w:hint="eastAsia"/>
          <w:color w:val="auto"/>
          <w:highlight w:val="none"/>
        </w:rPr>
        <w:t xml:space="preserve">再用滚筒及小滚轴压实地面和接缝处理的地方。  </w:t>
      </w:r>
    </w:p>
    <w:p>
      <w:pPr>
        <w:pStyle w:val="6"/>
        <w:rPr>
          <w:color w:val="auto"/>
          <w:highlight w:val="none"/>
        </w:rPr>
      </w:pPr>
      <w:r>
        <w:rPr>
          <w:rFonts w:hint="eastAsia"/>
          <w:color w:val="auto"/>
          <w:highlight w:val="none"/>
        </w:rPr>
        <w:t>瓷砖墙面工程</w:t>
      </w:r>
    </w:p>
    <w:p>
      <w:pPr>
        <w:widowControl/>
        <w:ind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承包人应在瓷砖墙面饰面施工前，组织花纹、颜色的分类和选配、排版工作，以达到同一面墙上的瓷砖饰面具有统一和谐的外观效果。而同一范围内的同类饰面不得出现明显的色泽、纹理不协调和突兀的情况。材料色泽及纹理组合现场观察样板必须经建筑设计师批准才可施工。</w:t>
      </w:r>
    </w:p>
    <w:p>
      <w:pPr>
        <w:ind w:firstLine="581"/>
        <w:rPr>
          <w:color w:val="auto"/>
          <w:szCs w:val="24"/>
          <w:highlight w:val="none"/>
          <w:lang w:eastAsia="zh-CN"/>
        </w:rPr>
      </w:pPr>
      <w:r>
        <w:rPr>
          <w:rFonts w:hint="eastAsia"/>
          <w:color w:val="auto"/>
          <w:szCs w:val="24"/>
          <w:highlight w:val="none"/>
          <w:lang w:eastAsia="zh-CN"/>
        </w:rPr>
        <w:t>（</w:t>
      </w:r>
      <w:r>
        <w:rPr>
          <w:color w:val="auto"/>
          <w:szCs w:val="24"/>
          <w:highlight w:val="none"/>
          <w:lang w:eastAsia="zh-CN"/>
        </w:rPr>
        <w:t>1</w:t>
      </w:r>
      <w:r>
        <w:rPr>
          <w:rFonts w:hint="eastAsia"/>
          <w:color w:val="auto"/>
          <w:szCs w:val="24"/>
          <w:highlight w:val="none"/>
          <w:lang w:eastAsia="zh-CN"/>
        </w:rPr>
        <w:t>）材料要求：</w:t>
      </w:r>
    </w:p>
    <w:p>
      <w:pPr>
        <w:pStyle w:val="8"/>
        <w:numPr>
          <w:ilvl w:val="0"/>
          <w:numId w:val="66"/>
        </w:numPr>
        <w:rPr>
          <w:color w:val="auto"/>
          <w:highlight w:val="none"/>
        </w:rPr>
      </w:pPr>
      <w:r>
        <w:rPr>
          <w:rFonts w:hint="eastAsia"/>
          <w:color w:val="auto"/>
          <w:highlight w:val="none"/>
        </w:rPr>
        <w:t>硅酸盐水泥、普通硅酸盐水泥或矿渣硅酸盐水泥，其强度等级不小于</w:t>
      </w:r>
      <w:r>
        <w:rPr>
          <w:color w:val="auto"/>
          <w:highlight w:val="none"/>
        </w:rPr>
        <w:t>32.5MPa</w:t>
      </w:r>
      <w:r>
        <w:rPr>
          <w:rFonts w:hint="eastAsia"/>
          <w:color w:val="auto"/>
          <w:highlight w:val="none"/>
        </w:rPr>
        <w:t>。硅酸盐白水泥，强度等级不小于</w:t>
      </w:r>
      <w:r>
        <w:rPr>
          <w:color w:val="auto"/>
          <w:highlight w:val="none"/>
        </w:rPr>
        <w:t>32.5MPa</w:t>
      </w:r>
      <w:r>
        <w:rPr>
          <w:rFonts w:hint="eastAsia"/>
          <w:color w:val="auto"/>
          <w:highlight w:val="none"/>
        </w:rPr>
        <w:t>。粗砂或中砂，用时过筛，其含泥量不大于</w:t>
      </w:r>
      <w:r>
        <w:rPr>
          <w:color w:val="auto"/>
          <w:highlight w:val="none"/>
        </w:rPr>
        <w:t>3%</w:t>
      </w:r>
      <w:r>
        <w:rPr>
          <w:rFonts w:hint="eastAsia"/>
          <w:color w:val="auto"/>
          <w:highlight w:val="none"/>
        </w:rPr>
        <w:t>。熟化石灰，磨细生石灰粉熟化</w:t>
      </w:r>
      <w:r>
        <w:rPr>
          <w:color w:val="auto"/>
          <w:highlight w:val="none"/>
        </w:rPr>
        <w:t>48h</w:t>
      </w:r>
      <w:r>
        <w:rPr>
          <w:rFonts w:hint="eastAsia"/>
          <w:color w:val="auto"/>
          <w:highlight w:val="none"/>
        </w:rPr>
        <w:t>后可使用。</w:t>
      </w:r>
    </w:p>
    <w:p>
      <w:pPr>
        <w:pStyle w:val="8"/>
        <w:numPr>
          <w:ilvl w:val="0"/>
          <w:numId w:val="66"/>
        </w:numPr>
        <w:rPr>
          <w:color w:val="auto"/>
          <w:highlight w:val="none"/>
        </w:rPr>
      </w:pPr>
      <w:r>
        <w:rPr>
          <w:rFonts w:hint="eastAsia"/>
          <w:color w:val="auto"/>
          <w:highlight w:val="none"/>
        </w:rPr>
        <w:t>瓷砖面层的表面应洁净、图案清晰，色泽一致，接缝平整，深浅一致，周边顺直。板块无裂纹、掉角和缺楞等缺陷。所用材料应有出厂合格证，强度和品种不同的板块不得混杂使用。</w:t>
      </w:r>
    </w:p>
    <w:p>
      <w:pPr>
        <w:widowControl/>
        <w:tabs>
          <w:tab w:val="left" w:pos="0"/>
        </w:tabs>
        <w:ind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w:t>
      </w:r>
      <w:r>
        <w:rPr>
          <w:rFonts w:cs="Times New Roman" w:asciiTheme="minorEastAsia" w:hAnsiTheme="minorEastAsia"/>
          <w:color w:val="auto"/>
          <w:szCs w:val="24"/>
          <w:highlight w:val="none"/>
          <w:lang w:eastAsia="zh-CN"/>
        </w:rPr>
        <w:t>2</w:t>
      </w:r>
      <w:r>
        <w:rPr>
          <w:rFonts w:hint="eastAsia" w:cs="Times New Roman" w:asciiTheme="minorEastAsia" w:hAnsiTheme="minorEastAsia"/>
          <w:color w:val="auto"/>
          <w:szCs w:val="24"/>
          <w:highlight w:val="none"/>
          <w:lang w:eastAsia="zh-CN"/>
        </w:rPr>
        <w:t>）施工要求：</w:t>
      </w:r>
    </w:p>
    <w:p>
      <w:pPr>
        <w:widowControl/>
        <w:ind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施工前对进场的墙地砖要进行开箱抽样检查，规格尺寸、色差、外观质量，翘曲度等均应符合质量标准。墙面地面对基层要清扫干净、浇水湿润。基层如有空鼓应局部返工。墙面四角弹垂线和水平线，地中央面弹十字线，根据墙面尺寸进行横竖试排，注意在同一墙面只准有一排非整砖，非整砖宽度不宜小于１</w:t>
      </w:r>
      <w:r>
        <w:rPr>
          <w:rFonts w:cs="Times New Roman" w:asciiTheme="minorEastAsia" w:hAnsiTheme="minorEastAsia"/>
          <w:color w:val="auto"/>
          <w:szCs w:val="24"/>
          <w:highlight w:val="none"/>
          <w:lang w:eastAsia="zh-CN"/>
        </w:rPr>
        <w:t>/</w:t>
      </w:r>
      <w:r>
        <w:rPr>
          <w:rFonts w:hint="eastAsia" w:cs="Times New Roman" w:asciiTheme="minorEastAsia" w:hAnsiTheme="minorEastAsia"/>
          <w:color w:val="auto"/>
          <w:szCs w:val="24"/>
          <w:highlight w:val="none"/>
          <w:lang w:eastAsia="zh-CN"/>
        </w:rPr>
        <w:t>２整砖宽，并将其排在次要部位或不醒目处，釉面砖铺贴前要放入净水中适当浸泡，再取出阴干或擦净后使用。用</w:t>
      </w:r>
      <w:r>
        <w:rPr>
          <w:rFonts w:cs="Times New Roman" w:asciiTheme="minorEastAsia" w:hAnsiTheme="minorEastAsia"/>
          <w:color w:val="auto"/>
          <w:szCs w:val="24"/>
          <w:highlight w:val="none"/>
          <w:lang w:eastAsia="zh-CN"/>
        </w:rPr>
        <w:t>1:1</w:t>
      </w:r>
      <w:r>
        <w:rPr>
          <w:rFonts w:hint="eastAsia" w:cs="Times New Roman" w:asciiTheme="minorEastAsia" w:hAnsiTheme="minorEastAsia"/>
          <w:color w:val="auto"/>
          <w:szCs w:val="24"/>
          <w:highlight w:val="none"/>
          <w:lang w:eastAsia="zh-CN"/>
        </w:rPr>
        <w:t>水泥砂浆（加２０％１０７胶水）或专用胶泥粘贴，擦缝用白水泥素浆或专用磁砖膏。填缝后用半园胶面压入抹漏。最后清净砖面脏物。</w:t>
      </w:r>
    </w:p>
    <w:p>
      <w:pPr>
        <w:widowControl/>
        <w:tabs>
          <w:tab w:val="left" w:pos="0"/>
        </w:tabs>
        <w:ind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w:t>
      </w:r>
      <w:r>
        <w:rPr>
          <w:rFonts w:cs="Times New Roman" w:asciiTheme="minorEastAsia" w:hAnsiTheme="minorEastAsia"/>
          <w:color w:val="auto"/>
          <w:szCs w:val="24"/>
          <w:highlight w:val="none"/>
          <w:lang w:eastAsia="zh-CN"/>
        </w:rPr>
        <w:t>3</w:t>
      </w:r>
      <w:r>
        <w:rPr>
          <w:rFonts w:hint="eastAsia" w:cs="Times New Roman" w:asciiTheme="minorEastAsia" w:hAnsiTheme="minorEastAsia"/>
          <w:color w:val="auto"/>
          <w:szCs w:val="24"/>
          <w:highlight w:val="none"/>
          <w:lang w:eastAsia="zh-CN"/>
        </w:rPr>
        <w:t>）质量要求：</w:t>
      </w:r>
    </w:p>
    <w:p>
      <w:pPr>
        <w:widowControl/>
        <w:ind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饰面砖的品种、规格、颜色和图案必须符合设计要求，粘贴必须牢固，无歪斜、缺棱掉角和裂缝等缺陷。表面应平整、洁净、色泽协调、无变色、泛碱污痕。饰面砖接缝应填嵌密实、平直、宽窄均匀，阴阳角处砖的搭接方向正确，非整砖使用部位适宜，有坡度的流水坡向正确，滴水线顺直。</w:t>
      </w:r>
    </w:p>
    <w:p>
      <w:pPr>
        <w:widowControl/>
        <w:tabs>
          <w:tab w:val="left" w:pos="0"/>
        </w:tabs>
        <w:ind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w:t>
      </w:r>
      <w:r>
        <w:rPr>
          <w:rFonts w:cs="Times New Roman" w:asciiTheme="minorEastAsia" w:hAnsiTheme="minorEastAsia"/>
          <w:color w:val="auto"/>
          <w:szCs w:val="24"/>
          <w:highlight w:val="none"/>
          <w:lang w:eastAsia="zh-CN"/>
        </w:rPr>
        <w:t>4</w:t>
      </w:r>
      <w:r>
        <w:rPr>
          <w:rFonts w:hint="eastAsia" w:cs="Times New Roman" w:asciiTheme="minorEastAsia" w:hAnsiTheme="minorEastAsia"/>
          <w:color w:val="auto"/>
          <w:szCs w:val="24"/>
          <w:highlight w:val="none"/>
          <w:lang w:eastAsia="zh-CN"/>
        </w:rPr>
        <w:t>）验收要求：工程质量允许偏差：（用</w:t>
      </w:r>
      <w:r>
        <w:rPr>
          <w:rFonts w:cs="Times New Roman" w:asciiTheme="minorEastAsia" w:hAnsiTheme="minorEastAsia"/>
          <w:color w:val="auto"/>
          <w:szCs w:val="24"/>
          <w:highlight w:val="none"/>
          <w:lang w:eastAsia="zh-CN"/>
        </w:rPr>
        <w:t>2m</w:t>
      </w:r>
      <w:r>
        <w:rPr>
          <w:rFonts w:hint="eastAsia" w:cs="Times New Roman" w:asciiTheme="minorEastAsia" w:hAnsiTheme="minorEastAsia"/>
          <w:color w:val="auto"/>
          <w:szCs w:val="24"/>
          <w:highlight w:val="none"/>
          <w:lang w:eastAsia="zh-CN"/>
        </w:rPr>
        <w:t>靠尺和锲形塞尺检查）</w:t>
      </w:r>
    </w:p>
    <w:p>
      <w:pPr>
        <w:pStyle w:val="8"/>
        <w:numPr>
          <w:ilvl w:val="0"/>
          <w:numId w:val="67"/>
        </w:numPr>
        <w:rPr>
          <w:color w:val="auto"/>
          <w:highlight w:val="none"/>
        </w:rPr>
      </w:pPr>
      <w:r>
        <w:rPr>
          <w:rFonts w:hint="eastAsia"/>
          <w:color w:val="auto"/>
          <w:highlight w:val="none"/>
        </w:rPr>
        <w:t>表面平整</w:t>
      </w:r>
      <w:r>
        <w:rPr>
          <w:color w:val="auto"/>
          <w:highlight w:val="none"/>
        </w:rPr>
        <w:t>2mm</w:t>
      </w:r>
      <w:r>
        <w:rPr>
          <w:rFonts w:hint="eastAsia"/>
          <w:color w:val="auto"/>
          <w:highlight w:val="none"/>
        </w:rPr>
        <w:t>，立面垂直：室内</w:t>
      </w:r>
      <w:r>
        <w:rPr>
          <w:color w:val="auto"/>
          <w:highlight w:val="none"/>
        </w:rPr>
        <w:t>2mm</w:t>
      </w:r>
      <w:r>
        <w:rPr>
          <w:rFonts w:hint="eastAsia"/>
          <w:color w:val="auto"/>
          <w:highlight w:val="none"/>
        </w:rPr>
        <w:t>，室外</w:t>
      </w:r>
      <w:r>
        <w:rPr>
          <w:color w:val="auto"/>
          <w:highlight w:val="none"/>
        </w:rPr>
        <w:t>3mm</w:t>
      </w:r>
      <w:r>
        <w:rPr>
          <w:rFonts w:hint="eastAsia"/>
          <w:color w:val="auto"/>
          <w:highlight w:val="none"/>
        </w:rPr>
        <w:t>。</w:t>
      </w:r>
    </w:p>
    <w:p>
      <w:pPr>
        <w:pStyle w:val="8"/>
        <w:numPr>
          <w:ilvl w:val="0"/>
          <w:numId w:val="67"/>
        </w:numPr>
        <w:rPr>
          <w:color w:val="auto"/>
          <w:highlight w:val="none"/>
        </w:rPr>
      </w:pPr>
      <w:r>
        <w:rPr>
          <w:rFonts w:hint="eastAsia"/>
          <w:color w:val="auto"/>
          <w:highlight w:val="none"/>
        </w:rPr>
        <w:t>阴阳角方正、接缝平直、墙裙上口平直：均是</w:t>
      </w:r>
      <w:r>
        <w:rPr>
          <w:color w:val="auto"/>
          <w:highlight w:val="none"/>
        </w:rPr>
        <w:t>2mm</w:t>
      </w:r>
      <w:r>
        <w:rPr>
          <w:rFonts w:hint="eastAsia"/>
          <w:color w:val="auto"/>
          <w:highlight w:val="none"/>
        </w:rPr>
        <w:t>。</w:t>
      </w:r>
    </w:p>
    <w:p>
      <w:pPr>
        <w:pStyle w:val="8"/>
        <w:numPr>
          <w:ilvl w:val="0"/>
          <w:numId w:val="67"/>
        </w:numPr>
        <w:rPr>
          <w:color w:val="auto"/>
          <w:highlight w:val="none"/>
        </w:rPr>
      </w:pPr>
      <w:r>
        <w:rPr>
          <w:rFonts w:hint="eastAsia"/>
          <w:color w:val="auto"/>
          <w:highlight w:val="none"/>
        </w:rPr>
        <w:t>接缝高低</w:t>
      </w:r>
      <w:r>
        <w:rPr>
          <w:color w:val="auto"/>
          <w:highlight w:val="none"/>
        </w:rPr>
        <w:t>0.5mm</w:t>
      </w:r>
      <w:r>
        <w:rPr>
          <w:rFonts w:hint="eastAsia"/>
          <w:color w:val="auto"/>
          <w:highlight w:val="none"/>
        </w:rPr>
        <w:t>。</w:t>
      </w:r>
    </w:p>
    <w:p>
      <w:pPr>
        <w:widowControl/>
        <w:tabs>
          <w:tab w:val="left" w:pos="0"/>
        </w:tabs>
        <w:ind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w:t>
      </w:r>
      <w:r>
        <w:rPr>
          <w:rFonts w:cs="Times New Roman" w:asciiTheme="minorEastAsia" w:hAnsiTheme="minorEastAsia"/>
          <w:color w:val="auto"/>
          <w:szCs w:val="24"/>
          <w:highlight w:val="none"/>
          <w:lang w:eastAsia="zh-CN"/>
        </w:rPr>
        <w:t>5</w:t>
      </w:r>
      <w:r>
        <w:rPr>
          <w:rFonts w:hint="eastAsia" w:cs="Times New Roman" w:asciiTheme="minorEastAsia" w:hAnsiTheme="minorEastAsia"/>
          <w:color w:val="auto"/>
          <w:szCs w:val="24"/>
          <w:highlight w:val="none"/>
          <w:lang w:eastAsia="zh-CN"/>
        </w:rPr>
        <w:t>）成品保护：</w:t>
      </w:r>
    </w:p>
    <w:p>
      <w:pPr>
        <w:widowControl/>
        <w:ind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施工验收完毕的墙面地面应进行保护，要避免重物搬运和对象硬物的撞击。严禁在已完工的墙地面上凿洞，以破坏面砖与基层的粘接。当必须进行电焊施工时，必须用板材保护，以免焊渣将面砖表面烧伤。墙的阳角和门口处，应用木板保护，以免碰坏磁砖。</w:t>
      </w:r>
    </w:p>
    <w:p>
      <w:pPr>
        <w:pStyle w:val="7"/>
        <w:rPr>
          <w:color w:val="auto"/>
          <w:highlight w:val="none"/>
        </w:rPr>
      </w:pPr>
      <w:r>
        <w:rPr>
          <w:rFonts w:hint="eastAsia"/>
          <w:color w:val="auto"/>
          <w:highlight w:val="none"/>
        </w:rPr>
        <w:t>吊顶工程</w:t>
      </w:r>
    </w:p>
    <w:p>
      <w:pPr>
        <w:widowControl/>
        <w:ind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w:t>
      </w:r>
      <w:r>
        <w:rPr>
          <w:rFonts w:cs="Times New Roman" w:asciiTheme="minorEastAsia" w:hAnsiTheme="minorEastAsia"/>
          <w:color w:val="auto"/>
          <w:szCs w:val="24"/>
          <w:highlight w:val="none"/>
          <w:lang w:eastAsia="zh-CN"/>
        </w:rPr>
        <w:t>1</w:t>
      </w:r>
      <w:r>
        <w:rPr>
          <w:rFonts w:hint="eastAsia" w:cs="Times New Roman" w:asciiTheme="minorEastAsia" w:hAnsiTheme="minorEastAsia"/>
          <w:color w:val="auto"/>
          <w:szCs w:val="24"/>
          <w:highlight w:val="none"/>
          <w:lang w:eastAsia="zh-CN"/>
        </w:rPr>
        <w:t>）龙骨吊顶材料要求</w:t>
      </w:r>
    </w:p>
    <w:p>
      <w:pPr>
        <w:pStyle w:val="8"/>
        <w:numPr>
          <w:ilvl w:val="0"/>
          <w:numId w:val="68"/>
        </w:numPr>
        <w:rPr>
          <w:color w:val="auto"/>
          <w:highlight w:val="none"/>
        </w:rPr>
      </w:pPr>
      <w:r>
        <w:rPr>
          <w:rFonts w:hint="eastAsia" w:asciiTheme="minorEastAsia" w:hAnsiTheme="minorEastAsia"/>
          <w:color w:val="auto"/>
          <w:szCs w:val="24"/>
          <w:highlight w:val="none"/>
        </w:rPr>
        <w:t>龙骨吊顶的龙骨材料的类别与型号应</w:t>
      </w:r>
      <w:r>
        <w:rPr>
          <w:rFonts w:hint="eastAsia"/>
          <w:color w:val="auto"/>
          <w:highlight w:val="none"/>
        </w:rPr>
        <w:t>符合设计要求，承包商须提供产品合格证。</w:t>
      </w:r>
    </w:p>
    <w:p>
      <w:pPr>
        <w:pStyle w:val="8"/>
        <w:numPr>
          <w:ilvl w:val="0"/>
          <w:numId w:val="68"/>
        </w:numPr>
        <w:rPr>
          <w:color w:val="auto"/>
          <w:highlight w:val="none"/>
        </w:rPr>
      </w:pPr>
      <w:r>
        <w:rPr>
          <w:rFonts w:hint="eastAsia"/>
          <w:color w:val="auto"/>
          <w:highlight w:val="none"/>
        </w:rPr>
        <w:t>罩面板材料和形状尺寸应符合设计要求，要求承包商提供其产品合格证。</w:t>
      </w:r>
    </w:p>
    <w:p>
      <w:pPr>
        <w:widowControl/>
        <w:ind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w:t>
      </w:r>
      <w:r>
        <w:rPr>
          <w:rFonts w:cs="Times New Roman" w:asciiTheme="minorEastAsia" w:hAnsiTheme="minorEastAsia"/>
          <w:color w:val="auto"/>
          <w:szCs w:val="24"/>
          <w:highlight w:val="none"/>
          <w:lang w:eastAsia="zh-CN"/>
        </w:rPr>
        <w:t>2</w:t>
      </w:r>
      <w:r>
        <w:rPr>
          <w:rFonts w:hint="eastAsia" w:cs="Times New Roman" w:asciiTheme="minorEastAsia" w:hAnsiTheme="minorEastAsia"/>
          <w:color w:val="auto"/>
          <w:szCs w:val="24"/>
          <w:highlight w:val="none"/>
          <w:lang w:eastAsia="zh-CN"/>
        </w:rPr>
        <w:t>）龙骨吊顶的施工控制要点</w:t>
      </w:r>
    </w:p>
    <w:p>
      <w:pPr>
        <w:widowControl/>
        <w:ind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首先确认施工部位，测量设计标高与实际高是否相符，如果天棚标高，受到其他设施的影响，即报交技术组负责人落实解决。接着报据确认下来的标高，准确地在墙上</w:t>
      </w:r>
      <w:r>
        <w:rPr>
          <w:rFonts w:cs="Times New Roman" w:asciiTheme="minorEastAsia" w:hAnsiTheme="minorEastAsia"/>
          <w:color w:val="auto"/>
          <w:szCs w:val="24"/>
          <w:highlight w:val="none"/>
          <w:lang w:eastAsia="zh-CN"/>
        </w:rPr>
        <w:t>1M</w:t>
      </w:r>
      <w:r>
        <w:rPr>
          <w:rFonts w:hint="eastAsia" w:cs="Times New Roman" w:asciiTheme="minorEastAsia" w:hAnsiTheme="minorEastAsia"/>
          <w:color w:val="auto"/>
          <w:szCs w:val="24"/>
          <w:highlight w:val="none"/>
          <w:lang w:eastAsia="zh-CN"/>
        </w:rPr>
        <w:t>高四周弹水平线，且按如下的步骤进行严格的施工：</w:t>
      </w:r>
    </w:p>
    <w:p>
      <w:pPr>
        <w:pStyle w:val="8"/>
        <w:numPr>
          <w:ilvl w:val="0"/>
          <w:numId w:val="69"/>
        </w:numPr>
        <w:rPr>
          <w:color w:val="auto"/>
          <w:highlight w:val="none"/>
        </w:rPr>
      </w:pPr>
      <w:r>
        <w:rPr>
          <w:rFonts w:hint="eastAsia"/>
          <w:color w:val="auto"/>
          <w:highlight w:val="none"/>
        </w:rPr>
        <w:t>熟识图纸，了解天棚上的灯具、广播喇叭、空调口、喷淋头、消防探头的具体位置，使主龙骨在吊放时尽量避开。</w:t>
      </w:r>
    </w:p>
    <w:p>
      <w:pPr>
        <w:pStyle w:val="8"/>
        <w:numPr>
          <w:ilvl w:val="0"/>
          <w:numId w:val="69"/>
        </w:numPr>
        <w:rPr>
          <w:color w:val="auto"/>
          <w:highlight w:val="none"/>
        </w:rPr>
      </w:pPr>
      <w:r>
        <w:rPr>
          <w:rFonts w:hint="eastAsia"/>
          <w:color w:val="auto"/>
          <w:highlight w:val="none"/>
        </w:rPr>
        <w:t>检查材料是否齐备，质量是否合格。</w:t>
      </w:r>
    </w:p>
    <w:p>
      <w:pPr>
        <w:pStyle w:val="8"/>
        <w:numPr>
          <w:ilvl w:val="0"/>
          <w:numId w:val="69"/>
        </w:numPr>
        <w:rPr>
          <w:color w:val="auto"/>
          <w:highlight w:val="none"/>
        </w:rPr>
      </w:pPr>
      <w:r>
        <w:rPr>
          <w:rFonts w:hint="eastAsia"/>
          <w:color w:val="auto"/>
          <w:highlight w:val="none"/>
        </w:rPr>
        <w:t>检查是否与相应部位弹出龙骨安装标高及其水平线、分格线、吊点位置线。</w:t>
      </w:r>
    </w:p>
    <w:p>
      <w:pPr>
        <w:pStyle w:val="8"/>
        <w:numPr>
          <w:ilvl w:val="0"/>
          <w:numId w:val="69"/>
        </w:numPr>
        <w:rPr>
          <w:color w:val="auto"/>
          <w:highlight w:val="none"/>
        </w:rPr>
      </w:pPr>
      <w:r>
        <w:rPr>
          <w:rFonts w:hint="eastAsia"/>
          <w:color w:val="auto"/>
          <w:highlight w:val="none"/>
        </w:rPr>
        <w:t>检查是否与已经绘制吊顶之棚平面布置图，须穿出顶棚罩面板安装的灯槽等与龙骨框格是否吻合。</w:t>
      </w:r>
    </w:p>
    <w:p>
      <w:pPr>
        <w:pStyle w:val="8"/>
        <w:numPr>
          <w:ilvl w:val="0"/>
          <w:numId w:val="69"/>
        </w:numPr>
        <w:rPr>
          <w:color w:val="auto"/>
          <w:highlight w:val="none"/>
        </w:rPr>
      </w:pPr>
      <w:r>
        <w:rPr>
          <w:rFonts w:hint="eastAsia"/>
          <w:color w:val="auto"/>
          <w:highlight w:val="none"/>
        </w:rPr>
        <w:t>龙骨要有足够的刚度，主龙骨的连接处应相互错位，不宜安装在同一条线上；安装需要水平与顺直方正。</w:t>
      </w:r>
    </w:p>
    <w:p>
      <w:pPr>
        <w:pStyle w:val="8"/>
        <w:numPr>
          <w:ilvl w:val="0"/>
          <w:numId w:val="69"/>
        </w:numPr>
        <w:rPr>
          <w:color w:val="auto"/>
          <w:highlight w:val="none"/>
        </w:rPr>
      </w:pPr>
      <w:r>
        <w:rPr>
          <w:rFonts w:hint="eastAsia"/>
          <w:color w:val="auto"/>
          <w:highlight w:val="none"/>
        </w:rPr>
        <w:t>吊筋与主龙骨的端部距离不得超过</w:t>
      </w:r>
      <w:r>
        <w:rPr>
          <w:color w:val="auto"/>
          <w:highlight w:val="none"/>
        </w:rPr>
        <w:t>300mm,</w:t>
      </w:r>
      <w:r>
        <w:rPr>
          <w:rFonts w:hint="eastAsia"/>
          <w:color w:val="auto"/>
          <w:highlight w:val="none"/>
        </w:rPr>
        <w:t>以免龙骨悬臂过大而造成端部下坠变形。</w:t>
      </w:r>
    </w:p>
    <w:p>
      <w:pPr>
        <w:pStyle w:val="8"/>
        <w:numPr>
          <w:ilvl w:val="0"/>
          <w:numId w:val="69"/>
        </w:numPr>
        <w:rPr>
          <w:color w:val="auto"/>
          <w:highlight w:val="none"/>
        </w:rPr>
      </w:pPr>
      <w:r>
        <w:rPr>
          <w:rFonts w:hint="eastAsia"/>
          <w:color w:val="auto"/>
          <w:highlight w:val="none"/>
        </w:rPr>
        <w:t>轻钢龙骨在施工中应有起拱高度，且应不小于房间短向跨度的起拱</w:t>
      </w:r>
      <w:r>
        <w:rPr>
          <w:color w:val="auto"/>
          <w:highlight w:val="none"/>
        </w:rPr>
        <w:t>1/1000</w:t>
      </w:r>
      <w:r>
        <w:rPr>
          <w:rFonts w:hint="eastAsia"/>
          <w:color w:val="auto"/>
          <w:highlight w:val="none"/>
        </w:rPr>
        <w:t>（</w:t>
      </w:r>
      <w:r>
        <w:rPr>
          <w:color w:val="auto"/>
          <w:highlight w:val="none"/>
        </w:rPr>
        <w:t>10</w:t>
      </w:r>
      <w:r>
        <w:rPr>
          <w:rFonts w:hint="eastAsia"/>
          <w:color w:val="auto"/>
          <w:highlight w:val="none"/>
        </w:rPr>
        <w:t>米跨内水平线上中心提升</w:t>
      </w:r>
      <w:r>
        <w:rPr>
          <w:color w:val="auto"/>
          <w:highlight w:val="none"/>
        </w:rPr>
        <w:t>10mm</w:t>
      </w:r>
      <w:r>
        <w:rPr>
          <w:rFonts w:hint="eastAsia"/>
          <w:color w:val="auto"/>
          <w:highlight w:val="none"/>
        </w:rPr>
        <w:t>高）</w:t>
      </w:r>
      <w:r>
        <w:rPr>
          <w:color w:val="auto"/>
          <w:highlight w:val="none"/>
        </w:rPr>
        <w:t>,</w:t>
      </w:r>
      <w:r>
        <w:rPr>
          <w:rFonts w:hint="eastAsia"/>
          <w:color w:val="auto"/>
          <w:highlight w:val="none"/>
        </w:rPr>
        <w:t>跨度越大起拱随之增大。</w:t>
      </w:r>
    </w:p>
    <w:p>
      <w:pPr>
        <w:pStyle w:val="8"/>
        <w:numPr>
          <w:ilvl w:val="0"/>
          <w:numId w:val="69"/>
        </w:numPr>
        <w:rPr>
          <w:color w:val="auto"/>
          <w:highlight w:val="none"/>
        </w:rPr>
      </w:pPr>
      <w:r>
        <w:rPr>
          <w:rFonts w:hint="eastAsia"/>
          <w:color w:val="auto"/>
          <w:highlight w:val="none"/>
        </w:rPr>
        <w:t>主龙骨吊点间必须保证１平方米内有一吊杆，吊杆长度不大于</w:t>
      </w:r>
      <w:r>
        <w:rPr>
          <w:color w:val="auto"/>
          <w:highlight w:val="none"/>
        </w:rPr>
        <w:t>1.2m</w:t>
      </w:r>
      <w:r>
        <w:rPr>
          <w:rFonts w:hint="eastAsia"/>
          <w:color w:val="auto"/>
          <w:highlight w:val="none"/>
        </w:rPr>
        <w:t>可采用为Φ</w:t>
      </w:r>
      <w:r>
        <w:rPr>
          <w:color w:val="auto"/>
          <w:highlight w:val="none"/>
        </w:rPr>
        <w:t>8mm</w:t>
      </w:r>
      <w:r>
        <w:rPr>
          <w:rFonts w:hint="eastAsia"/>
          <w:color w:val="auto"/>
          <w:highlight w:val="none"/>
        </w:rPr>
        <w:t>的钢筋作为吊杆，拉爆螺丝应完全拉紧，不得有松动，若吊杆长度大于</w:t>
      </w:r>
      <w:r>
        <w:rPr>
          <w:color w:val="auto"/>
          <w:highlight w:val="none"/>
        </w:rPr>
        <w:t>1.2m</w:t>
      </w:r>
      <w:r>
        <w:rPr>
          <w:rFonts w:hint="eastAsia"/>
          <w:color w:val="auto"/>
          <w:highlight w:val="none"/>
        </w:rPr>
        <w:t>，需采用</w:t>
      </w:r>
      <w:r>
        <w:rPr>
          <w:color w:val="auto"/>
          <w:highlight w:val="none"/>
        </w:rPr>
        <w:t>L45x4mm</w:t>
      </w:r>
      <w:r>
        <w:rPr>
          <w:rFonts w:hint="eastAsia"/>
          <w:color w:val="auto"/>
          <w:highlight w:val="none"/>
        </w:rPr>
        <w:t>角钢作为吊杆，并设置反支撑。</w:t>
      </w:r>
    </w:p>
    <w:p>
      <w:pPr>
        <w:pStyle w:val="8"/>
        <w:numPr>
          <w:ilvl w:val="0"/>
          <w:numId w:val="69"/>
        </w:numPr>
        <w:rPr>
          <w:color w:val="auto"/>
          <w:highlight w:val="none"/>
        </w:rPr>
      </w:pPr>
      <w:r>
        <w:rPr>
          <w:rFonts w:hint="eastAsia"/>
          <w:color w:val="auto"/>
          <w:highlight w:val="none"/>
        </w:rPr>
        <w:t>主龙骨的型号必须满足承受吊顶荷载的要求，主龙骨的间距应不大于</w:t>
      </w:r>
      <w:r>
        <w:rPr>
          <w:color w:val="auto"/>
          <w:highlight w:val="none"/>
        </w:rPr>
        <w:t>800mm</w:t>
      </w:r>
      <w:r>
        <w:rPr>
          <w:rFonts w:hint="eastAsia"/>
          <w:color w:val="auto"/>
          <w:highlight w:val="none"/>
        </w:rPr>
        <w:t>，次龙骨的间距不得大于</w:t>
      </w:r>
      <w:r>
        <w:rPr>
          <w:color w:val="auto"/>
          <w:highlight w:val="none"/>
        </w:rPr>
        <w:t>400</w:t>
      </w:r>
      <w:r>
        <w:rPr>
          <w:rFonts w:hint="eastAsia"/>
          <w:color w:val="auto"/>
          <w:highlight w:val="none"/>
        </w:rPr>
        <w:t>×</w:t>
      </w:r>
      <w:r>
        <w:rPr>
          <w:color w:val="auto"/>
          <w:highlight w:val="none"/>
        </w:rPr>
        <w:t>600mm</w:t>
      </w:r>
      <w:r>
        <w:rPr>
          <w:rFonts w:hint="eastAsia"/>
          <w:color w:val="auto"/>
          <w:highlight w:val="none"/>
        </w:rPr>
        <w:t>。</w:t>
      </w:r>
    </w:p>
    <w:p>
      <w:pPr>
        <w:pStyle w:val="8"/>
        <w:numPr>
          <w:ilvl w:val="0"/>
          <w:numId w:val="69"/>
        </w:numPr>
        <w:rPr>
          <w:color w:val="auto"/>
          <w:highlight w:val="none"/>
        </w:rPr>
      </w:pPr>
      <w:r>
        <w:rPr>
          <w:rFonts w:hint="eastAsia"/>
          <w:color w:val="auto"/>
          <w:highlight w:val="none"/>
        </w:rPr>
        <w:t>检查所有金属连接杆，吊挂件等是否有防锈处理，连接是否可靠，纵横龙骨平面相交连接是否牢固，密合、平齐、方正、框格尺寸是否与罩面板规格相符，留有安装间隔。</w:t>
      </w:r>
    </w:p>
    <w:p>
      <w:pPr>
        <w:pStyle w:val="8"/>
        <w:numPr>
          <w:ilvl w:val="0"/>
          <w:numId w:val="69"/>
        </w:numPr>
        <w:rPr>
          <w:color w:val="auto"/>
          <w:highlight w:val="none"/>
        </w:rPr>
      </w:pPr>
      <w:r>
        <w:rPr>
          <w:rFonts w:hint="eastAsia"/>
          <w:color w:val="auto"/>
          <w:highlight w:val="none"/>
        </w:rPr>
        <w:t>检查各吊杆位置是否正确，固定是否牢靠，吊杆是否具有足够承载能力，是否通直。</w:t>
      </w:r>
    </w:p>
    <w:p>
      <w:pPr>
        <w:pStyle w:val="8"/>
        <w:numPr>
          <w:ilvl w:val="0"/>
          <w:numId w:val="69"/>
        </w:numPr>
        <w:rPr>
          <w:color w:val="auto"/>
          <w:highlight w:val="none"/>
        </w:rPr>
      </w:pPr>
      <w:r>
        <w:rPr>
          <w:rFonts w:hint="eastAsia"/>
          <w:color w:val="auto"/>
          <w:highlight w:val="none"/>
        </w:rPr>
        <w:t>检查需安装在结构基体下及顶棚内所有水、电、通风、空调等管线是否已安装完；管道灌水试压是否完毕。</w:t>
      </w:r>
    </w:p>
    <w:p>
      <w:pPr>
        <w:widowControl/>
        <w:ind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w:t>
      </w:r>
      <w:r>
        <w:rPr>
          <w:rFonts w:cs="Times New Roman" w:asciiTheme="minorEastAsia" w:hAnsiTheme="minorEastAsia"/>
          <w:color w:val="auto"/>
          <w:szCs w:val="24"/>
          <w:highlight w:val="none"/>
          <w:lang w:eastAsia="zh-CN"/>
        </w:rPr>
        <w:t>3</w:t>
      </w:r>
      <w:r>
        <w:rPr>
          <w:rFonts w:hint="eastAsia" w:cs="Times New Roman" w:asciiTheme="minorEastAsia" w:hAnsiTheme="minorEastAsia"/>
          <w:color w:val="auto"/>
          <w:szCs w:val="24"/>
          <w:highlight w:val="none"/>
          <w:lang w:eastAsia="zh-CN"/>
        </w:rPr>
        <w:t>）龙骨吊顶罩面板安装施工质量控制要点</w:t>
      </w:r>
    </w:p>
    <w:p>
      <w:pPr>
        <w:pStyle w:val="8"/>
        <w:numPr>
          <w:ilvl w:val="0"/>
          <w:numId w:val="70"/>
        </w:numPr>
        <w:rPr>
          <w:color w:val="auto"/>
          <w:highlight w:val="none"/>
        </w:rPr>
      </w:pPr>
      <w:r>
        <w:rPr>
          <w:rFonts w:hint="eastAsia"/>
          <w:color w:val="auto"/>
          <w:highlight w:val="none"/>
        </w:rPr>
        <w:t>全面校正主次龙骨的位置及水平度，其他各专业工种也必须紧密地配合，做好各自的隐蔽工程，以便隐蔽验收后，才能进行石膏板封闭。</w:t>
      </w:r>
    </w:p>
    <w:p>
      <w:pPr>
        <w:pStyle w:val="8"/>
        <w:numPr>
          <w:ilvl w:val="0"/>
          <w:numId w:val="70"/>
        </w:numPr>
        <w:rPr>
          <w:color w:val="auto"/>
          <w:highlight w:val="none"/>
        </w:rPr>
      </w:pPr>
      <w:r>
        <w:rPr>
          <w:rFonts w:hint="eastAsia"/>
          <w:color w:val="auto"/>
          <w:highlight w:val="none"/>
        </w:rPr>
        <w:t>检查罩面板质量是否符合设计要求，质量是否合格，颜色是否一致，花纹图案是否易对花，建设单位对其是否认可。</w:t>
      </w:r>
    </w:p>
    <w:p>
      <w:pPr>
        <w:pStyle w:val="8"/>
        <w:numPr>
          <w:ilvl w:val="0"/>
          <w:numId w:val="70"/>
        </w:numPr>
        <w:rPr>
          <w:color w:val="auto"/>
          <w:highlight w:val="none"/>
        </w:rPr>
      </w:pPr>
      <w:r>
        <w:rPr>
          <w:rFonts w:hint="eastAsia"/>
          <w:color w:val="auto"/>
          <w:highlight w:val="none"/>
        </w:rPr>
        <w:t>检查罩面板材料是否符合环保要求及卫生要求。</w:t>
      </w:r>
    </w:p>
    <w:p>
      <w:pPr>
        <w:pStyle w:val="8"/>
        <w:numPr>
          <w:ilvl w:val="0"/>
          <w:numId w:val="70"/>
        </w:numPr>
        <w:rPr>
          <w:color w:val="auto"/>
          <w:highlight w:val="none"/>
        </w:rPr>
      </w:pPr>
      <w:r>
        <w:rPr>
          <w:rFonts w:hint="eastAsia"/>
          <w:color w:val="auto"/>
          <w:highlight w:val="none"/>
        </w:rPr>
        <w:t>接到天棚隐蔽工程记录认可表后，开始石膏板的安装，石膏板宜竖向铺设。安装时自攻螺钉与板边距离应为</w:t>
      </w:r>
      <w:r>
        <w:rPr>
          <w:color w:val="auto"/>
          <w:highlight w:val="none"/>
        </w:rPr>
        <w:t>10-15mm,</w:t>
      </w:r>
      <w:r>
        <w:rPr>
          <w:rFonts w:hint="eastAsia"/>
          <w:color w:val="auto"/>
          <w:highlight w:val="none"/>
        </w:rPr>
        <w:t>螺钉间距以</w:t>
      </w:r>
      <w:r>
        <w:rPr>
          <w:color w:val="auto"/>
          <w:highlight w:val="none"/>
        </w:rPr>
        <w:t>150-170mm</w:t>
      </w:r>
      <w:r>
        <w:rPr>
          <w:rFonts w:hint="eastAsia"/>
          <w:color w:val="auto"/>
          <w:highlight w:val="none"/>
        </w:rPr>
        <w:t>为宜</w:t>
      </w:r>
      <w:r>
        <w:rPr>
          <w:color w:val="auto"/>
          <w:highlight w:val="none"/>
        </w:rPr>
        <w:t>,</w:t>
      </w:r>
      <w:r>
        <w:rPr>
          <w:rFonts w:hint="eastAsia"/>
          <w:color w:val="auto"/>
          <w:highlight w:val="none"/>
        </w:rPr>
        <w:t>均匀固定。钉头嵌入板面深度以</w:t>
      </w:r>
      <w:r>
        <w:rPr>
          <w:color w:val="auto"/>
          <w:highlight w:val="none"/>
        </w:rPr>
        <w:t>0</w:t>
      </w:r>
      <w:r>
        <w:rPr>
          <w:rFonts w:hint="eastAsia"/>
          <w:color w:val="auto"/>
          <w:highlight w:val="none"/>
        </w:rPr>
        <w:t>、</w:t>
      </w:r>
      <w:r>
        <w:rPr>
          <w:color w:val="auto"/>
          <w:highlight w:val="none"/>
        </w:rPr>
        <w:t>5-1mm</w:t>
      </w:r>
      <w:r>
        <w:rPr>
          <w:rFonts w:hint="eastAsia"/>
          <w:color w:val="auto"/>
          <w:highlight w:val="none"/>
        </w:rPr>
        <w:t>为宜</w:t>
      </w:r>
      <w:r>
        <w:rPr>
          <w:color w:val="auto"/>
          <w:highlight w:val="none"/>
        </w:rPr>
        <w:t>,</w:t>
      </w:r>
      <w:r>
        <w:rPr>
          <w:rFonts w:hint="eastAsia"/>
          <w:color w:val="auto"/>
          <w:highlight w:val="none"/>
        </w:rPr>
        <w:t>板与板之间缝隙应在</w:t>
      </w:r>
      <w:r>
        <w:rPr>
          <w:color w:val="auto"/>
          <w:highlight w:val="none"/>
        </w:rPr>
        <w:t>3</w:t>
      </w:r>
      <w:r>
        <w:rPr>
          <w:rFonts w:hint="eastAsia"/>
          <w:color w:val="auto"/>
          <w:highlight w:val="none"/>
        </w:rPr>
        <w:t>～</w:t>
      </w:r>
      <w:r>
        <w:rPr>
          <w:color w:val="auto"/>
          <w:highlight w:val="none"/>
        </w:rPr>
        <w:t>5mm</w:t>
      </w:r>
      <w:r>
        <w:rPr>
          <w:rFonts w:hint="eastAsia"/>
          <w:color w:val="auto"/>
          <w:highlight w:val="none"/>
        </w:rPr>
        <w:t>左右</w:t>
      </w:r>
      <w:r>
        <w:rPr>
          <w:color w:val="auto"/>
          <w:highlight w:val="none"/>
        </w:rPr>
        <w:t>,</w:t>
      </w:r>
      <w:r>
        <w:rPr>
          <w:rFonts w:hint="eastAsia"/>
          <w:color w:val="auto"/>
          <w:highlight w:val="none"/>
        </w:rPr>
        <w:t>固定时应从一块板的中间向板的四边固定</w:t>
      </w:r>
      <w:r>
        <w:rPr>
          <w:color w:val="auto"/>
          <w:highlight w:val="none"/>
        </w:rPr>
        <w:t>,</w:t>
      </w:r>
      <w:r>
        <w:rPr>
          <w:rFonts w:hint="eastAsia"/>
          <w:color w:val="auto"/>
          <w:highlight w:val="none"/>
        </w:rPr>
        <w:t>不得多点同时操作。</w:t>
      </w:r>
    </w:p>
    <w:p>
      <w:pPr>
        <w:pStyle w:val="8"/>
        <w:numPr>
          <w:ilvl w:val="0"/>
          <w:numId w:val="70"/>
        </w:numPr>
        <w:rPr>
          <w:color w:val="auto"/>
          <w:highlight w:val="none"/>
        </w:rPr>
      </w:pPr>
      <w:r>
        <w:rPr>
          <w:rFonts w:hint="eastAsia"/>
          <w:color w:val="auto"/>
          <w:highlight w:val="none"/>
        </w:rPr>
        <w:t>检查罩面板是否安放平整，是否有翘曲变形、漏、透现象，有花纹图案是否安装符合要求。</w:t>
      </w:r>
    </w:p>
    <w:p>
      <w:pPr>
        <w:pStyle w:val="8"/>
        <w:numPr>
          <w:ilvl w:val="0"/>
          <w:numId w:val="70"/>
        </w:numPr>
        <w:rPr>
          <w:color w:val="auto"/>
          <w:highlight w:val="none"/>
        </w:rPr>
      </w:pPr>
      <w:r>
        <w:rPr>
          <w:rFonts w:hint="eastAsia"/>
          <w:color w:val="auto"/>
          <w:highlight w:val="none"/>
        </w:rPr>
        <w:t>检查罩面板表面是否有污染、折裂、缺棱掉角、锤印及发霉等。</w:t>
      </w:r>
    </w:p>
    <w:p>
      <w:pPr>
        <w:pStyle w:val="8"/>
        <w:numPr>
          <w:ilvl w:val="0"/>
          <w:numId w:val="70"/>
        </w:numPr>
        <w:rPr>
          <w:color w:val="auto"/>
          <w:highlight w:val="none"/>
        </w:rPr>
      </w:pPr>
      <w:r>
        <w:rPr>
          <w:rFonts w:hint="eastAsia"/>
          <w:color w:val="auto"/>
          <w:highlight w:val="none"/>
        </w:rPr>
        <w:t>半嵌式罩面板尚应检查接缝是否均匀一致，高低启口是否破裂</w:t>
      </w:r>
    </w:p>
    <w:p>
      <w:pPr>
        <w:pStyle w:val="8"/>
        <w:numPr>
          <w:ilvl w:val="0"/>
          <w:numId w:val="70"/>
        </w:numPr>
        <w:rPr>
          <w:color w:val="auto"/>
          <w:highlight w:val="none"/>
        </w:rPr>
      </w:pPr>
      <w:r>
        <w:rPr>
          <w:rFonts w:hint="eastAsia"/>
          <w:color w:val="auto"/>
          <w:highlight w:val="none"/>
        </w:rPr>
        <w:t>凡用夹板造型的跌级天棚，应在地面上开线弹墨定位，再用悬垂挂线定出吊装跌级造型的准确位置。安装好吊装的支撑铁件或吊杆，试吊后临时挂起，通线后调平，再把跌级造型件紧固。所用的木方、夹板均要进行防火涂料处理，高级装饰还要进行防虫处理。</w:t>
      </w:r>
    </w:p>
    <w:p>
      <w:pPr>
        <w:pStyle w:val="8"/>
        <w:numPr>
          <w:ilvl w:val="0"/>
          <w:numId w:val="70"/>
        </w:numPr>
        <w:rPr>
          <w:color w:val="auto"/>
          <w:highlight w:val="none"/>
        </w:rPr>
      </w:pPr>
      <w:r>
        <w:rPr>
          <w:rFonts w:hint="eastAsia"/>
          <w:color w:val="auto"/>
          <w:highlight w:val="none"/>
        </w:rPr>
        <w:t>螺钉眼应先刷防锈漆，再用石膏腻子点补，缝隙在填满后必须用纱布封闭，然后根据面层的装饰材料，做好板面的平整和防潮处理。</w:t>
      </w:r>
    </w:p>
    <w:p>
      <w:pPr>
        <w:pStyle w:val="8"/>
        <w:numPr>
          <w:ilvl w:val="0"/>
          <w:numId w:val="70"/>
        </w:numPr>
        <w:rPr>
          <w:color w:val="auto"/>
          <w:highlight w:val="none"/>
        </w:rPr>
      </w:pPr>
      <w:r>
        <w:rPr>
          <w:rFonts w:hint="eastAsia"/>
          <w:color w:val="auto"/>
          <w:highlight w:val="none"/>
        </w:rPr>
        <w:t>工程质量允许偏差：（用</w:t>
      </w:r>
      <w:r>
        <w:rPr>
          <w:color w:val="auto"/>
          <w:highlight w:val="none"/>
        </w:rPr>
        <w:t>2m</w:t>
      </w:r>
      <w:r>
        <w:rPr>
          <w:rFonts w:hint="eastAsia"/>
          <w:color w:val="auto"/>
          <w:highlight w:val="none"/>
        </w:rPr>
        <w:t>靠尺和锲形塞形塞尺检查）石膏板：表面平整</w:t>
      </w:r>
      <w:r>
        <w:rPr>
          <w:color w:val="auto"/>
          <w:highlight w:val="none"/>
        </w:rPr>
        <w:t>3mm,</w:t>
      </w:r>
      <w:r>
        <w:rPr>
          <w:rFonts w:hint="eastAsia"/>
          <w:color w:val="auto"/>
          <w:highlight w:val="none"/>
        </w:rPr>
        <w:t>立面垂直</w:t>
      </w:r>
      <w:r>
        <w:rPr>
          <w:color w:val="auto"/>
          <w:highlight w:val="none"/>
        </w:rPr>
        <w:t>3mm,</w:t>
      </w:r>
      <w:r>
        <w:rPr>
          <w:rFonts w:hint="eastAsia"/>
          <w:color w:val="auto"/>
          <w:highlight w:val="none"/>
        </w:rPr>
        <w:t>接缝高低</w:t>
      </w:r>
      <w:r>
        <w:rPr>
          <w:color w:val="auto"/>
          <w:highlight w:val="none"/>
        </w:rPr>
        <w:t>1mm</w:t>
      </w:r>
      <w:r>
        <w:rPr>
          <w:rFonts w:hint="eastAsia"/>
          <w:color w:val="auto"/>
          <w:highlight w:val="none"/>
        </w:rPr>
        <w:t>。胶合板：表面平整</w:t>
      </w:r>
      <w:r>
        <w:rPr>
          <w:color w:val="auto"/>
          <w:highlight w:val="none"/>
        </w:rPr>
        <w:t>2mm,</w:t>
      </w:r>
      <w:r>
        <w:rPr>
          <w:rFonts w:hint="eastAsia"/>
          <w:color w:val="auto"/>
          <w:highlight w:val="none"/>
        </w:rPr>
        <w:t>立面垂直</w:t>
      </w:r>
      <w:r>
        <w:rPr>
          <w:color w:val="auto"/>
          <w:highlight w:val="none"/>
        </w:rPr>
        <w:t>3mm,</w:t>
      </w:r>
      <w:r>
        <w:rPr>
          <w:rFonts w:hint="eastAsia"/>
          <w:color w:val="auto"/>
          <w:highlight w:val="none"/>
        </w:rPr>
        <w:t>接缝高低</w:t>
      </w:r>
      <w:r>
        <w:rPr>
          <w:color w:val="auto"/>
          <w:highlight w:val="none"/>
        </w:rPr>
        <w:t>0.5mm</w:t>
      </w:r>
      <w:r>
        <w:rPr>
          <w:rFonts w:hint="eastAsia"/>
          <w:color w:val="auto"/>
          <w:highlight w:val="none"/>
        </w:rPr>
        <w:t>。</w:t>
      </w:r>
    </w:p>
    <w:p>
      <w:pPr>
        <w:pStyle w:val="7"/>
        <w:rPr>
          <w:color w:val="auto"/>
          <w:highlight w:val="none"/>
        </w:rPr>
      </w:pPr>
      <w:r>
        <w:rPr>
          <w:rFonts w:hint="eastAsia"/>
          <w:color w:val="auto"/>
          <w:highlight w:val="none"/>
        </w:rPr>
        <w:t>涂饰工程</w:t>
      </w:r>
    </w:p>
    <w:p>
      <w:pPr>
        <w:widowControl/>
        <w:tabs>
          <w:tab w:val="left" w:pos="0"/>
        </w:tabs>
        <w:ind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w:t>
      </w:r>
      <w:r>
        <w:rPr>
          <w:rFonts w:cs="Times New Roman" w:asciiTheme="minorEastAsia" w:hAnsiTheme="minorEastAsia"/>
          <w:color w:val="auto"/>
          <w:szCs w:val="24"/>
          <w:highlight w:val="none"/>
          <w:lang w:eastAsia="zh-CN"/>
        </w:rPr>
        <w:t>1</w:t>
      </w:r>
      <w:r>
        <w:rPr>
          <w:rFonts w:hint="eastAsia" w:cs="Times New Roman" w:asciiTheme="minorEastAsia" w:hAnsiTheme="minorEastAsia"/>
          <w:color w:val="auto"/>
          <w:szCs w:val="24"/>
          <w:highlight w:val="none"/>
          <w:lang w:eastAsia="zh-CN"/>
        </w:rPr>
        <w:t>）涂料饰面工程施工前作业条件</w:t>
      </w:r>
    </w:p>
    <w:p>
      <w:pPr>
        <w:pStyle w:val="8"/>
        <w:numPr>
          <w:ilvl w:val="0"/>
          <w:numId w:val="71"/>
        </w:numPr>
        <w:rPr>
          <w:color w:val="auto"/>
          <w:highlight w:val="none"/>
        </w:rPr>
      </w:pPr>
      <w:r>
        <w:rPr>
          <w:rFonts w:hint="eastAsia"/>
          <w:color w:val="auto"/>
          <w:highlight w:val="none"/>
        </w:rPr>
        <w:t>涂饰工程应在抹灰工程、地面工程、木装饰工程、门窗工程、水、电气安装工程等全部完成后，并在清洁干净的环境下施工。</w:t>
      </w:r>
    </w:p>
    <w:p>
      <w:pPr>
        <w:pStyle w:val="8"/>
        <w:numPr>
          <w:ilvl w:val="0"/>
          <w:numId w:val="71"/>
        </w:numPr>
        <w:rPr>
          <w:color w:val="auto"/>
          <w:highlight w:val="none"/>
        </w:rPr>
      </w:pPr>
      <w:r>
        <w:rPr>
          <w:rFonts w:hint="eastAsia"/>
          <w:color w:val="auto"/>
          <w:highlight w:val="none"/>
        </w:rPr>
        <w:t>基体表面干燥，平整，干净无油污、无浮尘。混凝土或抹灰基层含水率不得大于</w:t>
      </w:r>
      <w:r>
        <w:rPr>
          <w:color w:val="auto"/>
          <w:highlight w:val="none"/>
        </w:rPr>
        <w:t>10%</w:t>
      </w:r>
      <w:r>
        <w:rPr>
          <w:rFonts w:hint="eastAsia"/>
          <w:color w:val="auto"/>
          <w:highlight w:val="none"/>
        </w:rPr>
        <w:t>，木材基层的含水率不得大于</w:t>
      </w:r>
      <w:r>
        <w:rPr>
          <w:color w:val="auto"/>
          <w:highlight w:val="none"/>
        </w:rPr>
        <w:t>12%</w:t>
      </w:r>
      <w:r>
        <w:rPr>
          <w:rFonts w:hint="eastAsia"/>
          <w:color w:val="auto"/>
          <w:highlight w:val="none"/>
        </w:rPr>
        <w:t>。</w:t>
      </w:r>
    </w:p>
    <w:p>
      <w:pPr>
        <w:pStyle w:val="8"/>
        <w:numPr>
          <w:ilvl w:val="0"/>
          <w:numId w:val="71"/>
        </w:numPr>
        <w:rPr>
          <w:color w:val="auto"/>
          <w:highlight w:val="none"/>
        </w:rPr>
      </w:pPr>
      <w:r>
        <w:rPr>
          <w:rFonts w:hint="eastAsia"/>
          <w:color w:val="auto"/>
          <w:highlight w:val="none"/>
        </w:rPr>
        <w:t>晴天、无风、气温应在摄氏零上</w:t>
      </w:r>
      <w:r>
        <w:rPr>
          <w:color w:val="auto"/>
          <w:highlight w:val="none"/>
        </w:rPr>
        <w:t>5</w:t>
      </w:r>
      <w:r>
        <w:rPr>
          <w:rFonts w:hint="eastAsia"/>
          <w:color w:val="auto"/>
          <w:highlight w:val="none"/>
        </w:rPr>
        <w:t>～</w:t>
      </w:r>
      <w:r>
        <w:rPr>
          <w:color w:val="auto"/>
          <w:highlight w:val="none"/>
        </w:rPr>
        <w:t>35</w:t>
      </w:r>
      <w:r>
        <w:rPr>
          <w:rFonts w:hint="eastAsia"/>
          <w:color w:val="auto"/>
          <w:highlight w:val="none"/>
        </w:rPr>
        <w:t>℃之间。冬期应有采暖保温、防冻措施。</w:t>
      </w:r>
    </w:p>
    <w:p>
      <w:pPr>
        <w:pStyle w:val="8"/>
        <w:numPr>
          <w:ilvl w:val="0"/>
          <w:numId w:val="71"/>
        </w:numPr>
        <w:rPr>
          <w:color w:val="auto"/>
          <w:highlight w:val="none"/>
        </w:rPr>
      </w:pPr>
      <w:r>
        <w:rPr>
          <w:rFonts w:hint="eastAsia"/>
          <w:color w:val="auto"/>
          <w:highlight w:val="none"/>
        </w:rPr>
        <w:t>材料计划拟定，工具齐备，先期材料充足。</w:t>
      </w:r>
    </w:p>
    <w:p>
      <w:pPr>
        <w:pStyle w:val="8"/>
        <w:numPr>
          <w:ilvl w:val="0"/>
          <w:numId w:val="71"/>
        </w:numPr>
        <w:rPr>
          <w:color w:val="auto"/>
          <w:highlight w:val="none"/>
        </w:rPr>
      </w:pPr>
      <w:r>
        <w:rPr>
          <w:rFonts w:hint="eastAsia"/>
          <w:color w:val="auto"/>
          <w:highlight w:val="none"/>
        </w:rPr>
        <w:t>设备调试正常完好，辅助工具已备。仓储地点落实。</w:t>
      </w:r>
    </w:p>
    <w:p>
      <w:pPr>
        <w:pStyle w:val="8"/>
        <w:numPr>
          <w:ilvl w:val="0"/>
          <w:numId w:val="71"/>
        </w:numPr>
        <w:rPr>
          <w:color w:val="auto"/>
          <w:highlight w:val="none"/>
        </w:rPr>
      </w:pPr>
      <w:r>
        <w:rPr>
          <w:rFonts w:hint="eastAsia"/>
          <w:color w:val="auto"/>
          <w:highlight w:val="none"/>
        </w:rPr>
        <w:t>制度基本健全，有关人员配置到位到岗。</w:t>
      </w:r>
    </w:p>
    <w:p>
      <w:pPr>
        <w:pStyle w:val="8"/>
        <w:numPr>
          <w:ilvl w:val="0"/>
          <w:numId w:val="71"/>
        </w:numPr>
        <w:rPr>
          <w:color w:val="auto"/>
          <w:highlight w:val="none"/>
        </w:rPr>
      </w:pPr>
      <w:bookmarkStart w:id="58" w:name="_Hlk42260842"/>
      <w:r>
        <w:rPr>
          <w:rFonts w:hint="eastAsia"/>
          <w:color w:val="auto"/>
          <w:highlight w:val="none"/>
        </w:rPr>
        <w:t>样板、设计要求已得到有关部门确认。</w:t>
      </w:r>
    </w:p>
    <w:p>
      <w:pPr>
        <w:pStyle w:val="8"/>
        <w:numPr>
          <w:ilvl w:val="0"/>
          <w:numId w:val="71"/>
        </w:numPr>
        <w:rPr>
          <w:color w:val="auto"/>
          <w:highlight w:val="none"/>
        </w:rPr>
      </w:pPr>
      <w:r>
        <w:rPr>
          <w:rFonts w:hint="eastAsia"/>
          <w:color w:val="auto"/>
          <w:highlight w:val="none"/>
        </w:rPr>
        <w:t>不涂饰的部位已作好保护措施。</w:t>
      </w:r>
    </w:p>
    <w:p>
      <w:pPr>
        <w:widowControl/>
        <w:tabs>
          <w:tab w:val="left" w:pos="0"/>
        </w:tabs>
        <w:ind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w:t>
      </w:r>
      <w:r>
        <w:rPr>
          <w:rFonts w:cs="Times New Roman" w:asciiTheme="minorEastAsia" w:hAnsiTheme="minorEastAsia"/>
          <w:color w:val="auto"/>
          <w:szCs w:val="24"/>
          <w:highlight w:val="none"/>
          <w:lang w:eastAsia="zh-CN"/>
        </w:rPr>
        <w:t>2</w:t>
      </w:r>
      <w:r>
        <w:rPr>
          <w:rFonts w:hint="eastAsia" w:cs="Times New Roman" w:asciiTheme="minorEastAsia" w:hAnsiTheme="minorEastAsia"/>
          <w:color w:val="auto"/>
          <w:szCs w:val="24"/>
          <w:highlight w:val="none"/>
          <w:lang w:eastAsia="zh-CN"/>
        </w:rPr>
        <w:t>）涂料饰面工程施工要求：</w:t>
      </w:r>
    </w:p>
    <w:p>
      <w:pPr>
        <w:pStyle w:val="8"/>
        <w:numPr>
          <w:ilvl w:val="0"/>
          <w:numId w:val="72"/>
        </w:numPr>
        <w:rPr>
          <w:color w:val="auto"/>
          <w:highlight w:val="none"/>
        </w:rPr>
      </w:pPr>
      <w:r>
        <w:rPr>
          <w:rFonts w:hint="eastAsia"/>
          <w:color w:val="auto"/>
          <w:highlight w:val="none"/>
        </w:rPr>
        <w:t>内墙乳胶漆</w:t>
      </w:r>
      <w:r>
        <w:rPr>
          <w:color w:val="auto"/>
          <w:highlight w:val="none"/>
        </w:rPr>
        <w:tab/>
      </w:r>
      <w:r>
        <w:rPr>
          <w:color w:val="auto"/>
          <w:highlight w:val="none"/>
        </w:rPr>
        <w:tab/>
      </w:r>
      <w:r>
        <w:rPr>
          <w:color w:val="auto"/>
          <w:highlight w:val="none"/>
        </w:rPr>
        <w:t xml:space="preserve"> </w:t>
      </w:r>
      <w:r>
        <w:rPr>
          <w:color w:val="auto"/>
          <w:highlight w:val="none"/>
        </w:rPr>
        <w:tab/>
      </w:r>
      <w:r>
        <w:rPr>
          <w:color w:val="auto"/>
          <w:highlight w:val="none"/>
        </w:rPr>
        <w:tab/>
      </w:r>
      <w:r>
        <w:rPr>
          <w:color w:val="auto"/>
          <w:highlight w:val="none"/>
        </w:rPr>
        <w:tab/>
      </w:r>
      <w:r>
        <w:rPr>
          <w:color w:val="auto"/>
          <w:highlight w:val="none"/>
        </w:rPr>
        <w:t xml:space="preserve"> </w:t>
      </w:r>
      <w:r>
        <w:rPr>
          <w:color w:val="auto"/>
          <w:highlight w:val="none"/>
        </w:rPr>
        <w:tab/>
      </w:r>
      <w:r>
        <w:rPr>
          <w:color w:val="auto"/>
          <w:highlight w:val="none"/>
        </w:rPr>
        <w:tab/>
      </w:r>
    </w:p>
    <w:p>
      <w:pPr>
        <w:pStyle w:val="9"/>
        <w:numPr>
          <w:ilvl w:val="1"/>
          <w:numId w:val="73"/>
        </w:numPr>
        <w:rPr>
          <w:color w:val="auto"/>
          <w:highlight w:val="none"/>
        </w:rPr>
      </w:pPr>
      <w:r>
        <w:rPr>
          <w:rFonts w:hint="eastAsia"/>
          <w:color w:val="auto"/>
          <w:highlight w:val="none"/>
        </w:rPr>
        <w:t>基层处理：混凝土墙表面的浮砂、灰尘、疙瘩等要清除干净，表面的隔离剂、油污等应用碱水（火碱∶水</w:t>
      </w:r>
      <w:r>
        <w:rPr>
          <w:color w:val="auto"/>
          <w:highlight w:val="none"/>
        </w:rPr>
        <w:t>=1</w:t>
      </w:r>
      <w:r>
        <w:rPr>
          <w:rFonts w:hint="eastAsia"/>
          <w:color w:val="auto"/>
          <w:highlight w:val="none"/>
        </w:rPr>
        <w:t>∶</w:t>
      </w:r>
      <w:r>
        <w:rPr>
          <w:color w:val="auto"/>
          <w:highlight w:val="none"/>
        </w:rPr>
        <w:t>10</w:t>
      </w:r>
      <w:r>
        <w:rPr>
          <w:rFonts w:hint="eastAsia"/>
          <w:color w:val="auto"/>
          <w:highlight w:val="none"/>
        </w:rPr>
        <w:t>）清刷干净，然后用清水冲洗掉墙面上的碱液等。</w:t>
      </w:r>
    </w:p>
    <w:p>
      <w:pPr>
        <w:pStyle w:val="9"/>
        <w:numPr>
          <w:ilvl w:val="1"/>
          <w:numId w:val="73"/>
        </w:numPr>
        <w:rPr>
          <w:color w:val="auto"/>
          <w:highlight w:val="none"/>
        </w:rPr>
      </w:pPr>
      <w:r>
        <w:rPr>
          <w:rFonts w:hint="eastAsia"/>
          <w:color w:val="auto"/>
          <w:highlight w:val="none"/>
        </w:rPr>
        <w:t>喷、刷胶水：刮腻子之前在混凝土墙面上先喷、刷一道胶水（重量比为水∶乳液</w:t>
      </w:r>
      <w:r>
        <w:rPr>
          <w:color w:val="auto"/>
          <w:highlight w:val="none"/>
        </w:rPr>
        <w:t>=5</w:t>
      </w:r>
      <w:r>
        <w:rPr>
          <w:rFonts w:hint="eastAsia"/>
          <w:color w:val="auto"/>
          <w:highlight w:val="none"/>
        </w:rPr>
        <w:t>∶</w:t>
      </w:r>
      <w:r>
        <w:rPr>
          <w:color w:val="auto"/>
          <w:highlight w:val="none"/>
        </w:rPr>
        <w:t>1</w:t>
      </w:r>
      <w:r>
        <w:rPr>
          <w:rFonts w:hint="eastAsia"/>
          <w:color w:val="auto"/>
          <w:highlight w:val="none"/>
        </w:rPr>
        <w:t>），要注意喷、刷要均匀，不得有遗漏。</w:t>
      </w:r>
    </w:p>
    <w:p>
      <w:pPr>
        <w:pStyle w:val="9"/>
        <w:numPr>
          <w:ilvl w:val="1"/>
          <w:numId w:val="73"/>
        </w:numPr>
        <w:rPr>
          <w:color w:val="auto"/>
          <w:highlight w:val="none"/>
        </w:rPr>
      </w:pPr>
      <w:r>
        <w:rPr>
          <w:rFonts w:hint="eastAsia"/>
          <w:color w:val="auto"/>
          <w:highlight w:val="none"/>
        </w:rPr>
        <w:t>填补缝隙、局部刮腻子，用水石膏将墙面缝隙及坑洼不平处分遍找平，并将野腻子收净，待腻子干燥后用</w:t>
      </w:r>
      <w:r>
        <w:rPr>
          <w:color w:val="auto"/>
          <w:highlight w:val="none"/>
        </w:rPr>
        <w:t>1</w:t>
      </w:r>
      <w:r>
        <w:rPr>
          <w:rFonts w:hint="eastAsia"/>
          <w:color w:val="auto"/>
          <w:highlight w:val="none"/>
        </w:rPr>
        <w:t>号砂纸磨平，并把浮尘等扫净。</w:t>
      </w:r>
    </w:p>
    <w:p>
      <w:pPr>
        <w:pStyle w:val="9"/>
        <w:numPr>
          <w:ilvl w:val="1"/>
          <w:numId w:val="73"/>
        </w:numPr>
        <w:rPr>
          <w:color w:val="auto"/>
          <w:highlight w:val="none"/>
        </w:rPr>
      </w:pPr>
      <w:r>
        <w:rPr>
          <w:rFonts w:hint="eastAsia"/>
          <w:color w:val="auto"/>
          <w:highlight w:val="none"/>
        </w:rPr>
        <w:t>满刮腻子：根据墙体基层的不同和浆活等级要求的不同，刮腻子的遍数为三遍，腻子的配合比为重量比其配合比为：聚醋酸乙烯乳液（即白乳胶）∶滑石粉或大白粉∶</w:t>
      </w:r>
      <w:r>
        <w:rPr>
          <w:color w:val="auto"/>
          <w:highlight w:val="none"/>
        </w:rPr>
        <w:t>2%</w:t>
      </w:r>
      <w:r>
        <w:rPr>
          <w:rFonts w:hint="eastAsia"/>
          <w:color w:val="auto"/>
          <w:highlight w:val="none"/>
        </w:rPr>
        <w:t>羧甲基纤维素溶液</w:t>
      </w:r>
      <w:r>
        <w:rPr>
          <w:color w:val="auto"/>
          <w:highlight w:val="none"/>
        </w:rPr>
        <w:t>=1</w:t>
      </w:r>
      <w:r>
        <w:rPr>
          <w:rFonts w:hint="eastAsia"/>
          <w:color w:val="auto"/>
          <w:highlight w:val="none"/>
        </w:rPr>
        <w:t>∶</w:t>
      </w:r>
      <w:r>
        <w:rPr>
          <w:color w:val="auto"/>
          <w:highlight w:val="none"/>
        </w:rPr>
        <w:t>5</w:t>
      </w:r>
      <w:r>
        <w:rPr>
          <w:rFonts w:hint="eastAsia"/>
          <w:color w:val="auto"/>
          <w:highlight w:val="none"/>
        </w:rPr>
        <w:t>∶</w:t>
      </w:r>
      <w:r>
        <w:rPr>
          <w:color w:val="auto"/>
          <w:highlight w:val="none"/>
        </w:rPr>
        <w:t>3.5</w:t>
      </w:r>
    </w:p>
    <w:p>
      <w:pPr>
        <w:pStyle w:val="9"/>
        <w:numPr>
          <w:ilvl w:val="1"/>
          <w:numId w:val="73"/>
        </w:numPr>
        <w:rPr>
          <w:color w:val="auto"/>
          <w:highlight w:val="none"/>
        </w:rPr>
      </w:pPr>
      <w:r>
        <w:rPr>
          <w:rFonts w:hint="eastAsia"/>
          <w:color w:val="auto"/>
          <w:highlight w:val="none"/>
        </w:rPr>
        <w:t>刷、喷三遍乳胶漆，前两遍乳胶漆待干透后各用细砂纸打磨一遍。</w:t>
      </w:r>
    </w:p>
    <w:p>
      <w:pPr>
        <w:pStyle w:val="10"/>
        <w:numPr>
          <w:ilvl w:val="2"/>
          <w:numId w:val="65"/>
        </w:numPr>
        <w:rPr>
          <w:color w:val="auto"/>
          <w:highlight w:val="none"/>
        </w:rPr>
      </w:pPr>
      <w:r>
        <w:rPr>
          <w:rFonts w:hint="eastAsia"/>
          <w:color w:val="auto"/>
          <w:highlight w:val="none"/>
        </w:rPr>
        <w:t>防潮涂料—现浇板底薄水泥浆加胶水喷底，做</w:t>
      </w:r>
      <w:r>
        <w:rPr>
          <w:color w:val="auto"/>
          <w:highlight w:val="none"/>
        </w:rPr>
        <w:t>1:1:</w:t>
      </w:r>
      <w:bookmarkEnd w:id="58"/>
      <w:r>
        <w:rPr>
          <w:color w:val="auto"/>
          <w:highlight w:val="none"/>
        </w:rPr>
        <w:t>6</w:t>
      </w:r>
      <w:r>
        <w:rPr>
          <w:rFonts w:hint="eastAsia"/>
          <w:color w:val="auto"/>
          <w:highlight w:val="none"/>
        </w:rPr>
        <w:t>混合水泥，砂浆</w:t>
      </w:r>
      <w:r>
        <w:rPr>
          <w:color w:val="auto"/>
          <w:highlight w:val="none"/>
        </w:rPr>
        <w:t>15</w:t>
      </w:r>
      <w:r>
        <w:rPr>
          <w:rFonts w:hint="eastAsia"/>
          <w:color w:val="auto"/>
          <w:highlight w:val="none"/>
        </w:rPr>
        <w:t>厚，分二次粉光，石膏粉批嵌，上刷白色环保型水性涂料二度。</w:t>
      </w:r>
    </w:p>
    <w:p>
      <w:pPr>
        <w:pStyle w:val="10"/>
        <w:numPr>
          <w:ilvl w:val="2"/>
          <w:numId w:val="65"/>
        </w:numPr>
        <w:rPr>
          <w:color w:val="auto"/>
          <w:highlight w:val="none"/>
        </w:rPr>
      </w:pPr>
      <w:r>
        <w:rPr>
          <w:rFonts w:hint="eastAsia"/>
          <w:color w:val="auto"/>
          <w:highlight w:val="none"/>
        </w:rPr>
        <w:t>天然真石漆</w:t>
      </w:r>
      <w:r>
        <w:rPr>
          <w:color w:val="auto"/>
          <w:highlight w:val="none"/>
        </w:rPr>
        <w:t>:</w:t>
      </w:r>
      <w:r>
        <w:rPr>
          <w:rFonts w:hint="eastAsia"/>
          <w:color w:val="auto"/>
          <w:highlight w:val="none"/>
        </w:rPr>
        <w:t>适用于水泥墙体木板，纸，泡沫，玻璃，胶合板的基层。基层处理达到平滑，干燥，结实。易受潮部位及木板基层喷涂防潮底漆（室外墙体必须）。一遍喷涂，厚均</w:t>
      </w:r>
      <w:r>
        <w:rPr>
          <w:color w:val="auto"/>
          <w:highlight w:val="none"/>
        </w:rPr>
        <w:t>2~3mm</w:t>
      </w:r>
      <w:r>
        <w:rPr>
          <w:rFonts w:hint="eastAsia"/>
          <w:color w:val="auto"/>
          <w:highlight w:val="none"/>
        </w:rPr>
        <w:t>，待稍干。二次喷涂，厚均</w:t>
      </w:r>
      <w:r>
        <w:rPr>
          <w:color w:val="auto"/>
          <w:highlight w:val="none"/>
        </w:rPr>
        <w:t>2~3mm</w:t>
      </w:r>
      <w:r>
        <w:rPr>
          <w:rFonts w:hint="eastAsia"/>
          <w:color w:val="auto"/>
          <w:highlight w:val="none"/>
        </w:rPr>
        <w:t>，待稍干。天然真石漆防水保护膜（室外墙体必须）。</w:t>
      </w:r>
    </w:p>
    <w:p>
      <w:pPr>
        <w:pStyle w:val="8"/>
        <w:numPr>
          <w:ilvl w:val="0"/>
          <w:numId w:val="71"/>
        </w:numPr>
        <w:rPr>
          <w:color w:val="auto"/>
          <w:highlight w:val="none"/>
        </w:rPr>
      </w:pPr>
      <w:r>
        <w:rPr>
          <w:rFonts w:hint="eastAsia"/>
          <w:color w:val="auto"/>
          <w:highlight w:val="none"/>
        </w:rPr>
        <w:t>油漆的施工技术要求</w:t>
      </w:r>
    </w:p>
    <w:p>
      <w:pPr>
        <w:pStyle w:val="9"/>
        <w:numPr>
          <w:ilvl w:val="1"/>
          <w:numId w:val="74"/>
        </w:numPr>
        <w:rPr>
          <w:color w:val="auto"/>
          <w:highlight w:val="none"/>
        </w:rPr>
      </w:pPr>
      <w:r>
        <w:rPr>
          <w:rFonts w:hint="eastAsia"/>
          <w:color w:val="auto"/>
          <w:highlight w:val="none"/>
        </w:rPr>
        <w:t>在施工前根据图纸要求，应先做一块不少于</w:t>
      </w:r>
      <w:r>
        <w:rPr>
          <w:color w:val="auto"/>
          <w:highlight w:val="none"/>
        </w:rPr>
        <w:t>300X300mm</w:t>
      </w:r>
      <w:r>
        <w:rPr>
          <w:rFonts w:hint="eastAsia"/>
          <w:color w:val="auto"/>
          <w:highlight w:val="none"/>
        </w:rPr>
        <w:t>的饰面板进行油漆。样品制好后，待设计师及发包人认可方能大面积施工。</w:t>
      </w:r>
    </w:p>
    <w:p>
      <w:pPr>
        <w:pStyle w:val="9"/>
        <w:numPr>
          <w:ilvl w:val="1"/>
          <w:numId w:val="74"/>
        </w:numPr>
        <w:rPr>
          <w:color w:val="auto"/>
          <w:highlight w:val="none"/>
        </w:rPr>
      </w:pPr>
      <w:r>
        <w:rPr>
          <w:rFonts w:hint="eastAsia"/>
          <w:color w:val="auto"/>
          <w:highlight w:val="none"/>
        </w:rPr>
        <w:t>工具：所用于油漆的工具排笔都必须是清洁、干净、无异物，包括喷漆的压缩机、管道和喷枪都要干净。</w:t>
      </w:r>
    </w:p>
    <w:p>
      <w:pPr>
        <w:pStyle w:val="9"/>
        <w:numPr>
          <w:ilvl w:val="1"/>
          <w:numId w:val="74"/>
        </w:numPr>
        <w:rPr>
          <w:color w:val="auto"/>
          <w:highlight w:val="none"/>
        </w:rPr>
      </w:pPr>
      <w:r>
        <w:rPr>
          <w:rFonts w:hint="eastAsia"/>
          <w:color w:val="auto"/>
          <w:highlight w:val="none"/>
        </w:rPr>
        <w:t>环境：所有装饰件的油漆施工都应该是在干净的环境中进行，油漆作业时，严禁在封闭的地方进行，为了减少气体积聚密度，一定要通风透气。</w:t>
      </w:r>
    </w:p>
    <w:p>
      <w:pPr>
        <w:widowControl/>
        <w:tabs>
          <w:tab w:val="left" w:pos="0"/>
        </w:tabs>
        <w:ind w:left="1200" w:firstLine="581"/>
        <w:rPr>
          <w:rFonts w:cs="Times New Roman" w:asciiTheme="minorEastAsia" w:hAnsiTheme="minorEastAsia"/>
          <w:color w:val="auto"/>
          <w:szCs w:val="24"/>
          <w:highlight w:val="none"/>
          <w:lang w:eastAsia="zh-CN"/>
        </w:rPr>
      </w:pPr>
      <w:r>
        <w:rPr>
          <w:rFonts w:cs="Times New Roman" w:asciiTheme="minorEastAsia" w:hAnsiTheme="minorEastAsia"/>
          <w:color w:val="auto"/>
          <w:szCs w:val="24"/>
          <w:highlight w:val="none"/>
          <w:lang w:eastAsia="zh-CN"/>
        </w:rPr>
        <w:t>d)</w:t>
      </w:r>
      <w:r>
        <w:rPr>
          <w:rFonts w:hint="eastAsia" w:cs="Times New Roman" w:asciiTheme="minorEastAsia" w:hAnsiTheme="minorEastAsia"/>
          <w:color w:val="auto"/>
          <w:szCs w:val="24"/>
          <w:highlight w:val="none"/>
          <w:lang w:eastAsia="zh-CN"/>
        </w:rPr>
        <w:t>油漆的材料：所选用的颜色和油漆种类一定要按设计要求和确认样品后才能使用，所有油漆材料必须有产品合格证及商检测试报告。并在储存有效期内使用。</w:t>
      </w:r>
    </w:p>
    <w:p>
      <w:pPr>
        <w:pStyle w:val="8"/>
        <w:numPr>
          <w:ilvl w:val="0"/>
          <w:numId w:val="71"/>
        </w:numPr>
        <w:rPr>
          <w:color w:val="auto"/>
          <w:highlight w:val="none"/>
        </w:rPr>
      </w:pPr>
      <w:r>
        <w:rPr>
          <w:rFonts w:hint="eastAsia"/>
          <w:color w:val="auto"/>
          <w:highlight w:val="none"/>
        </w:rPr>
        <w:t>工艺程序要求：</w:t>
      </w:r>
    </w:p>
    <w:p>
      <w:pPr>
        <w:pStyle w:val="9"/>
        <w:numPr>
          <w:ilvl w:val="1"/>
          <w:numId w:val="75"/>
        </w:numPr>
        <w:rPr>
          <w:color w:val="auto"/>
          <w:highlight w:val="none"/>
        </w:rPr>
      </w:pPr>
      <w:r>
        <w:rPr>
          <w:rFonts w:hint="eastAsia"/>
          <w:color w:val="auto"/>
          <w:highlight w:val="none"/>
        </w:rPr>
        <w:t>所有油漆的木饰面板表面均用砂布先打磨光滑并清除粉尘。</w:t>
      </w:r>
    </w:p>
    <w:p>
      <w:pPr>
        <w:pStyle w:val="9"/>
        <w:numPr>
          <w:ilvl w:val="1"/>
          <w:numId w:val="75"/>
        </w:numPr>
        <w:rPr>
          <w:color w:val="auto"/>
          <w:highlight w:val="none"/>
        </w:rPr>
      </w:pPr>
      <w:r>
        <w:rPr>
          <w:rFonts w:hint="eastAsia"/>
          <w:color w:val="auto"/>
          <w:highlight w:val="none"/>
        </w:rPr>
        <w:t>非原本色的油漆（手扫漆）表面要先补灰，补灰腻子的材料必须适应油漆的附着，避免脱层现象。灰层厚度适当，待干透后再进行反复打磨，直至光滑平整无缺陷、不出现裂口为止。还应注意报据使用部位，基层材料底涂料和面涂料的不同性能，合理地选用腻子的配合比。</w:t>
      </w:r>
    </w:p>
    <w:p>
      <w:pPr>
        <w:pStyle w:val="9"/>
        <w:numPr>
          <w:ilvl w:val="1"/>
          <w:numId w:val="75"/>
        </w:numPr>
        <w:rPr>
          <w:color w:val="auto"/>
          <w:highlight w:val="none"/>
        </w:rPr>
      </w:pPr>
      <w:r>
        <w:rPr>
          <w:rFonts w:hint="eastAsia"/>
          <w:color w:val="auto"/>
          <w:highlight w:val="none"/>
        </w:rPr>
        <w:t>清漆油漆的施工需分层次进行。不同的漆类进行的次数均不相同，严禁一次性完成。对本色清漆的装饰面，先进行清漆封闭处理，刷漆二遍（防止饰面受污染）再进行加工成型后补钉孔，补灰缝，打砂纸，去粉尘后，喷漆二遍（不能有流泪痕迹，不能有发白现象，不能有微细气泡等缺陷，做完的油漆面应平滑，手感丰满。</w:t>
      </w:r>
    </w:p>
    <w:p>
      <w:pPr>
        <w:pStyle w:val="9"/>
        <w:numPr>
          <w:ilvl w:val="1"/>
          <w:numId w:val="75"/>
        </w:numPr>
        <w:rPr>
          <w:color w:val="auto"/>
          <w:highlight w:val="none"/>
        </w:rPr>
      </w:pPr>
      <w:r>
        <w:rPr>
          <w:rFonts w:hint="eastAsia"/>
          <w:color w:val="auto"/>
          <w:highlight w:val="none"/>
        </w:rPr>
        <w:t>不管是油刷还是喷射施工，对不该油的部位应先保护起来，严禁有油漆占上后再铲除的处理方式。</w:t>
      </w:r>
    </w:p>
    <w:p>
      <w:pPr>
        <w:pStyle w:val="9"/>
        <w:numPr>
          <w:ilvl w:val="1"/>
          <w:numId w:val="75"/>
        </w:numPr>
        <w:rPr>
          <w:color w:val="auto"/>
          <w:highlight w:val="none"/>
        </w:rPr>
      </w:pPr>
      <w:r>
        <w:rPr>
          <w:rFonts w:hint="eastAsia"/>
          <w:color w:val="auto"/>
          <w:highlight w:val="none"/>
        </w:rPr>
        <w:t>在整套工序完成后，油漆层完全自然干透后，再进行保护处理。</w:t>
      </w:r>
    </w:p>
    <w:p>
      <w:pPr>
        <w:pStyle w:val="9"/>
        <w:numPr>
          <w:ilvl w:val="1"/>
          <w:numId w:val="75"/>
        </w:numPr>
        <w:rPr>
          <w:color w:val="auto"/>
          <w:highlight w:val="none"/>
        </w:rPr>
      </w:pPr>
      <w:r>
        <w:rPr>
          <w:rFonts w:hint="eastAsia"/>
          <w:color w:val="auto"/>
          <w:highlight w:val="none"/>
        </w:rPr>
        <w:t>遇上天气湿度大，油漆未干时，不能强行用太阳灯管进行加热烘干的错误做法进行作业，会引起火灾。油漆期间，绝对严禁吸烟、生火。</w:t>
      </w:r>
    </w:p>
    <w:p>
      <w:pPr>
        <w:pStyle w:val="9"/>
        <w:numPr>
          <w:ilvl w:val="1"/>
          <w:numId w:val="75"/>
        </w:numPr>
        <w:rPr>
          <w:color w:val="auto"/>
          <w:highlight w:val="none"/>
        </w:rPr>
      </w:pPr>
      <w:r>
        <w:rPr>
          <w:rFonts w:hint="eastAsia"/>
          <w:color w:val="auto"/>
          <w:highlight w:val="none"/>
        </w:rPr>
        <w:t>油料应单独堆放和储存在四周砖结构的仓库。库门口放一定数量的灭火器及砂箱，油漆库内不能放道其他易燃物品。领取油漆不能在仓库内进行油漆稀释调配。完剩的油漆应加盖密封好或用板加盖好，不应随意乱放。</w:t>
      </w:r>
    </w:p>
    <w:p>
      <w:pPr>
        <w:pStyle w:val="9"/>
        <w:numPr>
          <w:ilvl w:val="1"/>
          <w:numId w:val="75"/>
        </w:numPr>
        <w:rPr>
          <w:color w:val="auto"/>
          <w:highlight w:val="none"/>
        </w:rPr>
      </w:pPr>
      <w:r>
        <w:rPr>
          <w:rFonts w:hint="eastAsia"/>
          <w:color w:val="auto"/>
          <w:highlight w:val="none"/>
        </w:rPr>
        <w:t>洗手、洗刷、洗喷枪剩余的残油及抹布不能乱扔乱倒，慎防火灾。</w:t>
      </w:r>
    </w:p>
    <w:p>
      <w:pPr>
        <w:pStyle w:val="7"/>
        <w:rPr>
          <w:color w:val="auto"/>
          <w:highlight w:val="none"/>
        </w:rPr>
      </w:pPr>
      <w:r>
        <w:rPr>
          <w:rFonts w:hint="eastAsia"/>
          <w:color w:val="auto"/>
          <w:highlight w:val="none"/>
        </w:rPr>
        <w:t>木结构、木饰面板的施工技术要求</w:t>
      </w:r>
    </w:p>
    <w:p>
      <w:pPr>
        <w:widowControl/>
        <w:ind w:firstLine="480" w:firstLineChars="200"/>
        <w:rPr>
          <w:rFonts w:cs="Times New Roman" w:asciiTheme="minorEastAsia" w:hAnsiTheme="minorEastAsia"/>
          <w:color w:val="auto"/>
          <w:szCs w:val="24"/>
          <w:highlight w:val="none"/>
        </w:rPr>
      </w:pPr>
      <w:r>
        <w:rPr>
          <w:rFonts w:hint="eastAsia" w:cs="Times New Roman" w:asciiTheme="minorEastAsia" w:hAnsiTheme="minorEastAsia"/>
          <w:color w:val="auto"/>
          <w:szCs w:val="24"/>
          <w:highlight w:val="none"/>
          <w:lang w:eastAsia="zh-CN"/>
        </w:rPr>
        <w:t>首先熟识图纸；测量实际尺寸与图纸中尺寸是否相符，如出入太大，需经设计师修改设计后，方能施工。同时对新、老图纸应分开，无另外通知均以新图为准。然后定出基准线，并注意如下事项：</w:t>
      </w:r>
    </w:p>
    <w:p>
      <w:pPr>
        <w:widowControl/>
        <w:numPr>
          <w:ilvl w:val="5"/>
          <w:numId w:val="76"/>
        </w:numPr>
        <w:tabs>
          <w:tab w:val="left" w:pos="0"/>
        </w:tabs>
        <w:ind w:left="0"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选用的木料必须干燥木材，无裂痕、无蛀腐，夹板</w:t>
      </w:r>
      <w:r>
        <w:rPr>
          <w:rFonts w:cs="Times New Roman" w:asciiTheme="minorEastAsia" w:hAnsiTheme="minorEastAsia"/>
          <w:color w:val="auto"/>
          <w:szCs w:val="24"/>
          <w:highlight w:val="none"/>
          <w:lang w:eastAsia="zh-CN"/>
        </w:rPr>
        <w:t>3-18mm</w:t>
      </w:r>
      <w:r>
        <w:rPr>
          <w:rFonts w:hint="eastAsia" w:cs="Times New Roman" w:asciiTheme="minorEastAsia" w:hAnsiTheme="minorEastAsia"/>
          <w:color w:val="auto"/>
          <w:szCs w:val="24"/>
          <w:highlight w:val="none"/>
          <w:lang w:eastAsia="zh-CN"/>
        </w:rPr>
        <w:t>均按设计要求选用进口或国产一级品</w:t>
      </w:r>
      <w:r>
        <w:rPr>
          <w:rFonts w:cs="Times New Roman" w:asciiTheme="minorEastAsia" w:hAnsiTheme="minorEastAsia"/>
          <w:color w:val="auto"/>
          <w:szCs w:val="24"/>
          <w:highlight w:val="none"/>
          <w:lang w:eastAsia="zh-CN"/>
        </w:rPr>
        <w:t xml:space="preserve">, </w:t>
      </w:r>
      <w:r>
        <w:rPr>
          <w:rFonts w:hint="eastAsia" w:cs="Times New Roman" w:asciiTheme="minorEastAsia" w:hAnsiTheme="minorEastAsia"/>
          <w:color w:val="auto"/>
          <w:szCs w:val="24"/>
          <w:highlight w:val="none"/>
          <w:lang w:eastAsia="zh-CN"/>
        </w:rPr>
        <w:t>夹板规格为</w:t>
      </w:r>
      <w:r>
        <w:rPr>
          <w:rFonts w:cs="Times New Roman" w:asciiTheme="minorEastAsia" w:hAnsiTheme="minorEastAsia"/>
          <w:color w:val="auto"/>
          <w:szCs w:val="24"/>
          <w:highlight w:val="none"/>
          <w:lang w:eastAsia="zh-CN"/>
        </w:rPr>
        <w:t>2440X1220,</w:t>
      </w:r>
      <w:r>
        <w:rPr>
          <w:rFonts w:hint="eastAsia" w:cs="Times New Roman" w:asciiTheme="minorEastAsia" w:hAnsiTheme="minorEastAsia"/>
          <w:color w:val="auto"/>
          <w:szCs w:val="24"/>
          <w:highlight w:val="none"/>
          <w:lang w:eastAsia="zh-CN"/>
        </w:rPr>
        <w:t>且合理用料</w:t>
      </w:r>
      <w:r>
        <w:rPr>
          <w:rFonts w:cs="Times New Roman" w:asciiTheme="minorEastAsia" w:hAnsiTheme="minorEastAsia"/>
          <w:color w:val="auto"/>
          <w:szCs w:val="24"/>
          <w:highlight w:val="none"/>
          <w:lang w:eastAsia="zh-CN"/>
        </w:rPr>
        <w:t>,</w:t>
      </w:r>
      <w:r>
        <w:rPr>
          <w:rFonts w:hint="eastAsia" w:cs="Times New Roman" w:asciiTheme="minorEastAsia" w:hAnsiTheme="minorEastAsia"/>
          <w:color w:val="auto"/>
          <w:szCs w:val="24"/>
          <w:highlight w:val="none"/>
          <w:lang w:eastAsia="zh-CN"/>
        </w:rPr>
        <w:t>如天棚有吸顶灯的部位用</w:t>
      </w:r>
      <w:r>
        <w:rPr>
          <w:rFonts w:cs="Times New Roman" w:asciiTheme="minorEastAsia" w:hAnsiTheme="minorEastAsia"/>
          <w:color w:val="auto"/>
          <w:szCs w:val="24"/>
          <w:highlight w:val="none"/>
          <w:lang w:eastAsia="zh-CN"/>
        </w:rPr>
        <w:t>9mm,</w:t>
      </w:r>
      <w:r>
        <w:rPr>
          <w:rFonts w:hint="eastAsia" w:cs="Times New Roman" w:asciiTheme="minorEastAsia" w:hAnsiTheme="minorEastAsia"/>
          <w:color w:val="auto"/>
          <w:szCs w:val="24"/>
          <w:highlight w:val="none"/>
          <w:lang w:eastAsia="zh-CN"/>
        </w:rPr>
        <w:t>贴镜部位用</w:t>
      </w:r>
      <w:r>
        <w:rPr>
          <w:rFonts w:cs="Times New Roman" w:asciiTheme="minorEastAsia" w:hAnsiTheme="minorEastAsia"/>
          <w:color w:val="auto"/>
          <w:szCs w:val="24"/>
          <w:highlight w:val="none"/>
          <w:lang w:eastAsia="zh-CN"/>
        </w:rPr>
        <w:t>9mm,</w:t>
      </w:r>
      <w:r>
        <w:rPr>
          <w:rFonts w:hint="eastAsia" w:cs="Times New Roman" w:asciiTheme="minorEastAsia" w:hAnsiTheme="minorEastAsia"/>
          <w:color w:val="auto"/>
          <w:szCs w:val="24"/>
          <w:highlight w:val="none"/>
          <w:lang w:eastAsia="zh-CN"/>
        </w:rPr>
        <w:t>迭级造型天花制作采用</w:t>
      </w:r>
      <w:r>
        <w:rPr>
          <w:rFonts w:cs="Times New Roman" w:asciiTheme="minorEastAsia" w:hAnsiTheme="minorEastAsia"/>
          <w:color w:val="auto"/>
          <w:szCs w:val="24"/>
          <w:highlight w:val="none"/>
          <w:lang w:eastAsia="zh-CN"/>
        </w:rPr>
        <w:t>12mm-18mm</w:t>
      </w:r>
      <w:r>
        <w:rPr>
          <w:rFonts w:hint="eastAsia" w:cs="Times New Roman" w:asciiTheme="minorEastAsia" w:hAnsiTheme="minorEastAsia"/>
          <w:color w:val="auto"/>
          <w:szCs w:val="24"/>
          <w:highlight w:val="none"/>
          <w:lang w:eastAsia="zh-CN"/>
        </w:rPr>
        <w:t>夹板</w:t>
      </w:r>
      <w:r>
        <w:rPr>
          <w:rFonts w:cs="Times New Roman" w:asciiTheme="minorEastAsia" w:hAnsiTheme="minorEastAsia"/>
          <w:color w:val="auto"/>
          <w:szCs w:val="24"/>
          <w:highlight w:val="none"/>
          <w:lang w:eastAsia="zh-CN"/>
        </w:rPr>
        <w:t>,</w:t>
      </w:r>
      <w:r>
        <w:rPr>
          <w:rFonts w:hint="eastAsia" w:cs="Times New Roman" w:asciiTheme="minorEastAsia" w:hAnsiTheme="minorEastAsia"/>
          <w:color w:val="auto"/>
          <w:szCs w:val="24"/>
          <w:highlight w:val="none"/>
          <w:lang w:eastAsia="zh-CN"/>
        </w:rPr>
        <w:t>弧形面采用</w:t>
      </w:r>
      <w:r>
        <w:rPr>
          <w:rFonts w:cs="Times New Roman" w:asciiTheme="minorEastAsia" w:hAnsiTheme="minorEastAsia"/>
          <w:color w:val="auto"/>
          <w:szCs w:val="24"/>
          <w:highlight w:val="none"/>
          <w:lang w:eastAsia="zh-CN"/>
        </w:rPr>
        <w:t>3-5mm</w:t>
      </w:r>
      <w:r>
        <w:rPr>
          <w:rFonts w:hint="eastAsia" w:cs="Times New Roman" w:asciiTheme="minorEastAsia" w:hAnsiTheme="minorEastAsia"/>
          <w:color w:val="auto"/>
          <w:szCs w:val="24"/>
          <w:highlight w:val="none"/>
          <w:lang w:eastAsia="zh-CN"/>
        </w:rPr>
        <w:t>夹板</w:t>
      </w:r>
      <w:r>
        <w:rPr>
          <w:rFonts w:cs="Times New Roman" w:asciiTheme="minorEastAsia" w:hAnsiTheme="minorEastAsia"/>
          <w:color w:val="auto"/>
          <w:szCs w:val="24"/>
          <w:highlight w:val="none"/>
          <w:lang w:eastAsia="zh-CN"/>
        </w:rPr>
        <w:t>,</w:t>
      </w:r>
      <w:r>
        <w:rPr>
          <w:rFonts w:hint="eastAsia" w:cs="Times New Roman" w:asciiTheme="minorEastAsia" w:hAnsiTheme="minorEastAsia"/>
          <w:color w:val="auto"/>
          <w:szCs w:val="24"/>
          <w:highlight w:val="none"/>
          <w:lang w:eastAsia="zh-CN"/>
        </w:rPr>
        <w:t>木龙骨采用</w:t>
      </w:r>
      <w:r>
        <w:rPr>
          <w:rFonts w:cs="Times New Roman" w:asciiTheme="minorEastAsia" w:hAnsiTheme="minorEastAsia"/>
          <w:color w:val="auto"/>
          <w:szCs w:val="24"/>
          <w:highlight w:val="none"/>
          <w:lang w:eastAsia="zh-CN"/>
        </w:rPr>
        <w:t>18mm</w:t>
      </w:r>
      <w:r>
        <w:rPr>
          <w:rFonts w:hint="eastAsia" w:cs="Times New Roman" w:asciiTheme="minorEastAsia" w:hAnsiTheme="minorEastAsia"/>
          <w:color w:val="auto"/>
          <w:szCs w:val="24"/>
          <w:highlight w:val="none"/>
          <w:lang w:eastAsia="zh-CN"/>
        </w:rPr>
        <w:t>大芯板支撑悬吊木方每平方四个点。</w:t>
      </w:r>
    </w:p>
    <w:p>
      <w:pPr>
        <w:widowControl/>
        <w:numPr>
          <w:ilvl w:val="5"/>
          <w:numId w:val="76"/>
        </w:numPr>
        <w:tabs>
          <w:tab w:val="left" w:pos="0"/>
        </w:tabs>
        <w:ind w:left="0"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木材内面必须涂上防火涂料两遍，靠墙的面须油防潮漆。</w:t>
      </w:r>
    </w:p>
    <w:p>
      <w:pPr>
        <w:widowControl/>
        <w:numPr>
          <w:ilvl w:val="5"/>
          <w:numId w:val="76"/>
        </w:numPr>
        <w:tabs>
          <w:tab w:val="left" w:pos="0"/>
        </w:tabs>
        <w:ind w:left="0"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接口和连结地地方必须牢固。</w:t>
      </w:r>
    </w:p>
    <w:p>
      <w:pPr>
        <w:widowControl/>
        <w:numPr>
          <w:ilvl w:val="5"/>
          <w:numId w:val="76"/>
        </w:numPr>
        <w:tabs>
          <w:tab w:val="left" w:pos="0"/>
        </w:tabs>
        <w:ind w:left="0"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封顶前必须请有关部门进行隐蔽工程检查，得到认可后才能进行。</w:t>
      </w:r>
    </w:p>
    <w:p>
      <w:pPr>
        <w:widowControl/>
        <w:numPr>
          <w:ilvl w:val="5"/>
          <w:numId w:val="76"/>
        </w:numPr>
        <w:tabs>
          <w:tab w:val="left" w:pos="0"/>
        </w:tabs>
        <w:ind w:left="0"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饰面板表面不能有缺陷，在一完整的饰面上不能在纹理的垂直方向出现接口，平行方向的接缝也要拼密，其他偏差范围应严控在有关规定范围之内。</w:t>
      </w:r>
    </w:p>
    <w:p>
      <w:pPr>
        <w:widowControl/>
        <w:numPr>
          <w:ilvl w:val="5"/>
          <w:numId w:val="76"/>
        </w:numPr>
        <w:tabs>
          <w:tab w:val="left" w:pos="0"/>
        </w:tabs>
        <w:ind w:left="0"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安装饰面板时，应注意逐块将该处的照明、弱电等导线拉出，出线孔的位置</w:t>
      </w:r>
      <w:r>
        <w:rPr>
          <w:rFonts w:cs="Times New Roman" w:asciiTheme="minorEastAsia" w:hAnsiTheme="minorEastAsia"/>
          <w:color w:val="auto"/>
          <w:szCs w:val="24"/>
          <w:highlight w:val="none"/>
          <w:lang w:eastAsia="zh-CN"/>
        </w:rPr>
        <w:t>,</w:t>
      </w:r>
      <w:r>
        <w:rPr>
          <w:rFonts w:hint="eastAsia" w:cs="Times New Roman" w:asciiTheme="minorEastAsia" w:hAnsiTheme="minorEastAsia"/>
          <w:color w:val="auto"/>
          <w:szCs w:val="24"/>
          <w:highlight w:val="none"/>
          <w:lang w:eastAsia="zh-CN"/>
        </w:rPr>
        <w:t>标高应符合装修设计要求。</w:t>
      </w:r>
    </w:p>
    <w:p>
      <w:pPr>
        <w:widowControl/>
        <w:numPr>
          <w:ilvl w:val="5"/>
          <w:numId w:val="76"/>
        </w:numPr>
        <w:tabs>
          <w:tab w:val="left" w:pos="0"/>
        </w:tabs>
        <w:ind w:left="0"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饰面板拼接“回字”花纹时、接口紧密无隙、木纹的排列应纵横连贯一致。安装时尽开能用针形气枪紧固、减少钉孔的明显度。木饰线收边时应周边平外一致、连接紧密均匀。</w:t>
      </w:r>
    </w:p>
    <w:p>
      <w:pPr>
        <w:widowControl/>
        <w:numPr>
          <w:ilvl w:val="5"/>
          <w:numId w:val="76"/>
        </w:numPr>
        <w:tabs>
          <w:tab w:val="left" w:pos="0"/>
        </w:tabs>
        <w:ind w:left="0"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木装饰花线应为干燥木材制作。无裂痕、无缺口、无毛边、头尾平直均匀、尺寸、规格、型号统一。长短视乎装饰件的要求而合理挑选。（减少浪费）木装饰花线在安装前应按设计图纸选型加工，并得到有关单位认可，才大批量加工。</w:t>
      </w:r>
    </w:p>
    <w:p>
      <w:pPr>
        <w:pStyle w:val="7"/>
        <w:rPr>
          <w:color w:val="auto"/>
          <w:highlight w:val="none"/>
        </w:rPr>
      </w:pPr>
      <w:r>
        <w:rPr>
          <w:rFonts w:hint="eastAsia"/>
          <w:color w:val="auto"/>
          <w:highlight w:val="none"/>
        </w:rPr>
        <w:t>木门施工技术要求</w:t>
      </w:r>
    </w:p>
    <w:p>
      <w:pPr>
        <w:widowControl/>
        <w:ind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必须采用符合设计要求的成品木门。</w:t>
      </w:r>
    </w:p>
    <w:p>
      <w:pPr>
        <w:widowControl/>
        <w:ind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首先根据门的图纸，检查门的型号、规格、门框色颜色，木门材质材是否符合要求，然后根据门窗的安装规范进行施工，应注意如下问题：</w:t>
      </w:r>
    </w:p>
    <w:p>
      <w:pPr>
        <w:widowControl/>
        <w:numPr>
          <w:ilvl w:val="0"/>
          <w:numId w:val="77"/>
        </w:numPr>
        <w:tabs>
          <w:tab w:val="left" w:pos="0"/>
        </w:tabs>
        <w:ind w:left="0"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根据图纸对门洞做水平和垂直的校正，门框木质必须坚实，门框靠墙面做好防潮处理，如门框埋下地面</w:t>
      </w:r>
      <w:r>
        <w:rPr>
          <w:rFonts w:cs="Times New Roman" w:asciiTheme="minorEastAsia" w:hAnsiTheme="minorEastAsia"/>
          <w:color w:val="auto"/>
          <w:szCs w:val="24"/>
          <w:highlight w:val="none"/>
          <w:lang w:eastAsia="zh-CN"/>
        </w:rPr>
        <w:t>10mm</w:t>
      </w:r>
      <w:r>
        <w:rPr>
          <w:rFonts w:hint="eastAsia" w:cs="Times New Roman" w:asciiTheme="minorEastAsia" w:hAnsiTheme="minorEastAsia"/>
          <w:color w:val="auto"/>
          <w:szCs w:val="24"/>
          <w:highlight w:val="none"/>
          <w:lang w:eastAsia="zh-CN"/>
        </w:rPr>
        <w:t>部分应做好防潮封闭处理。</w:t>
      </w:r>
    </w:p>
    <w:p>
      <w:pPr>
        <w:widowControl/>
        <w:numPr>
          <w:ilvl w:val="0"/>
          <w:numId w:val="77"/>
        </w:numPr>
        <w:tabs>
          <w:tab w:val="left" w:pos="0"/>
        </w:tabs>
        <w:ind w:left="0"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固定门框可采用焊接，膨胀螺栓或射钉等方式，但砖墙严禁用射钉固定。门框装好调平垂直后，用水泥砂浆，把门框内侧空位填实批平。</w:t>
      </w:r>
    </w:p>
    <w:p>
      <w:pPr>
        <w:widowControl/>
        <w:numPr>
          <w:ilvl w:val="0"/>
          <w:numId w:val="77"/>
        </w:numPr>
        <w:tabs>
          <w:tab w:val="left" w:pos="0"/>
        </w:tabs>
        <w:ind w:left="0"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门套制作应考虑饰面板与实木装饰线的收口处理，碰接缝必须密实无间隙。门套木装饰线不能在中间接驳。木线并接要平整光滑。门套上下之间尺寸必须一致，对角线相等。门扇制作时必须防止变形，因此做门的骨架木方时就防变型技术处理。门扇的基层及饰面板的贴合应考虑总的厚度，与门锁的配合必须一致。门扇本身的造型拼花应对称均匀，拼缝细密，跌级地方实木装饰线压边收口，门扇周边实木收边收口。</w:t>
      </w:r>
    </w:p>
    <w:p>
      <w:pPr>
        <w:widowControl/>
        <w:numPr>
          <w:ilvl w:val="0"/>
          <w:numId w:val="77"/>
        </w:numPr>
        <w:tabs>
          <w:tab w:val="left" w:pos="0"/>
        </w:tabs>
        <w:ind w:left="0"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门扇与地面缝（装饰面</w:t>
      </w:r>
      <w:r>
        <w:rPr>
          <w:rFonts w:cs="Times New Roman" w:asciiTheme="minorEastAsia" w:hAnsiTheme="minorEastAsia"/>
          <w:color w:val="auto"/>
          <w:szCs w:val="24"/>
          <w:highlight w:val="none"/>
          <w:lang w:eastAsia="zh-CN"/>
        </w:rPr>
        <w:t>5mm</w:t>
      </w:r>
      <w:r>
        <w:rPr>
          <w:rFonts w:hint="eastAsia" w:cs="Times New Roman" w:asciiTheme="minorEastAsia" w:hAnsiTheme="minorEastAsia"/>
          <w:color w:val="auto"/>
          <w:szCs w:val="24"/>
          <w:highlight w:val="none"/>
          <w:lang w:eastAsia="zh-CN"/>
        </w:rPr>
        <w:t>）。</w:t>
      </w:r>
    </w:p>
    <w:p>
      <w:pPr>
        <w:widowControl/>
        <w:numPr>
          <w:ilvl w:val="0"/>
          <w:numId w:val="77"/>
        </w:numPr>
        <w:tabs>
          <w:tab w:val="left" w:pos="0"/>
        </w:tabs>
        <w:ind w:left="0"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门扇与门企缝（油漆前</w:t>
      </w:r>
      <w:r>
        <w:rPr>
          <w:rFonts w:cs="Times New Roman" w:asciiTheme="minorEastAsia" w:hAnsiTheme="minorEastAsia"/>
          <w:color w:val="auto"/>
          <w:szCs w:val="24"/>
          <w:highlight w:val="none"/>
          <w:lang w:eastAsia="zh-CN"/>
        </w:rPr>
        <w:t>2</w:t>
      </w:r>
      <w:r>
        <w:rPr>
          <w:rFonts w:hint="eastAsia" w:cs="Times New Roman" w:asciiTheme="minorEastAsia" w:hAnsiTheme="minorEastAsia"/>
          <w:color w:val="auto"/>
          <w:szCs w:val="24"/>
          <w:highlight w:val="none"/>
          <w:lang w:eastAsia="zh-CN"/>
        </w:rPr>
        <w:t>～</w:t>
      </w:r>
      <w:r>
        <w:rPr>
          <w:rFonts w:cs="Times New Roman" w:asciiTheme="minorEastAsia" w:hAnsiTheme="minorEastAsia"/>
          <w:color w:val="auto"/>
          <w:szCs w:val="24"/>
          <w:highlight w:val="none"/>
          <w:lang w:eastAsia="zh-CN"/>
        </w:rPr>
        <w:t>2.5mm</w:t>
      </w:r>
      <w:r>
        <w:rPr>
          <w:rFonts w:hint="eastAsia" w:cs="Times New Roman" w:asciiTheme="minorEastAsia" w:hAnsiTheme="minorEastAsia"/>
          <w:color w:val="auto"/>
          <w:szCs w:val="24"/>
          <w:highlight w:val="none"/>
          <w:lang w:eastAsia="zh-CN"/>
        </w:rPr>
        <w:t>）</w:t>
      </w:r>
    </w:p>
    <w:p>
      <w:pPr>
        <w:widowControl/>
        <w:numPr>
          <w:ilvl w:val="0"/>
          <w:numId w:val="77"/>
        </w:numPr>
        <w:tabs>
          <w:tab w:val="left" w:pos="0"/>
        </w:tabs>
        <w:ind w:left="0"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门扇与门上框缝（油漆前</w:t>
      </w:r>
      <w:r>
        <w:rPr>
          <w:rFonts w:cs="Times New Roman" w:asciiTheme="minorEastAsia" w:hAnsiTheme="minorEastAsia"/>
          <w:color w:val="auto"/>
          <w:szCs w:val="24"/>
          <w:highlight w:val="none"/>
          <w:lang w:eastAsia="zh-CN"/>
        </w:rPr>
        <w:t>2mm</w:t>
      </w:r>
      <w:r>
        <w:rPr>
          <w:rFonts w:hint="eastAsia" w:cs="Times New Roman" w:asciiTheme="minorEastAsia" w:hAnsiTheme="minorEastAsia"/>
          <w:color w:val="auto"/>
          <w:szCs w:val="24"/>
          <w:highlight w:val="none"/>
          <w:lang w:eastAsia="zh-CN"/>
        </w:rPr>
        <w:t>）</w:t>
      </w:r>
    </w:p>
    <w:p>
      <w:pPr>
        <w:widowControl/>
        <w:numPr>
          <w:ilvl w:val="0"/>
          <w:numId w:val="77"/>
        </w:numPr>
        <w:tabs>
          <w:tab w:val="left" w:pos="0"/>
        </w:tabs>
        <w:ind w:left="0"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门的油漆、颜色根据设计的要求，按油漆施工规程严格施工。</w:t>
      </w:r>
    </w:p>
    <w:p>
      <w:pPr>
        <w:widowControl/>
        <w:numPr>
          <w:ilvl w:val="0"/>
          <w:numId w:val="77"/>
        </w:numPr>
        <w:tabs>
          <w:tab w:val="left" w:pos="0"/>
        </w:tabs>
        <w:ind w:left="0"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门框安装后，对人流繁忙的通道，门扇不得同时装上，应根据实际施工计划安排。</w:t>
      </w:r>
    </w:p>
    <w:p>
      <w:pPr>
        <w:widowControl/>
        <w:numPr>
          <w:ilvl w:val="0"/>
          <w:numId w:val="77"/>
        </w:numPr>
        <w:tabs>
          <w:tab w:val="left" w:pos="0"/>
        </w:tabs>
        <w:ind w:left="0"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门框、门扇，安装完成后，必须严格地做好保护措施，使在意外碰击下不致损坏。</w:t>
      </w:r>
    </w:p>
    <w:p>
      <w:pPr>
        <w:widowControl/>
        <w:numPr>
          <w:ilvl w:val="0"/>
          <w:numId w:val="77"/>
        </w:numPr>
        <w:tabs>
          <w:tab w:val="left" w:pos="0"/>
        </w:tabs>
        <w:ind w:left="0"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门扇应开启灵活，无倒翘，阻滞及反弹现象，五金配件齐全、位置正确。关闭后密封条处于压缩状态。</w:t>
      </w:r>
    </w:p>
    <w:p>
      <w:pPr>
        <w:widowControl/>
        <w:numPr>
          <w:ilvl w:val="0"/>
          <w:numId w:val="77"/>
        </w:numPr>
        <w:tabs>
          <w:tab w:val="left" w:pos="0"/>
        </w:tabs>
        <w:ind w:left="0"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门的安装质量允许偏差要根据门的材料，装修标准高低，再结合国家验收规范制定出本工程的实际要求。</w:t>
      </w:r>
    </w:p>
    <w:p>
      <w:pPr>
        <w:pStyle w:val="7"/>
        <w:rPr>
          <w:color w:val="auto"/>
          <w:highlight w:val="none"/>
        </w:rPr>
      </w:pPr>
      <w:r>
        <w:rPr>
          <w:rFonts w:hint="eastAsia"/>
          <w:color w:val="auto"/>
          <w:highlight w:val="none"/>
        </w:rPr>
        <w:t>金属加工工程</w:t>
      </w:r>
    </w:p>
    <w:p>
      <w:pPr>
        <w:widowControl/>
        <w:ind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不锈钢柱、扶手、铜管的施工技术要求</w:t>
      </w:r>
    </w:p>
    <w:p>
      <w:pPr>
        <w:keepLines w:val="0"/>
        <w:numPr>
          <w:ilvl w:val="0"/>
          <w:numId w:val="78"/>
        </w:numPr>
        <w:ind w:left="0" w:firstLine="726"/>
        <w:rPr>
          <w:color w:val="auto"/>
          <w:highlight w:val="none"/>
          <w:lang w:eastAsia="zh-CN"/>
        </w:rPr>
      </w:pPr>
      <w:r>
        <w:rPr>
          <w:rFonts w:hint="eastAsia"/>
          <w:color w:val="auto"/>
          <w:highlight w:val="none"/>
          <w:lang w:eastAsia="zh-CN"/>
        </w:rPr>
        <w:t>不锈钢选料应经过慎重考虑后决定，主要是板厚要确保装饰表面有足够的刚度，一般用</w:t>
      </w:r>
      <w:r>
        <w:rPr>
          <w:color w:val="auto"/>
          <w:highlight w:val="none"/>
          <w:lang w:eastAsia="zh-CN"/>
        </w:rPr>
        <w:t>1.2</w:t>
      </w:r>
      <w:r>
        <w:rPr>
          <w:rFonts w:hint="eastAsia"/>
          <w:color w:val="auto"/>
          <w:highlight w:val="none"/>
          <w:lang w:eastAsia="zh-CN"/>
        </w:rPr>
        <w:t>厚，较小尺寸可用</w:t>
      </w:r>
      <w:r>
        <w:rPr>
          <w:color w:val="auto"/>
          <w:highlight w:val="none"/>
          <w:lang w:eastAsia="zh-CN"/>
        </w:rPr>
        <w:t>1.0mm</w:t>
      </w:r>
      <w:r>
        <w:rPr>
          <w:rFonts w:hint="eastAsia"/>
          <w:color w:val="auto"/>
          <w:highlight w:val="none"/>
          <w:lang w:eastAsia="zh-CN"/>
        </w:rPr>
        <w:t>。</w:t>
      </w:r>
    </w:p>
    <w:p>
      <w:pPr>
        <w:keepLines w:val="0"/>
        <w:numPr>
          <w:ilvl w:val="0"/>
          <w:numId w:val="78"/>
        </w:numPr>
        <w:ind w:left="0" w:firstLine="726"/>
        <w:rPr>
          <w:color w:val="auto"/>
          <w:highlight w:val="none"/>
          <w:lang w:eastAsia="zh-CN"/>
        </w:rPr>
      </w:pPr>
      <w:r>
        <w:rPr>
          <w:rFonts w:hint="eastAsia"/>
          <w:color w:val="auto"/>
          <w:highlight w:val="none"/>
          <w:lang w:eastAsia="zh-CN"/>
        </w:rPr>
        <w:t>不锈钢材原厂的保护膜在加工和安装期间不能撕掉。</w:t>
      </w:r>
    </w:p>
    <w:p>
      <w:pPr>
        <w:keepLines w:val="0"/>
        <w:numPr>
          <w:ilvl w:val="0"/>
          <w:numId w:val="78"/>
        </w:numPr>
        <w:ind w:left="0" w:firstLine="726"/>
        <w:rPr>
          <w:color w:val="auto"/>
          <w:highlight w:val="none"/>
          <w:lang w:eastAsia="zh-CN"/>
        </w:rPr>
      </w:pPr>
      <w:r>
        <w:rPr>
          <w:rFonts w:hint="eastAsia"/>
          <w:color w:val="auto"/>
          <w:highlight w:val="none"/>
          <w:lang w:eastAsia="zh-CN"/>
        </w:rPr>
        <w:t>安装前一定要先定出纵横轴线、垂直线、控制线、并验证实际加工尺寸。</w:t>
      </w:r>
    </w:p>
    <w:p>
      <w:pPr>
        <w:keepLines w:val="0"/>
        <w:numPr>
          <w:ilvl w:val="0"/>
          <w:numId w:val="78"/>
        </w:numPr>
        <w:ind w:left="0" w:firstLine="726"/>
        <w:rPr>
          <w:color w:val="auto"/>
          <w:highlight w:val="none"/>
          <w:lang w:eastAsia="zh-CN"/>
        </w:rPr>
      </w:pPr>
      <w:r>
        <w:rPr>
          <w:rFonts w:hint="eastAsia"/>
          <w:color w:val="auto"/>
          <w:highlight w:val="none"/>
          <w:lang w:eastAsia="zh-CN"/>
        </w:rPr>
        <w:t>安装柱子前必须确认板的尺寸、规格与设计是否相符，确保安装顺利。</w:t>
      </w:r>
    </w:p>
    <w:p>
      <w:pPr>
        <w:keepLines w:val="0"/>
        <w:numPr>
          <w:ilvl w:val="0"/>
          <w:numId w:val="78"/>
        </w:numPr>
        <w:ind w:left="0" w:firstLine="726"/>
        <w:rPr>
          <w:color w:val="auto"/>
          <w:highlight w:val="none"/>
          <w:lang w:eastAsia="zh-CN"/>
        </w:rPr>
      </w:pPr>
      <w:r>
        <w:rPr>
          <w:rFonts w:hint="eastAsia"/>
          <w:color w:val="auto"/>
          <w:highlight w:val="none"/>
          <w:lang w:eastAsia="zh-CN"/>
        </w:rPr>
        <w:t>安装时应先进行试安装，如有尺寸不吻合，应送工厂返工或修理。安装时抹胶要均匀，由里向缝口顺序压紧，排胶排气，使板材与底板贴紧，挤出的胶液要立即擦净，不能留有胶痕。</w:t>
      </w:r>
    </w:p>
    <w:p>
      <w:pPr>
        <w:keepLines w:val="0"/>
        <w:numPr>
          <w:ilvl w:val="0"/>
          <w:numId w:val="78"/>
        </w:numPr>
        <w:ind w:left="0" w:firstLine="726"/>
        <w:rPr>
          <w:color w:val="auto"/>
          <w:highlight w:val="none"/>
          <w:lang w:eastAsia="zh-CN"/>
        </w:rPr>
      </w:pPr>
      <w:r>
        <w:rPr>
          <w:rFonts w:hint="eastAsia"/>
          <w:color w:val="auto"/>
          <w:highlight w:val="none"/>
          <w:lang w:eastAsia="zh-CN"/>
        </w:rPr>
        <w:t>不锈钢、铜管的转弯接口处凡无法抛光的均不用焊接，但其接口必须相当吻合。</w:t>
      </w:r>
    </w:p>
    <w:p>
      <w:pPr>
        <w:keepLines w:val="0"/>
        <w:numPr>
          <w:ilvl w:val="0"/>
          <w:numId w:val="78"/>
        </w:numPr>
        <w:ind w:left="0" w:firstLine="726"/>
        <w:rPr>
          <w:color w:val="auto"/>
          <w:highlight w:val="none"/>
          <w:lang w:eastAsia="zh-CN"/>
        </w:rPr>
      </w:pPr>
      <w:r>
        <w:rPr>
          <w:rFonts w:hint="eastAsia"/>
          <w:color w:val="auto"/>
          <w:highlight w:val="none"/>
          <w:lang w:eastAsia="zh-CN"/>
        </w:rPr>
        <w:t>焊接采用彩氩焊接、接口处焊接牢固，磨平抛光后不得看出接口。</w:t>
      </w:r>
    </w:p>
    <w:p>
      <w:pPr>
        <w:keepLines w:val="0"/>
        <w:numPr>
          <w:ilvl w:val="0"/>
          <w:numId w:val="78"/>
        </w:numPr>
        <w:ind w:left="0" w:firstLine="726"/>
        <w:rPr>
          <w:color w:val="auto"/>
          <w:highlight w:val="none"/>
          <w:lang w:eastAsia="zh-CN"/>
        </w:rPr>
      </w:pPr>
      <w:r>
        <w:rPr>
          <w:rFonts w:hint="eastAsia"/>
          <w:color w:val="auto"/>
          <w:highlight w:val="none"/>
          <w:lang w:eastAsia="zh-CN"/>
        </w:rPr>
        <w:t>完工后一定要做好保护处理。特别要防止硬止撞击使板面形成凹陷。</w:t>
      </w:r>
    </w:p>
    <w:p>
      <w:pPr>
        <w:keepLines w:val="0"/>
        <w:numPr>
          <w:ilvl w:val="0"/>
          <w:numId w:val="78"/>
        </w:numPr>
        <w:ind w:left="0" w:firstLine="726"/>
        <w:rPr>
          <w:color w:val="auto"/>
          <w:highlight w:val="none"/>
          <w:lang w:eastAsia="zh-CN"/>
        </w:rPr>
      </w:pPr>
      <w:r>
        <w:rPr>
          <w:rFonts w:hint="eastAsia"/>
          <w:color w:val="auto"/>
          <w:highlight w:val="none"/>
          <w:lang w:eastAsia="zh-CN"/>
        </w:rPr>
        <w:t>施工接口与转弯接口先做好样品，等设计师验证认可后方能全面施工。</w:t>
      </w:r>
    </w:p>
    <w:p>
      <w:pPr>
        <w:pStyle w:val="7"/>
        <w:rPr>
          <w:color w:val="auto"/>
          <w:highlight w:val="none"/>
        </w:rPr>
      </w:pPr>
      <w:r>
        <w:rPr>
          <w:rFonts w:hint="eastAsia"/>
          <w:color w:val="auto"/>
          <w:highlight w:val="none"/>
        </w:rPr>
        <w:t>装饰材料绿色环保要求</w:t>
      </w:r>
    </w:p>
    <w:p>
      <w:pPr>
        <w:pStyle w:val="34"/>
        <w:ind w:firstLine="480"/>
        <w:rPr>
          <w:color w:val="auto"/>
          <w:szCs w:val="24"/>
          <w:highlight w:val="none"/>
        </w:rPr>
      </w:pPr>
      <w:r>
        <w:rPr>
          <w:rFonts w:hint="eastAsia"/>
          <w:color w:val="auto"/>
          <w:szCs w:val="24"/>
          <w:highlight w:val="none"/>
        </w:rPr>
        <w:t>（</w:t>
      </w:r>
      <w:r>
        <w:rPr>
          <w:color w:val="auto"/>
          <w:szCs w:val="24"/>
          <w:highlight w:val="none"/>
        </w:rPr>
        <w:t>1</w:t>
      </w:r>
      <w:r>
        <w:rPr>
          <w:rFonts w:hint="eastAsia"/>
          <w:color w:val="auto"/>
          <w:szCs w:val="24"/>
          <w:highlight w:val="none"/>
        </w:rPr>
        <w:t>）装饰材料安全要求：装饰施工选择的全部装饰材料必须符合国家有关装饰材料的安全要求，并具有国家权威检测机构颁发的绿色环保安全使用证书，并保证工程完工后环境检测权威机构检测各项装饰安全指标达到《民用建筑工程室内环境污染控制规范》要求，若达不到规范各项指标要求，承包人负责返工并承担全部返工费用及相关检测费用，发包人保留按合同规定索赔的权力。</w:t>
      </w:r>
    </w:p>
    <w:p>
      <w:pPr>
        <w:pStyle w:val="34"/>
        <w:ind w:firstLine="480"/>
        <w:rPr>
          <w:color w:val="auto"/>
          <w:szCs w:val="24"/>
          <w:highlight w:val="none"/>
        </w:rPr>
      </w:pPr>
      <w:r>
        <w:rPr>
          <w:rFonts w:hint="eastAsia"/>
          <w:color w:val="auto"/>
          <w:szCs w:val="24"/>
          <w:highlight w:val="none"/>
        </w:rPr>
        <w:t>（</w:t>
      </w:r>
      <w:r>
        <w:rPr>
          <w:color w:val="auto"/>
          <w:szCs w:val="24"/>
          <w:highlight w:val="none"/>
        </w:rPr>
        <w:t>2</w:t>
      </w:r>
      <w:r>
        <w:rPr>
          <w:rFonts w:hint="eastAsia"/>
          <w:color w:val="auto"/>
          <w:szCs w:val="24"/>
          <w:highlight w:val="none"/>
        </w:rPr>
        <w:t>）为了保证本装饰工程的质量，确保工程完工以后室内环境的空气质量符合国家标准要求，要求对石材、木地板、木门、胶合板、胶粘剂、木制品油漆、墙面乳胶漆等材料的原材料、辅助材料在使用前全部要求进行环保检测并提供有效检测报告。要求健康、卫生、安全、环保，最大程度地保证产品出厂时、消费使用过程中无毒、无害（无腐蚀性、无放射性、无生物危害、无有害挥发物）。</w:t>
      </w:r>
    </w:p>
    <w:p>
      <w:pPr>
        <w:widowControl/>
        <w:ind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w:t>
      </w:r>
      <w:r>
        <w:rPr>
          <w:rFonts w:cs="Times New Roman" w:asciiTheme="minorEastAsia" w:hAnsiTheme="minorEastAsia"/>
          <w:color w:val="auto"/>
          <w:szCs w:val="24"/>
          <w:highlight w:val="none"/>
          <w:lang w:eastAsia="zh-CN"/>
        </w:rPr>
        <w:t>3</w:t>
      </w:r>
      <w:r>
        <w:rPr>
          <w:rFonts w:hint="eastAsia" w:cs="Times New Roman" w:asciiTheme="minorEastAsia" w:hAnsiTheme="minorEastAsia"/>
          <w:color w:val="auto"/>
          <w:szCs w:val="24"/>
          <w:highlight w:val="none"/>
          <w:lang w:eastAsia="zh-CN"/>
        </w:rPr>
        <w:t>）装饰材料必须使用绿色、环保材料；各装修部位的要求如下表：</w:t>
      </w:r>
    </w:p>
    <w:p>
      <w:pPr>
        <w:pStyle w:val="22"/>
        <w:rPr>
          <w:color w:val="auto"/>
          <w:highlight w:val="none"/>
          <w:lang w:eastAsia="zh-CN"/>
        </w:rPr>
      </w:pPr>
      <w:r>
        <w:rPr>
          <w:color w:val="auto"/>
          <w:highlight w:val="none"/>
          <w:lang w:eastAsia="zh-CN"/>
        </w:rPr>
        <w:t xml:space="preserve">表 </w:t>
      </w:r>
      <w:r>
        <w:rPr>
          <w:color w:val="auto"/>
          <w:highlight w:val="none"/>
        </w:rPr>
        <w:fldChar w:fldCharType="begin"/>
      </w:r>
      <w:r>
        <w:rPr>
          <w:color w:val="auto"/>
          <w:highlight w:val="none"/>
          <w:lang w:eastAsia="zh-CN"/>
        </w:rPr>
        <w:instrText xml:space="preserve"> STYLEREF 1 \s </w:instrText>
      </w:r>
      <w:r>
        <w:rPr>
          <w:color w:val="auto"/>
          <w:highlight w:val="none"/>
        </w:rPr>
        <w:fldChar w:fldCharType="separate"/>
      </w:r>
      <w:r>
        <w:rPr>
          <w:color w:val="auto"/>
          <w:highlight w:val="none"/>
          <w:lang w:eastAsia="zh-CN"/>
        </w:rPr>
        <w:t>7</w:t>
      </w:r>
      <w:r>
        <w:rPr>
          <w:color w:val="auto"/>
          <w:highlight w:val="none"/>
        </w:rPr>
        <w:fldChar w:fldCharType="end"/>
      </w:r>
      <w:r>
        <w:rPr>
          <w:rFonts w:hint="eastAsia"/>
          <w:color w:val="auto"/>
          <w:highlight w:val="none"/>
          <w:lang w:eastAsia="zh-CN"/>
        </w:rPr>
        <w:t>-</w:t>
      </w:r>
      <w:r>
        <w:rPr>
          <w:color w:val="auto"/>
          <w:highlight w:val="none"/>
        </w:rPr>
        <w:fldChar w:fldCharType="begin"/>
      </w:r>
      <w:r>
        <w:rPr>
          <w:color w:val="auto"/>
          <w:highlight w:val="none"/>
          <w:lang w:eastAsia="zh-CN"/>
        </w:rPr>
        <w:instrText xml:space="preserve"> SEQ 表 \* ARABIC \s 1 </w:instrText>
      </w:r>
      <w:r>
        <w:rPr>
          <w:color w:val="auto"/>
          <w:highlight w:val="none"/>
        </w:rPr>
        <w:fldChar w:fldCharType="separate"/>
      </w:r>
      <w:r>
        <w:rPr>
          <w:color w:val="auto"/>
          <w:highlight w:val="none"/>
          <w:lang w:eastAsia="zh-CN"/>
        </w:rPr>
        <w:t>3</w:t>
      </w:r>
      <w:r>
        <w:rPr>
          <w:color w:val="auto"/>
          <w:highlight w:val="none"/>
        </w:rPr>
        <w:fldChar w:fldCharType="end"/>
      </w:r>
      <w:r>
        <w:rPr>
          <w:rFonts w:hint="eastAsia"/>
          <w:color w:val="auto"/>
          <w:highlight w:val="none"/>
          <w:lang w:eastAsia="zh-CN"/>
        </w:rPr>
        <w:t xml:space="preserve"> 装饰材料环保检验要求</w:t>
      </w:r>
    </w:p>
    <w:tbl>
      <w:tblPr>
        <w:tblStyle w:val="85"/>
        <w:tblW w:w="900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66"/>
        <w:gridCol w:w="1368"/>
        <w:gridCol w:w="55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9" w:hRule="atLeast"/>
          <w:jc w:val="center"/>
        </w:trPr>
        <w:tc>
          <w:tcPr>
            <w:tcW w:w="2066" w:type="dxa"/>
            <w:tcBorders>
              <w:top w:val="single" w:color="auto" w:sz="4" w:space="0"/>
              <w:left w:val="single" w:color="auto" w:sz="4" w:space="0"/>
              <w:bottom w:val="single" w:color="auto" w:sz="4" w:space="0"/>
              <w:right w:val="single" w:color="auto" w:sz="4" w:space="0"/>
            </w:tcBorders>
            <w:vAlign w:val="center"/>
          </w:tcPr>
          <w:p>
            <w:pPr>
              <w:keepLines w:val="0"/>
              <w:widowControl/>
              <w:jc w:val="center"/>
              <w:rPr>
                <w:rFonts w:cs="Times New Roman" w:asciiTheme="minorEastAsia" w:hAnsiTheme="minorEastAsia"/>
                <w:b/>
                <w:bCs/>
                <w:color w:val="auto"/>
                <w:szCs w:val="24"/>
                <w:highlight w:val="none"/>
              </w:rPr>
            </w:pPr>
            <w:r>
              <w:rPr>
                <w:rFonts w:hint="eastAsia" w:cs="Times New Roman" w:asciiTheme="minorEastAsia" w:hAnsiTheme="minorEastAsia"/>
                <w:b/>
                <w:bCs/>
                <w:color w:val="auto"/>
                <w:szCs w:val="24"/>
                <w:highlight w:val="none"/>
                <w:lang w:eastAsia="zh-CN"/>
              </w:rPr>
              <w:t>材料名称</w:t>
            </w:r>
          </w:p>
        </w:tc>
        <w:tc>
          <w:tcPr>
            <w:tcW w:w="1368" w:type="dxa"/>
            <w:tcBorders>
              <w:top w:val="single" w:color="auto" w:sz="4" w:space="0"/>
              <w:left w:val="single" w:color="auto" w:sz="4" w:space="0"/>
              <w:bottom w:val="single" w:color="auto" w:sz="4" w:space="0"/>
              <w:right w:val="single" w:color="auto" w:sz="4" w:space="0"/>
            </w:tcBorders>
            <w:vAlign w:val="center"/>
          </w:tcPr>
          <w:p>
            <w:pPr>
              <w:keepLines w:val="0"/>
              <w:widowControl/>
              <w:jc w:val="center"/>
              <w:rPr>
                <w:rFonts w:cs="Times New Roman" w:asciiTheme="minorEastAsia" w:hAnsiTheme="minorEastAsia"/>
                <w:b/>
                <w:bCs/>
                <w:color w:val="auto"/>
                <w:szCs w:val="24"/>
                <w:highlight w:val="none"/>
              </w:rPr>
            </w:pPr>
            <w:r>
              <w:rPr>
                <w:rFonts w:hint="eastAsia" w:cs="Times New Roman" w:asciiTheme="minorEastAsia" w:hAnsiTheme="minorEastAsia"/>
                <w:b/>
                <w:bCs/>
                <w:color w:val="auto"/>
                <w:szCs w:val="24"/>
                <w:highlight w:val="none"/>
                <w:lang w:eastAsia="zh-CN"/>
              </w:rPr>
              <w:t>使用部位</w:t>
            </w:r>
          </w:p>
        </w:tc>
        <w:tc>
          <w:tcPr>
            <w:tcW w:w="5569" w:type="dxa"/>
            <w:tcBorders>
              <w:top w:val="single" w:color="auto" w:sz="4" w:space="0"/>
              <w:left w:val="single" w:color="auto" w:sz="4" w:space="0"/>
              <w:bottom w:val="single" w:color="auto" w:sz="4" w:space="0"/>
              <w:right w:val="single" w:color="auto" w:sz="4" w:space="0"/>
            </w:tcBorders>
            <w:vAlign w:val="center"/>
          </w:tcPr>
          <w:p>
            <w:pPr>
              <w:keepLines w:val="0"/>
              <w:widowControl/>
              <w:jc w:val="center"/>
              <w:rPr>
                <w:rFonts w:cs="Times New Roman" w:asciiTheme="minorEastAsia" w:hAnsiTheme="minorEastAsia"/>
                <w:b/>
                <w:bCs/>
                <w:color w:val="auto"/>
                <w:szCs w:val="24"/>
                <w:highlight w:val="none"/>
                <w:lang w:eastAsia="zh-CN"/>
              </w:rPr>
            </w:pPr>
            <w:r>
              <w:rPr>
                <w:rFonts w:hint="eastAsia" w:cs="Times New Roman" w:asciiTheme="minorEastAsia" w:hAnsiTheme="minorEastAsia"/>
                <w:b/>
                <w:bCs/>
                <w:color w:val="auto"/>
                <w:szCs w:val="24"/>
                <w:highlight w:val="none"/>
                <w:lang w:eastAsia="zh-CN"/>
              </w:rPr>
              <w:t>材料相关检验要求（材料进场后要求进行复验）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3" w:hRule="atLeast"/>
          <w:jc w:val="center"/>
        </w:trPr>
        <w:tc>
          <w:tcPr>
            <w:tcW w:w="2066" w:type="dxa"/>
            <w:tcBorders>
              <w:top w:val="single" w:color="auto" w:sz="4" w:space="0"/>
              <w:left w:val="single" w:color="auto" w:sz="4" w:space="0"/>
              <w:bottom w:val="single" w:color="auto" w:sz="4" w:space="0"/>
              <w:right w:val="single" w:color="auto" w:sz="4" w:space="0"/>
            </w:tcBorders>
            <w:vAlign w:val="center"/>
          </w:tcPr>
          <w:p>
            <w:pPr>
              <w:keepLines w:val="0"/>
              <w:widowControl/>
              <w:rPr>
                <w:rFonts w:cs="Times New Roman" w:asciiTheme="minorEastAsia" w:hAnsiTheme="minorEastAsia"/>
                <w:color w:val="auto"/>
                <w:szCs w:val="24"/>
                <w:highlight w:val="none"/>
              </w:rPr>
            </w:pPr>
            <w:r>
              <w:rPr>
                <w:rFonts w:hint="eastAsia" w:cs="Times New Roman" w:asciiTheme="minorEastAsia" w:hAnsiTheme="minorEastAsia"/>
                <w:color w:val="auto"/>
                <w:szCs w:val="24"/>
                <w:highlight w:val="none"/>
                <w:lang w:eastAsia="zh-CN"/>
              </w:rPr>
              <w:t>木夹板</w:t>
            </w:r>
          </w:p>
        </w:tc>
        <w:tc>
          <w:tcPr>
            <w:tcW w:w="1368" w:type="dxa"/>
            <w:tcBorders>
              <w:top w:val="single" w:color="auto" w:sz="4" w:space="0"/>
              <w:left w:val="single" w:color="auto" w:sz="4" w:space="0"/>
              <w:bottom w:val="single" w:color="auto" w:sz="4" w:space="0"/>
              <w:right w:val="single" w:color="auto" w:sz="4" w:space="0"/>
            </w:tcBorders>
            <w:vAlign w:val="center"/>
          </w:tcPr>
          <w:p>
            <w:pPr>
              <w:keepLines w:val="0"/>
              <w:widowControl/>
              <w:rPr>
                <w:rFonts w:cs="Times New Roman" w:asciiTheme="minorEastAsia" w:hAnsiTheme="minorEastAsia"/>
                <w:color w:val="auto"/>
                <w:szCs w:val="24"/>
                <w:highlight w:val="none"/>
              </w:rPr>
            </w:pPr>
          </w:p>
        </w:tc>
        <w:tc>
          <w:tcPr>
            <w:tcW w:w="5569" w:type="dxa"/>
            <w:tcBorders>
              <w:top w:val="single" w:color="auto" w:sz="4" w:space="0"/>
              <w:left w:val="single" w:color="auto" w:sz="4" w:space="0"/>
              <w:bottom w:val="single" w:color="auto" w:sz="4" w:space="0"/>
              <w:right w:val="single" w:color="auto" w:sz="4" w:space="0"/>
            </w:tcBorders>
            <w:vAlign w:val="center"/>
          </w:tcPr>
          <w:p>
            <w:pPr>
              <w:keepLines w:val="0"/>
              <w:widowControl/>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人造板及其制品中甲醛释放限量符合国家标准</w:t>
            </w:r>
            <w:r>
              <w:rPr>
                <w:rFonts w:cs="Times New Roman" w:asciiTheme="minorEastAsia" w:hAnsiTheme="minorEastAsia"/>
                <w:color w:val="auto"/>
                <w:szCs w:val="24"/>
                <w:highlight w:val="none"/>
                <w:lang w:eastAsia="zh-CN"/>
              </w:rPr>
              <w:t>GB-18580</w:t>
            </w:r>
            <w:r>
              <w:rPr>
                <w:rFonts w:hint="eastAsia" w:cs="Times New Roman" w:asciiTheme="minorEastAsia" w:hAnsiTheme="minorEastAsia"/>
                <w:color w:val="auto"/>
                <w:szCs w:val="24"/>
                <w:highlight w:val="none"/>
                <w:lang w:eastAsia="zh-CN"/>
              </w:rPr>
              <w:t>的要求。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2" w:hRule="atLeast"/>
          <w:jc w:val="center"/>
        </w:trPr>
        <w:tc>
          <w:tcPr>
            <w:tcW w:w="2066" w:type="dxa"/>
            <w:tcBorders>
              <w:top w:val="single" w:color="auto" w:sz="4" w:space="0"/>
              <w:left w:val="single" w:color="auto" w:sz="4" w:space="0"/>
              <w:bottom w:val="single" w:color="auto" w:sz="4" w:space="0"/>
              <w:right w:val="single" w:color="auto" w:sz="4" w:space="0"/>
            </w:tcBorders>
            <w:vAlign w:val="center"/>
          </w:tcPr>
          <w:p>
            <w:pPr>
              <w:keepLines w:val="0"/>
              <w:widowControl/>
              <w:rPr>
                <w:rFonts w:cs="Times New Roman" w:asciiTheme="minorEastAsia" w:hAnsiTheme="minorEastAsia"/>
                <w:color w:val="auto"/>
                <w:szCs w:val="24"/>
                <w:highlight w:val="none"/>
              </w:rPr>
            </w:pPr>
            <w:r>
              <w:rPr>
                <w:rFonts w:hint="eastAsia" w:cs="Times New Roman" w:asciiTheme="minorEastAsia" w:hAnsiTheme="minorEastAsia"/>
                <w:color w:val="auto"/>
                <w:szCs w:val="24"/>
                <w:highlight w:val="none"/>
                <w:lang w:eastAsia="zh-CN"/>
              </w:rPr>
              <w:t>胶粘剂</w:t>
            </w:r>
          </w:p>
        </w:tc>
        <w:tc>
          <w:tcPr>
            <w:tcW w:w="1368" w:type="dxa"/>
            <w:tcBorders>
              <w:top w:val="single" w:color="auto" w:sz="4" w:space="0"/>
              <w:left w:val="single" w:color="auto" w:sz="4" w:space="0"/>
              <w:bottom w:val="single" w:color="auto" w:sz="4" w:space="0"/>
              <w:right w:val="single" w:color="auto" w:sz="4" w:space="0"/>
            </w:tcBorders>
            <w:vAlign w:val="center"/>
          </w:tcPr>
          <w:p>
            <w:pPr>
              <w:keepLines w:val="0"/>
              <w:widowControl/>
              <w:rPr>
                <w:rFonts w:cs="Times New Roman" w:asciiTheme="minorEastAsia" w:hAnsiTheme="minorEastAsia"/>
                <w:color w:val="auto"/>
                <w:szCs w:val="24"/>
                <w:highlight w:val="none"/>
              </w:rPr>
            </w:pPr>
            <w:r>
              <w:rPr>
                <w:rFonts w:hint="eastAsia" w:cs="Times New Roman" w:asciiTheme="minorEastAsia" w:hAnsiTheme="minorEastAsia"/>
                <w:color w:val="auto"/>
                <w:szCs w:val="24"/>
                <w:highlight w:val="none"/>
                <w:lang w:eastAsia="zh-CN"/>
              </w:rPr>
              <w:t>木器制作、腻子胶</w:t>
            </w:r>
          </w:p>
        </w:tc>
        <w:tc>
          <w:tcPr>
            <w:tcW w:w="5569" w:type="dxa"/>
            <w:tcBorders>
              <w:top w:val="single" w:color="auto" w:sz="4" w:space="0"/>
              <w:left w:val="single" w:color="auto" w:sz="4" w:space="0"/>
              <w:bottom w:val="single" w:color="auto" w:sz="4" w:space="0"/>
              <w:right w:val="single" w:color="auto" w:sz="4" w:space="0"/>
            </w:tcBorders>
            <w:vAlign w:val="center"/>
          </w:tcPr>
          <w:p>
            <w:pPr>
              <w:keepLines w:val="0"/>
              <w:widowControl/>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有害物质限量应符合国标</w:t>
            </w:r>
            <w:r>
              <w:rPr>
                <w:rFonts w:cs="Times New Roman" w:asciiTheme="minorEastAsia" w:hAnsiTheme="minorEastAsia"/>
                <w:color w:val="auto"/>
                <w:szCs w:val="24"/>
                <w:highlight w:val="none"/>
                <w:lang w:eastAsia="zh-CN"/>
              </w:rPr>
              <w:t>GB-18583</w:t>
            </w:r>
            <w:r>
              <w:rPr>
                <w:rFonts w:hint="eastAsia" w:cs="Times New Roman" w:asciiTheme="minorEastAsia" w:hAnsiTheme="minorEastAsia"/>
                <w:color w:val="auto"/>
                <w:szCs w:val="24"/>
                <w:highlight w:val="none"/>
                <w:lang w:eastAsia="zh-CN"/>
              </w:rPr>
              <w:t>的要求。</w:t>
            </w:r>
          </w:p>
          <w:p>
            <w:pPr>
              <w:keepLines w:val="0"/>
              <w:widowControl/>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检测项目：</w:t>
            </w:r>
            <w:r>
              <w:rPr>
                <w:rFonts w:cs="Times New Roman" w:asciiTheme="minorEastAsia" w:hAnsiTheme="minorEastAsia"/>
                <w:color w:val="auto"/>
                <w:szCs w:val="24"/>
                <w:highlight w:val="none"/>
                <w:lang w:eastAsia="zh-CN"/>
              </w:rPr>
              <w:t>1.</w:t>
            </w:r>
            <w:r>
              <w:rPr>
                <w:rFonts w:hint="eastAsia" w:cs="Times New Roman" w:asciiTheme="minorEastAsia" w:hAnsiTheme="minorEastAsia"/>
                <w:color w:val="auto"/>
                <w:szCs w:val="24"/>
                <w:highlight w:val="none"/>
                <w:lang w:eastAsia="zh-CN"/>
              </w:rPr>
              <w:t>甲醛；</w:t>
            </w:r>
            <w:r>
              <w:rPr>
                <w:rFonts w:cs="Times New Roman" w:asciiTheme="minorEastAsia" w:hAnsiTheme="minorEastAsia"/>
                <w:color w:val="auto"/>
                <w:szCs w:val="24"/>
                <w:highlight w:val="none"/>
                <w:lang w:eastAsia="zh-CN"/>
              </w:rPr>
              <w:t>2.</w:t>
            </w:r>
            <w:r>
              <w:rPr>
                <w:rFonts w:hint="eastAsia" w:cs="Times New Roman" w:asciiTheme="minorEastAsia" w:hAnsiTheme="minorEastAsia"/>
                <w:color w:val="auto"/>
                <w:szCs w:val="24"/>
                <w:highlight w:val="none"/>
                <w:lang w:eastAsia="zh-CN"/>
              </w:rPr>
              <w:t>苯；</w:t>
            </w:r>
            <w:r>
              <w:rPr>
                <w:rFonts w:cs="Times New Roman" w:asciiTheme="minorEastAsia" w:hAnsiTheme="minorEastAsia"/>
                <w:color w:val="auto"/>
                <w:szCs w:val="24"/>
                <w:highlight w:val="none"/>
                <w:lang w:eastAsia="zh-CN"/>
              </w:rPr>
              <w:t>3.</w:t>
            </w:r>
            <w:r>
              <w:rPr>
                <w:rFonts w:hint="eastAsia" w:cs="Times New Roman" w:asciiTheme="minorEastAsia" w:hAnsiTheme="minorEastAsia"/>
                <w:color w:val="auto"/>
                <w:szCs w:val="24"/>
                <w:highlight w:val="none"/>
                <w:lang w:eastAsia="zh-CN"/>
              </w:rPr>
              <w:t>甲苯及二甲苯；</w:t>
            </w:r>
            <w:r>
              <w:rPr>
                <w:rFonts w:cs="Times New Roman" w:asciiTheme="minorEastAsia" w:hAnsiTheme="minorEastAsia"/>
                <w:color w:val="auto"/>
                <w:szCs w:val="24"/>
                <w:highlight w:val="none"/>
                <w:lang w:eastAsia="zh-CN"/>
              </w:rPr>
              <w:t>4.</w:t>
            </w:r>
            <w:r>
              <w:rPr>
                <w:rFonts w:hint="eastAsia" w:cs="Times New Roman" w:asciiTheme="minorEastAsia" w:hAnsiTheme="minorEastAsia"/>
                <w:color w:val="auto"/>
                <w:szCs w:val="24"/>
                <w:highlight w:val="none"/>
                <w:lang w:eastAsia="zh-CN"/>
              </w:rPr>
              <w:t>甲苯二异氰酸酯；</w:t>
            </w:r>
            <w:r>
              <w:rPr>
                <w:rFonts w:cs="Times New Roman" w:asciiTheme="minorEastAsia" w:hAnsiTheme="minorEastAsia"/>
                <w:color w:val="auto"/>
                <w:szCs w:val="24"/>
                <w:highlight w:val="none"/>
                <w:lang w:eastAsia="zh-CN"/>
              </w:rPr>
              <w:t>5.</w:t>
            </w:r>
            <w:r>
              <w:rPr>
                <w:rFonts w:hint="eastAsia" w:cs="Times New Roman" w:asciiTheme="minorEastAsia" w:hAnsiTheme="minorEastAsia"/>
                <w:color w:val="auto"/>
                <w:szCs w:val="24"/>
                <w:highlight w:val="none"/>
                <w:lang w:eastAsia="zh-CN"/>
              </w:rPr>
              <w:t>总挥发性有机物。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3" w:hRule="atLeast"/>
          <w:jc w:val="center"/>
        </w:trPr>
        <w:tc>
          <w:tcPr>
            <w:tcW w:w="2066" w:type="dxa"/>
            <w:tcBorders>
              <w:top w:val="single" w:color="auto" w:sz="4" w:space="0"/>
              <w:left w:val="single" w:color="auto" w:sz="4" w:space="0"/>
              <w:bottom w:val="single" w:color="auto" w:sz="4" w:space="0"/>
              <w:right w:val="single" w:color="auto" w:sz="4" w:space="0"/>
            </w:tcBorders>
            <w:vAlign w:val="center"/>
          </w:tcPr>
          <w:p>
            <w:pPr>
              <w:keepLines w:val="0"/>
              <w:widowControl/>
              <w:rPr>
                <w:rFonts w:cs="Times New Roman" w:asciiTheme="minorEastAsia" w:hAnsiTheme="minorEastAsia"/>
                <w:color w:val="auto"/>
                <w:szCs w:val="24"/>
                <w:highlight w:val="none"/>
              </w:rPr>
            </w:pPr>
            <w:r>
              <w:rPr>
                <w:rFonts w:hint="eastAsia" w:cs="Times New Roman" w:asciiTheme="minorEastAsia" w:hAnsiTheme="minorEastAsia"/>
                <w:color w:val="auto"/>
                <w:szCs w:val="24"/>
                <w:highlight w:val="none"/>
                <w:lang w:eastAsia="zh-CN"/>
              </w:rPr>
              <w:t>内墙涂料</w:t>
            </w:r>
          </w:p>
          <w:p>
            <w:pPr>
              <w:keepLines w:val="0"/>
              <w:widowControl/>
              <w:rPr>
                <w:rFonts w:cs="Times New Roman" w:asciiTheme="minorEastAsia" w:hAnsiTheme="minorEastAsia"/>
                <w:color w:val="auto"/>
                <w:szCs w:val="24"/>
                <w:highlight w:val="none"/>
              </w:rPr>
            </w:pPr>
            <w:r>
              <w:rPr>
                <w:rFonts w:hint="eastAsia" w:cs="Times New Roman" w:asciiTheme="minorEastAsia" w:hAnsiTheme="minorEastAsia"/>
                <w:color w:val="auto"/>
                <w:szCs w:val="24"/>
                <w:highlight w:val="none"/>
                <w:lang w:eastAsia="zh-CN"/>
              </w:rPr>
              <w:t>木制品油漆</w:t>
            </w:r>
          </w:p>
        </w:tc>
        <w:tc>
          <w:tcPr>
            <w:tcW w:w="1368" w:type="dxa"/>
            <w:tcBorders>
              <w:top w:val="single" w:color="auto" w:sz="4" w:space="0"/>
              <w:left w:val="single" w:color="auto" w:sz="4" w:space="0"/>
              <w:bottom w:val="single" w:color="auto" w:sz="4" w:space="0"/>
              <w:right w:val="single" w:color="auto" w:sz="4" w:space="0"/>
            </w:tcBorders>
            <w:vAlign w:val="center"/>
          </w:tcPr>
          <w:p>
            <w:pPr>
              <w:keepLines w:val="0"/>
              <w:widowControl/>
              <w:rPr>
                <w:rFonts w:cs="Times New Roman" w:asciiTheme="minorEastAsia" w:hAnsiTheme="minorEastAsia"/>
                <w:color w:val="auto"/>
                <w:szCs w:val="24"/>
                <w:highlight w:val="none"/>
              </w:rPr>
            </w:pPr>
            <w:r>
              <w:rPr>
                <w:rFonts w:hint="eastAsia" w:cs="Times New Roman" w:asciiTheme="minorEastAsia" w:hAnsiTheme="minorEastAsia"/>
                <w:color w:val="auto"/>
                <w:szCs w:val="24"/>
                <w:highlight w:val="none"/>
                <w:lang w:eastAsia="zh-CN"/>
              </w:rPr>
              <w:t>墙面</w:t>
            </w:r>
          </w:p>
        </w:tc>
        <w:tc>
          <w:tcPr>
            <w:tcW w:w="5569" w:type="dxa"/>
            <w:tcBorders>
              <w:top w:val="single" w:color="auto" w:sz="4" w:space="0"/>
              <w:left w:val="single" w:color="auto" w:sz="4" w:space="0"/>
              <w:bottom w:val="single" w:color="auto" w:sz="4" w:space="0"/>
              <w:right w:val="single" w:color="auto" w:sz="4" w:space="0"/>
            </w:tcBorders>
            <w:vAlign w:val="center"/>
          </w:tcPr>
          <w:p>
            <w:pPr>
              <w:keepLines w:val="0"/>
              <w:widowControl/>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有害物质限量应符合国标</w:t>
            </w:r>
            <w:r>
              <w:rPr>
                <w:rFonts w:cs="Times New Roman" w:asciiTheme="minorEastAsia" w:hAnsiTheme="minorEastAsia"/>
                <w:color w:val="auto"/>
                <w:szCs w:val="24"/>
                <w:highlight w:val="none"/>
                <w:lang w:eastAsia="zh-CN"/>
              </w:rPr>
              <w:t>GB-18582</w:t>
            </w:r>
            <w:r>
              <w:rPr>
                <w:rFonts w:hint="eastAsia" w:cs="Times New Roman" w:asciiTheme="minorEastAsia" w:hAnsiTheme="minorEastAsia"/>
                <w:color w:val="auto"/>
                <w:szCs w:val="24"/>
                <w:highlight w:val="none"/>
                <w:lang w:eastAsia="zh-CN"/>
              </w:rPr>
              <w:t>的要求。</w:t>
            </w:r>
          </w:p>
          <w:p>
            <w:pPr>
              <w:keepLines w:val="0"/>
              <w:widowControl/>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检测项目：</w:t>
            </w:r>
            <w:r>
              <w:rPr>
                <w:rFonts w:cs="Times New Roman" w:asciiTheme="minorEastAsia" w:hAnsiTheme="minorEastAsia"/>
                <w:color w:val="auto"/>
                <w:szCs w:val="24"/>
                <w:highlight w:val="none"/>
                <w:lang w:eastAsia="zh-CN"/>
              </w:rPr>
              <w:t>1.</w:t>
            </w:r>
            <w:r>
              <w:rPr>
                <w:rFonts w:hint="eastAsia" w:cs="Times New Roman" w:asciiTheme="minorEastAsia" w:hAnsiTheme="minorEastAsia"/>
                <w:color w:val="auto"/>
                <w:szCs w:val="24"/>
                <w:highlight w:val="none"/>
                <w:lang w:eastAsia="zh-CN"/>
              </w:rPr>
              <w:t>甲醛；</w:t>
            </w:r>
            <w:r>
              <w:rPr>
                <w:rFonts w:cs="Times New Roman" w:asciiTheme="minorEastAsia" w:hAnsiTheme="minorEastAsia"/>
                <w:color w:val="auto"/>
                <w:szCs w:val="24"/>
                <w:highlight w:val="none"/>
                <w:lang w:eastAsia="zh-CN"/>
              </w:rPr>
              <w:t>2.</w:t>
            </w:r>
            <w:r>
              <w:rPr>
                <w:rFonts w:hint="eastAsia" w:cs="Times New Roman" w:asciiTheme="minorEastAsia" w:hAnsiTheme="minorEastAsia"/>
                <w:color w:val="auto"/>
                <w:szCs w:val="24"/>
                <w:highlight w:val="none"/>
                <w:lang w:eastAsia="zh-CN"/>
              </w:rPr>
              <w:t>挥发性有机化合物；</w:t>
            </w:r>
            <w:r>
              <w:rPr>
                <w:rFonts w:cs="Times New Roman" w:asciiTheme="minorEastAsia" w:hAnsiTheme="minorEastAsia"/>
                <w:color w:val="auto"/>
                <w:szCs w:val="24"/>
                <w:highlight w:val="none"/>
                <w:lang w:eastAsia="zh-CN"/>
              </w:rPr>
              <w:t>3.</w:t>
            </w:r>
            <w:r>
              <w:rPr>
                <w:rFonts w:hint="eastAsia" w:cs="Times New Roman" w:asciiTheme="minorEastAsia" w:hAnsiTheme="minorEastAsia"/>
                <w:color w:val="auto"/>
                <w:szCs w:val="24"/>
                <w:highlight w:val="none"/>
                <w:lang w:eastAsia="zh-CN"/>
              </w:rPr>
              <w:t>重金属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9" w:hRule="atLeast"/>
          <w:jc w:val="center"/>
        </w:trPr>
        <w:tc>
          <w:tcPr>
            <w:tcW w:w="2066" w:type="dxa"/>
            <w:tcBorders>
              <w:top w:val="single" w:color="auto" w:sz="4" w:space="0"/>
              <w:left w:val="single" w:color="auto" w:sz="4" w:space="0"/>
              <w:bottom w:val="single" w:color="auto" w:sz="4" w:space="0"/>
              <w:right w:val="single" w:color="auto" w:sz="4" w:space="0"/>
            </w:tcBorders>
            <w:vAlign w:val="center"/>
          </w:tcPr>
          <w:p>
            <w:pPr>
              <w:keepLines w:val="0"/>
              <w:widowControl/>
              <w:rPr>
                <w:rFonts w:cs="Times New Roman" w:asciiTheme="minorEastAsia" w:hAnsiTheme="minorEastAsia"/>
                <w:color w:val="auto"/>
                <w:szCs w:val="24"/>
                <w:highlight w:val="none"/>
              </w:rPr>
            </w:pPr>
            <w:r>
              <w:rPr>
                <w:rFonts w:hint="eastAsia" w:cs="Times New Roman" w:asciiTheme="minorEastAsia" w:hAnsiTheme="minorEastAsia"/>
                <w:color w:val="auto"/>
                <w:szCs w:val="24"/>
                <w:highlight w:val="none"/>
                <w:lang w:eastAsia="zh-CN"/>
              </w:rPr>
              <w:t>金属板、石膏板</w:t>
            </w:r>
          </w:p>
        </w:tc>
        <w:tc>
          <w:tcPr>
            <w:tcW w:w="1368" w:type="dxa"/>
            <w:tcBorders>
              <w:top w:val="single" w:color="auto" w:sz="4" w:space="0"/>
              <w:left w:val="single" w:color="auto" w:sz="4" w:space="0"/>
              <w:bottom w:val="single" w:color="auto" w:sz="4" w:space="0"/>
              <w:right w:val="single" w:color="auto" w:sz="4" w:space="0"/>
            </w:tcBorders>
            <w:vAlign w:val="center"/>
          </w:tcPr>
          <w:p>
            <w:pPr>
              <w:keepLines w:val="0"/>
              <w:widowControl/>
              <w:rPr>
                <w:rFonts w:cs="Times New Roman" w:asciiTheme="minorEastAsia" w:hAnsiTheme="minorEastAsia"/>
                <w:color w:val="auto"/>
                <w:szCs w:val="24"/>
                <w:highlight w:val="none"/>
              </w:rPr>
            </w:pPr>
            <w:r>
              <w:rPr>
                <w:rFonts w:hint="eastAsia" w:cs="Times New Roman" w:asciiTheme="minorEastAsia" w:hAnsiTheme="minorEastAsia"/>
                <w:color w:val="auto"/>
                <w:szCs w:val="24"/>
                <w:highlight w:val="none"/>
                <w:lang w:eastAsia="zh-CN"/>
              </w:rPr>
              <w:t>吊顶</w:t>
            </w:r>
          </w:p>
        </w:tc>
        <w:tc>
          <w:tcPr>
            <w:tcW w:w="5569" w:type="dxa"/>
            <w:vMerge w:val="restart"/>
            <w:tcBorders>
              <w:top w:val="single" w:color="auto" w:sz="4" w:space="0"/>
              <w:left w:val="single" w:color="auto" w:sz="4" w:space="0"/>
              <w:bottom w:val="single" w:color="auto" w:sz="4" w:space="0"/>
              <w:right w:val="single" w:color="auto" w:sz="4" w:space="0"/>
            </w:tcBorders>
            <w:vAlign w:val="center"/>
          </w:tcPr>
          <w:p>
            <w:pPr>
              <w:keepLines w:val="0"/>
              <w:widowControl/>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各材料放射性核素限量应符合国标</w:t>
            </w:r>
            <w:r>
              <w:rPr>
                <w:rFonts w:cs="Times New Roman" w:asciiTheme="minorEastAsia" w:hAnsiTheme="minorEastAsia"/>
                <w:color w:val="auto"/>
                <w:szCs w:val="24"/>
                <w:highlight w:val="none"/>
                <w:lang w:eastAsia="zh-CN"/>
              </w:rPr>
              <w:t>GB-6566</w:t>
            </w:r>
            <w:r>
              <w:rPr>
                <w:rFonts w:hint="eastAsia" w:cs="Times New Roman" w:asciiTheme="minorEastAsia" w:hAnsiTheme="minorEastAsia"/>
                <w:color w:val="auto"/>
                <w:szCs w:val="24"/>
                <w:highlight w:val="none"/>
                <w:lang w:eastAsia="zh-CN"/>
              </w:rPr>
              <w:t>的要求。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4" w:hRule="atLeast"/>
          <w:jc w:val="center"/>
        </w:trPr>
        <w:tc>
          <w:tcPr>
            <w:tcW w:w="2066" w:type="dxa"/>
            <w:tcBorders>
              <w:top w:val="single" w:color="auto" w:sz="4" w:space="0"/>
              <w:left w:val="single" w:color="auto" w:sz="4" w:space="0"/>
              <w:bottom w:val="single" w:color="auto" w:sz="4" w:space="0"/>
              <w:right w:val="single" w:color="auto" w:sz="4" w:space="0"/>
            </w:tcBorders>
            <w:vAlign w:val="center"/>
          </w:tcPr>
          <w:p>
            <w:pPr>
              <w:keepLines w:val="0"/>
              <w:widowControl/>
              <w:rPr>
                <w:rFonts w:cs="Times New Roman" w:asciiTheme="minorEastAsia" w:hAnsiTheme="minorEastAsia"/>
                <w:color w:val="auto"/>
                <w:szCs w:val="24"/>
                <w:highlight w:val="none"/>
              </w:rPr>
            </w:pPr>
            <w:r>
              <w:rPr>
                <w:rFonts w:hint="eastAsia" w:cs="Times New Roman" w:asciiTheme="minorEastAsia" w:hAnsiTheme="minorEastAsia"/>
                <w:color w:val="auto"/>
                <w:szCs w:val="24"/>
                <w:highlight w:val="none"/>
                <w:lang w:eastAsia="zh-CN"/>
              </w:rPr>
              <w:t>分隔墙</w:t>
            </w:r>
          </w:p>
        </w:tc>
        <w:tc>
          <w:tcPr>
            <w:tcW w:w="1368" w:type="dxa"/>
            <w:tcBorders>
              <w:top w:val="single" w:color="auto" w:sz="4" w:space="0"/>
              <w:left w:val="single" w:color="auto" w:sz="4" w:space="0"/>
              <w:bottom w:val="single" w:color="auto" w:sz="4" w:space="0"/>
              <w:right w:val="single" w:color="auto" w:sz="4" w:space="0"/>
            </w:tcBorders>
            <w:vAlign w:val="center"/>
          </w:tcPr>
          <w:p>
            <w:pPr>
              <w:keepLines w:val="0"/>
              <w:widowControl/>
              <w:rPr>
                <w:rFonts w:cs="Times New Roman" w:asciiTheme="minorEastAsia" w:hAnsiTheme="minorEastAsia"/>
                <w:color w:val="auto"/>
                <w:szCs w:val="24"/>
                <w:highlight w:val="none"/>
              </w:rPr>
            </w:pPr>
          </w:p>
        </w:tc>
        <w:tc>
          <w:tcPr>
            <w:tcW w:w="5569" w:type="dxa"/>
            <w:vMerge w:val="continue"/>
            <w:tcBorders>
              <w:top w:val="single" w:color="auto" w:sz="4" w:space="0"/>
              <w:left w:val="single" w:color="auto" w:sz="4" w:space="0"/>
              <w:bottom w:val="single" w:color="auto" w:sz="4" w:space="0"/>
              <w:right w:val="single" w:color="auto" w:sz="4" w:space="0"/>
            </w:tcBorders>
            <w:vAlign w:val="center"/>
          </w:tcPr>
          <w:p>
            <w:pPr>
              <w:keepLines w:val="0"/>
              <w:widowControl/>
              <w:rPr>
                <w:rFonts w:cs="Times New Roman" w:asciiTheme="minorEastAsia" w:hAnsiTheme="minorEastAsia"/>
                <w:color w:val="auto"/>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4" w:hRule="atLeast"/>
          <w:jc w:val="center"/>
        </w:trPr>
        <w:tc>
          <w:tcPr>
            <w:tcW w:w="2066" w:type="dxa"/>
            <w:tcBorders>
              <w:top w:val="single" w:color="auto" w:sz="4" w:space="0"/>
              <w:left w:val="single" w:color="auto" w:sz="4" w:space="0"/>
              <w:bottom w:val="single" w:color="auto" w:sz="4" w:space="0"/>
              <w:right w:val="single" w:color="auto" w:sz="4" w:space="0"/>
            </w:tcBorders>
            <w:vAlign w:val="center"/>
          </w:tcPr>
          <w:p>
            <w:pPr>
              <w:keepLines w:val="0"/>
              <w:widowControl/>
              <w:rPr>
                <w:rFonts w:cs="Times New Roman" w:asciiTheme="minorEastAsia" w:hAnsiTheme="minorEastAsia"/>
                <w:color w:val="auto"/>
                <w:szCs w:val="24"/>
                <w:highlight w:val="none"/>
              </w:rPr>
            </w:pPr>
            <w:r>
              <w:rPr>
                <w:rFonts w:hint="eastAsia" w:cs="Times New Roman" w:asciiTheme="minorEastAsia" w:hAnsiTheme="minorEastAsia"/>
                <w:color w:val="auto"/>
                <w:szCs w:val="24"/>
                <w:highlight w:val="none"/>
                <w:lang w:eastAsia="zh-CN"/>
              </w:rPr>
              <w:t>石材</w:t>
            </w:r>
          </w:p>
        </w:tc>
        <w:tc>
          <w:tcPr>
            <w:tcW w:w="1368" w:type="dxa"/>
            <w:tcBorders>
              <w:top w:val="single" w:color="auto" w:sz="4" w:space="0"/>
              <w:left w:val="single" w:color="auto" w:sz="4" w:space="0"/>
              <w:bottom w:val="single" w:color="auto" w:sz="4" w:space="0"/>
              <w:right w:val="single" w:color="auto" w:sz="4" w:space="0"/>
            </w:tcBorders>
            <w:vAlign w:val="center"/>
          </w:tcPr>
          <w:p>
            <w:pPr>
              <w:keepLines w:val="0"/>
              <w:widowControl/>
              <w:rPr>
                <w:rFonts w:cs="Times New Roman" w:asciiTheme="minorEastAsia" w:hAnsiTheme="minorEastAsia"/>
                <w:color w:val="auto"/>
                <w:szCs w:val="24"/>
                <w:highlight w:val="none"/>
              </w:rPr>
            </w:pPr>
            <w:r>
              <w:rPr>
                <w:rFonts w:hint="eastAsia" w:cs="Times New Roman" w:asciiTheme="minorEastAsia" w:hAnsiTheme="minorEastAsia"/>
                <w:color w:val="auto"/>
                <w:szCs w:val="24"/>
                <w:highlight w:val="none"/>
                <w:lang w:eastAsia="zh-CN"/>
              </w:rPr>
              <w:t>墙面、地面</w:t>
            </w:r>
          </w:p>
        </w:tc>
        <w:tc>
          <w:tcPr>
            <w:tcW w:w="5569" w:type="dxa"/>
            <w:vMerge w:val="continue"/>
            <w:tcBorders>
              <w:top w:val="single" w:color="auto" w:sz="4" w:space="0"/>
              <w:left w:val="single" w:color="auto" w:sz="4" w:space="0"/>
              <w:bottom w:val="single" w:color="auto" w:sz="4" w:space="0"/>
              <w:right w:val="single" w:color="auto" w:sz="4" w:space="0"/>
            </w:tcBorders>
            <w:vAlign w:val="center"/>
          </w:tcPr>
          <w:p>
            <w:pPr>
              <w:keepLines w:val="0"/>
              <w:widowControl/>
              <w:rPr>
                <w:rFonts w:cs="Times New Roman" w:asciiTheme="minorEastAsia" w:hAnsiTheme="minorEastAsia"/>
                <w:color w:val="auto"/>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2" w:hRule="atLeast"/>
          <w:jc w:val="center"/>
        </w:trPr>
        <w:tc>
          <w:tcPr>
            <w:tcW w:w="2066" w:type="dxa"/>
            <w:tcBorders>
              <w:top w:val="single" w:color="auto" w:sz="4" w:space="0"/>
              <w:left w:val="single" w:color="auto" w:sz="4" w:space="0"/>
              <w:bottom w:val="single" w:color="auto" w:sz="4" w:space="0"/>
              <w:right w:val="single" w:color="auto" w:sz="4" w:space="0"/>
            </w:tcBorders>
            <w:vAlign w:val="center"/>
          </w:tcPr>
          <w:p>
            <w:pPr>
              <w:keepLines w:val="0"/>
              <w:widowControl/>
              <w:rPr>
                <w:rFonts w:cs="Times New Roman" w:asciiTheme="minorEastAsia" w:hAnsiTheme="minorEastAsia"/>
                <w:color w:val="auto"/>
                <w:szCs w:val="24"/>
                <w:highlight w:val="none"/>
              </w:rPr>
            </w:pPr>
            <w:r>
              <w:rPr>
                <w:rFonts w:hint="eastAsia" w:cs="Times New Roman" w:asciiTheme="minorEastAsia" w:hAnsiTheme="minorEastAsia"/>
                <w:color w:val="auto"/>
                <w:szCs w:val="24"/>
                <w:highlight w:val="none"/>
                <w:lang w:eastAsia="zh-CN"/>
              </w:rPr>
              <w:t>室内环境</w:t>
            </w:r>
          </w:p>
        </w:tc>
        <w:tc>
          <w:tcPr>
            <w:tcW w:w="1368" w:type="dxa"/>
            <w:tcBorders>
              <w:top w:val="single" w:color="auto" w:sz="4" w:space="0"/>
              <w:left w:val="single" w:color="auto" w:sz="4" w:space="0"/>
              <w:bottom w:val="single" w:color="auto" w:sz="4" w:space="0"/>
              <w:right w:val="single" w:color="auto" w:sz="4" w:space="0"/>
            </w:tcBorders>
            <w:vAlign w:val="center"/>
          </w:tcPr>
          <w:p>
            <w:pPr>
              <w:keepLines w:val="0"/>
              <w:widowControl/>
              <w:rPr>
                <w:rFonts w:cs="Times New Roman" w:asciiTheme="minorEastAsia" w:hAnsiTheme="minorEastAsia"/>
                <w:color w:val="auto"/>
                <w:szCs w:val="24"/>
                <w:highlight w:val="none"/>
              </w:rPr>
            </w:pPr>
            <w:r>
              <w:rPr>
                <w:rFonts w:hint="eastAsia" w:cs="Times New Roman" w:asciiTheme="minorEastAsia" w:hAnsiTheme="minorEastAsia"/>
                <w:color w:val="auto"/>
                <w:szCs w:val="24"/>
                <w:highlight w:val="none"/>
                <w:lang w:eastAsia="zh-CN"/>
              </w:rPr>
              <w:t>室内空间</w:t>
            </w:r>
          </w:p>
        </w:tc>
        <w:tc>
          <w:tcPr>
            <w:tcW w:w="5569" w:type="dxa"/>
            <w:tcBorders>
              <w:top w:val="single" w:color="auto" w:sz="4" w:space="0"/>
              <w:left w:val="single" w:color="auto" w:sz="4" w:space="0"/>
              <w:bottom w:val="single" w:color="auto" w:sz="4" w:space="0"/>
              <w:right w:val="single" w:color="auto" w:sz="4" w:space="0"/>
            </w:tcBorders>
            <w:vAlign w:val="center"/>
          </w:tcPr>
          <w:p>
            <w:pPr>
              <w:keepLines w:val="0"/>
              <w:widowControl/>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室内环境检测应符合国标</w:t>
            </w:r>
            <w:r>
              <w:rPr>
                <w:rFonts w:cs="Times New Roman" w:asciiTheme="minorEastAsia" w:hAnsiTheme="minorEastAsia"/>
                <w:color w:val="auto"/>
                <w:szCs w:val="24"/>
                <w:highlight w:val="none"/>
                <w:lang w:eastAsia="zh-CN"/>
              </w:rPr>
              <w:t>GB50325</w:t>
            </w:r>
            <w:r>
              <w:rPr>
                <w:rFonts w:hint="eastAsia" w:cs="Times New Roman" w:asciiTheme="minorEastAsia" w:hAnsiTheme="minorEastAsia"/>
                <w:color w:val="auto"/>
                <w:szCs w:val="24"/>
                <w:highlight w:val="none"/>
                <w:lang w:eastAsia="zh-CN"/>
              </w:rPr>
              <w:t>的要求。</w:t>
            </w:r>
          </w:p>
          <w:p>
            <w:pPr>
              <w:keepLines w:val="0"/>
              <w:widowControl/>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检测项目：</w:t>
            </w:r>
            <w:r>
              <w:rPr>
                <w:rFonts w:cs="Times New Roman" w:asciiTheme="minorEastAsia" w:hAnsiTheme="minorEastAsia"/>
                <w:color w:val="auto"/>
                <w:szCs w:val="24"/>
                <w:highlight w:val="none"/>
                <w:lang w:eastAsia="zh-CN"/>
              </w:rPr>
              <w:t>1.</w:t>
            </w:r>
            <w:r>
              <w:rPr>
                <w:rFonts w:hint="eastAsia" w:cs="Times New Roman" w:asciiTheme="minorEastAsia" w:hAnsiTheme="minorEastAsia"/>
                <w:color w:val="auto"/>
                <w:szCs w:val="24"/>
                <w:highlight w:val="none"/>
                <w:lang w:eastAsia="zh-CN"/>
              </w:rPr>
              <w:t>氡（</w:t>
            </w:r>
            <w:r>
              <w:rPr>
                <w:rFonts w:cs="Times New Roman" w:asciiTheme="minorEastAsia" w:hAnsiTheme="minorEastAsia"/>
                <w:color w:val="auto"/>
                <w:szCs w:val="24"/>
                <w:highlight w:val="none"/>
                <w:lang w:eastAsia="zh-CN"/>
              </w:rPr>
              <w:t>RN-222</w:t>
            </w:r>
            <w:r>
              <w:rPr>
                <w:rFonts w:hint="eastAsia" w:cs="Times New Roman" w:asciiTheme="minorEastAsia" w:hAnsiTheme="minorEastAsia"/>
                <w:color w:val="auto"/>
                <w:szCs w:val="24"/>
                <w:highlight w:val="none"/>
                <w:lang w:eastAsia="zh-CN"/>
              </w:rPr>
              <w:t>）；</w:t>
            </w:r>
            <w:r>
              <w:rPr>
                <w:rFonts w:cs="Times New Roman" w:asciiTheme="minorEastAsia" w:hAnsiTheme="minorEastAsia"/>
                <w:color w:val="auto"/>
                <w:szCs w:val="24"/>
                <w:highlight w:val="none"/>
                <w:lang w:eastAsia="zh-CN"/>
              </w:rPr>
              <w:t xml:space="preserve">2. </w:t>
            </w:r>
            <w:r>
              <w:rPr>
                <w:rFonts w:hint="eastAsia" w:cs="Times New Roman" w:asciiTheme="minorEastAsia" w:hAnsiTheme="minorEastAsia"/>
                <w:color w:val="auto"/>
                <w:szCs w:val="24"/>
                <w:highlight w:val="none"/>
                <w:lang w:eastAsia="zh-CN"/>
              </w:rPr>
              <w:t>甲醛；</w:t>
            </w:r>
            <w:r>
              <w:rPr>
                <w:rFonts w:cs="Times New Roman" w:asciiTheme="minorEastAsia" w:hAnsiTheme="minorEastAsia"/>
                <w:color w:val="auto"/>
                <w:szCs w:val="24"/>
                <w:highlight w:val="none"/>
                <w:lang w:eastAsia="zh-CN"/>
              </w:rPr>
              <w:t>3.</w:t>
            </w:r>
            <w:r>
              <w:rPr>
                <w:rFonts w:hint="eastAsia" w:cs="Times New Roman" w:asciiTheme="minorEastAsia" w:hAnsiTheme="minorEastAsia"/>
                <w:color w:val="auto"/>
                <w:szCs w:val="24"/>
                <w:highlight w:val="none"/>
                <w:lang w:eastAsia="zh-CN"/>
              </w:rPr>
              <w:t>氨；</w:t>
            </w:r>
            <w:r>
              <w:rPr>
                <w:rFonts w:cs="Times New Roman" w:asciiTheme="minorEastAsia" w:hAnsiTheme="minorEastAsia"/>
                <w:color w:val="auto"/>
                <w:szCs w:val="24"/>
                <w:highlight w:val="none"/>
                <w:lang w:eastAsia="zh-CN"/>
              </w:rPr>
              <w:t>4.</w:t>
            </w:r>
            <w:r>
              <w:rPr>
                <w:rFonts w:hint="eastAsia" w:cs="Times New Roman" w:asciiTheme="minorEastAsia" w:hAnsiTheme="minorEastAsia"/>
                <w:color w:val="auto"/>
                <w:szCs w:val="24"/>
                <w:highlight w:val="none"/>
                <w:lang w:eastAsia="zh-CN"/>
              </w:rPr>
              <w:t>苯；</w:t>
            </w:r>
            <w:r>
              <w:rPr>
                <w:rFonts w:cs="Times New Roman" w:asciiTheme="minorEastAsia" w:hAnsiTheme="minorEastAsia"/>
                <w:color w:val="auto"/>
                <w:szCs w:val="24"/>
                <w:highlight w:val="none"/>
                <w:lang w:eastAsia="zh-CN"/>
              </w:rPr>
              <w:t>5.</w:t>
            </w:r>
            <w:r>
              <w:rPr>
                <w:rFonts w:hint="eastAsia" w:cs="Times New Roman" w:asciiTheme="minorEastAsia" w:hAnsiTheme="minorEastAsia"/>
                <w:color w:val="auto"/>
                <w:szCs w:val="24"/>
                <w:highlight w:val="none"/>
                <w:lang w:eastAsia="zh-CN"/>
              </w:rPr>
              <w:t>总挥发性有机物（</w:t>
            </w:r>
            <w:r>
              <w:rPr>
                <w:rFonts w:cs="Times New Roman" w:asciiTheme="minorEastAsia" w:hAnsiTheme="minorEastAsia"/>
                <w:color w:val="auto"/>
                <w:szCs w:val="24"/>
                <w:highlight w:val="none"/>
                <w:lang w:eastAsia="zh-CN"/>
              </w:rPr>
              <w:t>TVOC</w:t>
            </w:r>
            <w:r>
              <w:rPr>
                <w:rFonts w:hint="eastAsia" w:cs="Times New Roman" w:asciiTheme="minorEastAsia" w:hAnsiTheme="minorEastAsia"/>
                <w:color w:val="auto"/>
                <w:szCs w:val="24"/>
                <w:highlight w:val="none"/>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9" w:hRule="atLeast"/>
          <w:jc w:val="center"/>
        </w:trPr>
        <w:tc>
          <w:tcPr>
            <w:tcW w:w="2066" w:type="dxa"/>
            <w:tcBorders>
              <w:top w:val="single" w:color="auto" w:sz="4" w:space="0"/>
              <w:left w:val="single" w:color="auto" w:sz="4" w:space="0"/>
              <w:bottom w:val="single" w:color="auto" w:sz="4" w:space="0"/>
              <w:right w:val="single" w:color="auto" w:sz="4" w:space="0"/>
            </w:tcBorders>
            <w:vAlign w:val="center"/>
          </w:tcPr>
          <w:p>
            <w:pPr>
              <w:keepLines w:val="0"/>
              <w:widowControl/>
              <w:rPr>
                <w:rFonts w:cs="Times New Roman" w:asciiTheme="minorEastAsia" w:hAnsiTheme="minorEastAsia"/>
                <w:color w:val="auto"/>
                <w:szCs w:val="24"/>
                <w:highlight w:val="none"/>
              </w:rPr>
            </w:pPr>
            <w:r>
              <w:rPr>
                <w:rFonts w:hint="eastAsia" w:cs="Times New Roman" w:asciiTheme="minorEastAsia" w:hAnsiTheme="minorEastAsia"/>
                <w:color w:val="auto"/>
                <w:szCs w:val="24"/>
                <w:highlight w:val="none"/>
                <w:lang w:eastAsia="zh-CN"/>
              </w:rPr>
              <w:t>防水材料</w:t>
            </w:r>
          </w:p>
        </w:tc>
        <w:tc>
          <w:tcPr>
            <w:tcW w:w="1368" w:type="dxa"/>
            <w:tcBorders>
              <w:top w:val="single" w:color="auto" w:sz="4" w:space="0"/>
              <w:left w:val="single" w:color="auto" w:sz="4" w:space="0"/>
              <w:bottom w:val="single" w:color="auto" w:sz="4" w:space="0"/>
              <w:right w:val="single" w:color="auto" w:sz="4" w:space="0"/>
            </w:tcBorders>
            <w:vAlign w:val="center"/>
          </w:tcPr>
          <w:p>
            <w:pPr>
              <w:keepLines w:val="0"/>
              <w:widowControl/>
              <w:rPr>
                <w:rFonts w:cs="Times New Roman" w:asciiTheme="minorEastAsia" w:hAnsiTheme="minorEastAsia"/>
                <w:color w:val="auto"/>
                <w:szCs w:val="24"/>
                <w:highlight w:val="none"/>
              </w:rPr>
            </w:pPr>
          </w:p>
        </w:tc>
        <w:tc>
          <w:tcPr>
            <w:tcW w:w="5569" w:type="dxa"/>
            <w:tcBorders>
              <w:top w:val="single" w:color="auto" w:sz="4" w:space="0"/>
              <w:left w:val="single" w:color="auto" w:sz="4" w:space="0"/>
              <w:bottom w:val="single" w:color="auto" w:sz="4" w:space="0"/>
              <w:right w:val="single" w:color="auto" w:sz="4" w:space="0"/>
            </w:tcBorders>
            <w:vAlign w:val="center"/>
          </w:tcPr>
          <w:p>
            <w:pPr>
              <w:keepLines w:val="0"/>
              <w:widowControl/>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应进行常规建筑材料检验并符合相关要求。</w:t>
            </w:r>
          </w:p>
        </w:tc>
      </w:tr>
    </w:tbl>
    <w:p>
      <w:pPr>
        <w:widowControl/>
        <w:ind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w:t>
      </w:r>
      <w:r>
        <w:rPr>
          <w:rFonts w:cs="Times New Roman" w:asciiTheme="minorEastAsia" w:hAnsiTheme="minorEastAsia"/>
          <w:color w:val="auto"/>
          <w:szCs w:val="24"/>
          <w:highlight w:val="none"/>
          <w:lang w:eastAsia="zh-CN"/>
        </w:rPr>
        <w:t>4</w:t>
      </w:r>
      <w:r>
        <w:rPr>
          <w:rFonts w:hint="eastAsia" w:cs="Times New Roman" w:asciiTheme="minorEastAsia" w:hAnsiTheme="minorEastAsia"/>
          <w:color w:val="auto"/>
          <w:szCs w:val="24"/>
          <w:highlight w:val="none"/>
          <w:lang w:eastAsia="zh-CN"/>
        </w:rPr>
        <w:t>）竣工检测</w:t>
      </w:r>
    </w:p>
    <w:p>
      <w:pPr>
        <w:pStyle w:val="8"/>
        <w:numPr>
          <w:ilvl w:val="0"/>
          <w:numId w:val="79"/>
        </w:numPr>
        <w:rPr>
          <w:color w:val="auto"/>
          <w:highlight w:val="none"/>
        </w:rPr>
      </w:pPr>
      <w:r>
        <w:rPr>
          <w:rFonts w:hint="eastAsia"/>
          <w:color w:val="auto"/>
          <w:highlight w:val="none"/>
        </w:rPr>
        <w:t>本工程完工以后，按中华人民共和国《民用建筑工程室内环境污染控制规范》</w:t>
      </w:r>
      <w:r>
        <w:rPr>
          <w:color w:val="auto"/>
          <w:highlight w:val="none"/>
        </w:rPr>
        <w:t>GB50325</w:t>
      </w:r>
      <w:r>
        <w:rPr>
          <w:rFonts w:hint="eastAsia"/>
          <w:color w:val="auto"/>
          <w:highlight w:val="none"/>
        </w:rPr>
        <w:t>进行检测。检测费用包含在投标综合报价内，不单位计算。</w:t>
      </w:r>
    </w:p>
    <w:p>
      <w:pPr>
        <w:pStyle w:val="8"/>
        <w:numPr>
          <w:ilvl w:val="0"/>
          <w:numId w:val="79"/>
        </w:numPr>
        <w:rPr>
          <w:color w:val="auto"/>
          <w:highlight w:val="none"/>
        </w:rPr>
      </w:pPr>
      <w:r>
        <w:rPr>
          <w:rFonts w:hint="eastAsia"/>
          <w:color w:val="auto"/>
          <w:highlight w:val="none"/>
        </w:rPr>
        <w:t>检测项目：氡、甲醛、氨、苯和</w:t>
      </w:r>
      <w:r>
        <w:rPr>
          <w:color w:val="auto"/>
          <w:highlight w:val="none"/>
        </w:rPr>
        <w:t>TVOC</w:t>
      </w:r>
      <w:r>
        <w:rPr>
          <w:rFonts w:hint="eastAsia"/>
          <w:color w:val="auto"/>
          <w:highlight w:val="none"/>
        </w:rPr>
        <w:t>等。</w:t>
      </w:r>
    </w:p>
    <w:p>
      <w:pPr>
        <w:pStyle w:val="7"/>
        <w:rPr>
          <w:color w:val="auto"/>
          <w:highlight w:val="none"/>
        </w:rPr>
      </w:pPr>
      <w:r>
        <w:rPr>
          <w:rFonts w:hint="eastAsia"/>
          <w:color w:val="auto"/>
          <w:highlight w:val="none"/>
        </w:rPr>
        <w:t>土建工程材料技术要求</w:t>
      </w:r>
    </w:p>
    <w:p>
      <w:pPr>
        <w:widowControl/>
        <w:ind w:firstLine="480" w:firstLineChars="200"/>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w:t>
      </w:r>
      <w:r>
        <w:rPr>
          <w:rFonts w:cs="Times New Roman" w:asciiTheme="minorEastAsia" w:hAnsiTheme="minorEastAsia"/>
          <w:color w:val="auto"/>
          <w:szCs w:val="24"/>
          <w:highlight w:val="none"/>
          <w:lang w:eastAsia="zh-CN"/>
        </w:rPr>
        <w:t>1</w:t>
      </w:r>
      <w:r>
        <w:rPr>
          <w:rFonts w:hint="eastAsia" w:cs="Times New Roman" w:asciiTheme="minorEastAsia" w:hAnsiTheme="minorEastAsia"/>
          <w:color w:val="auto"/>
          <w:szCs w:val="24"/>
          <w:highlight w:val="none"/>
          <w:lang w:eastAsia="zh-CN"/>
        </w:rPr>
        <w:t>）总说明</w:t>
      </w:r>
    </w:p>
    <w:p>
      <w:pPr>
        <w:pStyle w:val="8"/>
        <w:numPr>
          <w:ilvl w:val="0"/>
          <w:numId w:val="80"/>
        </w:numPr>
        <w:rPr>
          <w:color w:val="auto"/>
          <w:highlight w:val="none"/>
        </w:rPr>
      </w:pPr>
      <w:r>
        <w:rPr>
          <w:rFonts w:hint="eastAsia"/>
          <w:color w:val="auto"/>
          <w:highlight w:val="none"/>
        </w:rPr>
        <w:t>所用材料的品种、规格和质量须符合设计要求和国家现行标准的规定。当设计无要求时应符合国家现行标准的规定，严禁使用国家明令淘汰的材料；</w:t>
      </w:r>
    </w:p>
    <w:p>
      <w:pPr>
        <w:pStyle w:val="8"/>
        <w:numPr>
          <w:ilvl w:val="0"/>
          <w:numId w:val="80"/>
        </w:numPr>
        <w:rPr>
          <w:color w:val="auto"/>
          <w:highlight w:val="none"/>
        </w:rPr>
      </w:pPr>
      <w:r>
        <w:rPr>
          <w:rFonts w:hint="eastAsia"/>
          <w:color w:val="auto"/>
          <w:highlight w:val="none"/>
        </w:rPr>
        <w:t>所用材料的燃烧性应符合现行国家标准《建筑内部装修设计防火规范》（</w:t>
      </w:r>
      <w:r>
        <w:rPr>
          <w:color w:val="auto"/>
          <w:highlight w:val="none"/>
        </w:rPr>
        <w:t>GB50222-95</w:t>
      </w:r>
      <w:r>
        <w:rPr>
          <w:rFonts w:hint="eastAsia"/>
          <w:color w:val="auto"/>
          <w:highlight w:val="none"/>
        </w:rPr>
        <w:t>）、《建筑设计防火规范》（</w:t>
      </w:r>
      <w:r>
        <w:rPr>
          <w:color w:val="auto"/>
          <w:highlight w:val="none"/>
        </w:rPr>
        <w:t>GB 50016</w:t>
      </w:r>
      <w:r>
        <w:rPr>
          <w:rFonts w:hint="eastAsia"/>
          <w:color w:val="auto"/>
          <w:highlight w:val="none"/>
        </w:rPr>
        <w:t>）和《高层民用建筑设计防火规范》（</w:t>
      </w:r>
      <w:r>
        <w:rPr>
          <w:color w:val="auto"/>
          <w:highlight w:val="none"/>
        </w:rPr>
        <w:t>GB50045-95</w:t>
      </w:r>
      <w:r>
        <w:rPr>
          <w:rFonts w:hint="eastAsia"/>
          <w:color w:val="auto"/>
          <w:highlight w:val="none"/>
        </w:rPr>
        <w:t>）的规定；</w:t>
      </w:r>
    </w:p>
    <w:p>
      <w:pPr>
        <w:pStyle w:val="8"/>
        <w:numPr>
          <w:ilvl w:val="0"/>
          <w:numId w:val="80"/>
        </w:numPr>
        <w:rPr>
          <w:color w:val="auto"/>
          <w:highlight w:val="none"/>
        </w:rPr>
      </w:pPr>
      <w:r>
        <w:rPr>
          <w:rFonts w:hint="eastAsia"/>
          <w:color w:val="auto"/>
          <w:highlight w:val="none"/>
        </w:rPr>
        <w:t>所用材料应绿色环保要求：符合国家有关建筑装饰装修材料有害物质限量标准的规定；并具有国家权威检测机构颁发的绿色环保安全使用证书，并保证工程完工后经深圳市环境检测权威机构检测各项安全指标达到《民用建筑工程室内环境污染控制规范》</w:t>
      </w:r>
      <w:r>
        <w:rPr>
          <w:color w:val="auto"/>
          <w:highlight w:val="none"/>
        </w:rPr>
        <w:t>GB50325</w:t>
      </w:r>
      <w:r>
        <w:rPr>
          <w:rFonts w:hint="eastAsia"/>
          <w:color w:val="auto"/>
          <w:highlight w:val="none"/>
        </w:rPr>
        <w:t>等环保要求，若达不到规范各项指标要求，承包人负责返工并承担全部返工费用及相关检测费用，发包人保留按合同规定索赔的权力。</w:t>
      </w:r>
    </w:p>
    <w:p>
      <w:pPr>
        <w:pStyle w:val="8"/>
        <w:numPr>
          <w:ilvl w:val="0"/>
          <w:numId w:val="80"/>
        </w:numPr>
        <w:rPr>
          <w:color w:val="auto"/>
          <w:highlight w:val="none"/>
        </w:rPr>
      </w:pPr>
      <w:r>
        <w:rPr>
          <w:rFonts w:hint="eastAsia"/>
          <w:color w:val="auto"/>
          <w:highlight w:val="none"/>
        </w:rPr>
        <w:t>所有材料进场时应对品种、规格、外观和尺寸进行验收。材料包装应完好，应有产品合格证书、中文说明书及相关性能的检测报告；进口产品应按规定进行商品检验。</w:t>
      </w:r>
    </w:p>
    <w:p>
      <w:pPr>
        <w:pStyle w:val="8"/>
        <w:numPr>
          <w:ilvl w:val="0"/>
          <w:numId w:val="80"/>
        </w:numPr>
        <w:rPr>
          <w:color w:val="auto"/>
          <w:highlight w:val="none"/>
        </w:rPr>
      </w:pPr>
      <w:r>
        <w:rPr>
          <w:rFonts w:hint="eastAsia"/>
          <w:color w:val="auto"/>
          <w:highlight w:val="none"/>
        </w:rPr>
        <w:t>进场后需进行复检的材料种类及项目应符合《建筑装饰装修工程质量验收规范》（</w:t>
      </w:r>
      <w:r>
        <w:rPr>
          <w:color w:val="auto"/>
          <w:highlight w:val="none"/>
        </w:rPr>
        <w:t>GB50210</w:t>
      </w:r>
      <w:r>
        <w:rPr>
          <w:rFonts w:hint="eastAsia"/>
          <w:color w:val="auto"/>
          <w:highlight w:val="none"/>
        </w:rPr>
        <w:t>）各章的规定。同一厂家生产的同一品种、同一类型的进场材料应至少抽取一组样品进行复检，当合同另有约定时应按合同执行。</w:t>
      </w:r>
    </w:p>
    <w:p>
      <w:pPr>
        <w:pStyle w:val="8"/>
        <w:numPr>
          <w:ilvl w:val="0"/>
          <w:numId w:val="80"/>
        </w:numPr>
        <w:rPr>
          <w:color w:val="auto"/>
          <w:highlight w:val="none"/>
        </w:rPr>
      </w:pPr>
      <w:r>
        <w:rPr>
          <w:rFonts w:hint="eastAsia"/>
          <w:color w:val="auto"/>
          <w:highlight w:val="none"/>
        </w:rPr>
        <w:t>应对材料进行见证检测情况：国家规定或合同约定；对材料的质量发生争议时。</w:t>
      </w:r>
    </w:p>
    <w:p>
      <w:pPr>
        <w:pStyle w:val="8"/>
        <w:numPr>
          <w:ilvl w:val="0"/>
          <w:numId w:val="80"/>
        </w:numPr>
        <w:rPr>
          <w:color w:val="auto"/>
          <w:highlight w:val="none"/>
        </w:rPr>
      </w:pPr>
      <w:r>
        <w:rPr>
          <w:rFonts w:hint="eastAsia"/>
          <w:color w:val="auto"/>
          <w:highlight w:val="none"/>
        </w:rPr>
        <w:t>承担建筑装饰装修材料检测的单位应具备相应的资质，并应建立质量管理体系。</w:t>
      </w:r>
    </w:p>
    <w:p>
      <w:pPr>
        <w:pStyle w:val="8"/>
        <w:numPr>
          <w:ilvl w:val="0"/>
          <w:numId w:val="80"/>
        </w:numPr>
        <w:rPr>
          <w:color w:val="auto"/>
          <w:highlight w:val="none"/>
        </w:rPr>
      </w:pPr>
      <w:r>
        <w:rPr>
          <w:rFonts w:hint="eastAsia"/>
          <w:color w:val="auto"/>
          <w:highlight w:val="none"/>
        </w:rPr>
        <w:t>建筑装饰装修工程所使用的材料在运输、储存和施工过程中，必须采取有效措施防止损坏，变质和污染环境。</w:t>
      </w:r>
    </w:p>
    <w:p>
      <w:pPr>
        <w:pStyle w:val="8"/>
        <w:numPr>
          <w:ilvl w:val="0"/>
          <w:numId w:val="80"/>
        </w:numPr>
        <w:rPr>
          <w:color w:val="auto"/>
          <w:highlight w:val="none"/>
        </w:rPr>
      </w:pPr>
      <w:r>
        <w:rPr>
          <w:rFonts w:hint="eastAsia"/>
          <w:color w:val="auto"/>
          <w:highlight w:val="none"/>
        </w:rPr>
        <w:t>建筑装饰装修工程所使用的材料应按设计要求进行防火、防腐和防虫处理。</w:t>
      </w:r>
    </w:p>
    <w:p>
      <w:pPr>
        <w:pStyle w:val="8"/>
        <w:numPr>
          <w:ilvl w:val="0"/>
          <w:numId w:val="80"/>
        </w:numPr>
        <w:rPr>
          <w:color w:val="auto"/>
          <w:highlight w:val="none"/>
        </w:rPr>
      </w:pPr>
      <w:r>
        <w:rPr>
          <w:rFonts w:hint="eastAsia"/>
          <w:color w:val="auto"/>
          <w:highlight w:val="none"/>
        </w:rPr>
        <w:t>所有用于本工程的材料的防火等级必须满足设计</w:t>
      </w:r>
      <w:r>
        <w:rPr>
          <w:color w:val="auto"/>
          <w:highlight w:val="none"/>
        </w:rPr>
        <w:t>B1</w:t>
      </w:r>
      <w:r>
        <w:rPr>
          <w:rFonts w:hint="eastAsia"/>
          <w:color w:val="auto"/>
          <w:highlight w:val="none"/>
        </w:rPr>
        <w:t>级及防火规范要求。</w:t>
      </w:r>
    </w:p>
    <w:p>
      <w:pPr>
        <w:pStyle w:val="8"/>
        <w:numPr>
          <w:ilvl w:val="0"/>
          <w:numId w:val="80"/>
        </w:numPr>
        <w:rPr>
          <w:color w:val="auto"/>
          <w:highlight w:val="none"/>
        </w:rPr>
      </w:pPr>
      <w:r>
        <w:rPr>
          <w:rFonts w:hint="eastAsia"/>
          <w:color w:val="auto"/>
          <w:highlight w:val="none"/>
        </w:rPr>
        <w:t>现场配制的材料如砂浆、胶粘剂等，应按设计要求或产品说明书配制。</w:t>
      </w:r>
    </w:p>
    <w:p>
      <w:pPr>
        <w:pStyle w:val="8"/>
        <w:numPr>
          <w:ilvl w:val="0"/>
          <w:numId w:val="80"/>
        </w:numPr>
        <w:rPr>
          <w:color w:val="auto"/>
          <w:highlight w:val="none"/>
        </w:rPr>
      </w:pPr>
      <w:r>
        <w:rPr>
          <w:rFonts w:hint="eastAsia"/>
          <w:color w:val="auto"/>
          <w:highlight w:val="none"/>
        </w:rPr>
        <w:t>复层涂料应符合</w:t>
      </w:r>
      <w:r>
        <w:rPr>
          <w:color w:val="auto"/>
          <w:highlight w:val="none"/>
        </w:rPr>
        <w:t>GB/T9779-88</w:t>
      </w:r>
      <w:r>
        <w:rPr>
          <w:rFonts w:hint="eastAsia"/>
          <w:color w:val="auto"/>
          <w:highlight w:val="none"/>
        </w:rPr>
        <w:t>（要求采用一级品及以上）。</w:t>
      </w:r>
    </w:p>
    <w:p>
      <w:pPr>
        <w:widowControl/>
        <w:ind w:firstLine="480" w:firstLineChars="200"/>
        <w:rPr>
          <w:rFonts w:cs="Times New Roman" w:asciiTheme="minorEastAsia" w:hAnsiTheme="minorEastAsia"/>
          <w:color w:val="auto"/>
          <w:szCs w:val="24"/>
          <w:highlight w:val="none"/>
          <w:lang w:val="zh-CN" w:eastAsia="zh-CN" w:bidi="zh-CN"/>
        </w:rPr>
      </w:pPr>
      <w:r>
        <w:rPr>
          <w:rFonts w:hint="eastAsia" w:cs="Times New Roman" w:asciiTheme="minorEastAsia" w:hAnsiTheme="minorEastAsia"/>
          <w:color w:val="auto"/>
          <w:szCs w:val="24"/>
          <w:highlight w:val="none"/>
          <w:lang w:val="zh-CN" w:eastAsia="zh-CN" w:bidi="zh-CN"/>
        </w:rPr>
        <w:t>（</w:t>
      </w:r>
      <w:r>
        <w:rPr>
          <w:rFonts w:cs="Times New Roman" w:asciiTheme="minorEastAsia" w:hAnsiTheme="minorEastAsia"/>
          <w:color w:val="auto"/>
          <w:szCs w:val="24"/>
          <w:highlight w:val="none"/>
          <w:lang w:val="zh-CN" w:eastAsia="zh-CN" w:bidi="zh-CN"/>
        </w:rPr>
        <w:t>2</w:t>
      </w:r>
      <w:r>
        <w:rPr>
          <w:rFonts w:hint="eastAsia" w:cs="Times New Roman" w:asciiTheme="minorEastAsia" w:hAnsiTheme="minorEastAsia"/>
          <w:color w:val="auto"/>
          <w:szCs w:val="24"/>
          <w:highlight w:val="none"/>
          <w:lang w:val="zh-CN" w:eastAsia="zh-CN" w:bidi="zh-CN"/>
        </w:rPr>
        <w:t>）承包人施工前</w:t>
      </w:r>
      <w:r>
        <w:rPr>
          <w:rFonts w:cs="Times New Roman" w:asciiTheme="minorEastAsia" w:hAnsiTheme="minorEastAsia"/>
          <w:color w:val="auto"/>
          <w:szCs w:val="24"/>
          <w:highlight w:val="none"/>
          <w:lang w:val="zh-CN" w:eastAsia="zh-CN" w:bidi="zh-CN"/>
        </w:rPr>
        <w:t>2</w:t>
      </w:r>
      <w:r>
        <w:rPr>
          <w:rFonts w:hint="eastAsia" w:cs="Times New Roman" w:asciiTheme="minorEastAsia" w:hAnsiTheme="minorEastAsia"/>
          <w:color w:val="auto"/>
          <w:szCs w:val="24"/>
          <w:highlight w:val="none"/>
          <w:lang w:val="zh-CN" w:eastAsia="zh-CN" w:bidi="zh-CN"/>
        </w:rPr>
        <w:t>个月提供主要材料的品牌和厂家报监理、设计、发包人和使用单位（必要时）审批、考察、备案。凡未经审批合格或经检测不合格的材料，一律不得进场使用。否则，凡由此造成纠纷，影响工程质量、工期的由承包人承担全部经济责任。</w:t>
      </w:r>
    </w:p>
    <w:p>
      <w:pPr>
        <w:widowControl/>
        <w:ind w:firstLine="480" w:firstLineChars="200"/>
        <w:rPr>
          <w:rFonts w:cs="Times New Roman" w:asciiTheme="minorEastAsia" w:hAnsiTheme="minorEastAsia"/>
          <w:color w:val="auto"/>
          <w:szCs w:val="24"/>
          <w:highlight w:val="none"/>
          <w:lang w:val="zh-CN" w:eastAsia="zh-CN" w:bidi="zh-CN"/>
        </w:rPr>
      </w:pPr>
      <w:r>
        <w:rPr>
          <w:rFonts w:hint="eastAsia" w:cs="Times New Roman" w:asciiTheme="minorEastAsia" w:hAnsiTheme="minorEastAsia"/>
          <w:color w:val="auto"/>
          <w:szCs w:val="24"/>
          <w:highlight w:val="none"/>
          <w:lang w:val="zh-CN" w:eastAsia="zh-CN" w:bidi="zh-CN"/>
        </w:rPr>
        <w:t>（</w:t>
      </w:r>
      <w:r>
        <w:rPr>
          <w:rFonts w:cs="Times New Roman" w:asciiTheme="minorEastAsia" w:hAnsiTheme="minorEastAsia"/>
          <w:color w:val="auto"/>
          <w:szCs w:val="24"/>
          <w:highlight w:val="none"/>
          <w:lang w:val="zh-CN" w:eastAsia="zh-CN" w:bidi="zh-CN"/>
        </w:rPr>
        <w:t>3</w:t>
      </w:r>
      <w:r>
        <w:rPr>
          <w:rFonts w:hint="eastAsia" w:cs="Times New Roman" w:asciiTheme="minorEastAsia" w:hAnsiTheme="minorEastAsia"/>
          <w:color w:val="auto"/>
          <w:szCs w:val="24"/>
          <w:highlight w:val="none"/>
          <w:lang w:val="zh-CN" w:eastAsia="zh-CN" w:bidi="zh-CN"/>
        </w:rPr>
        <w:t>）主要材料技术要求：</w:t>
      </w:r>
    </w:p>
    <w:p>
      <w:pPr>
        <w:pStyle w:val="22"/>
        <w:rPr>
          <w:color w:val="auto"/>
          <w:highlight w:val="none"/>
          <w:lang w:eastAsia="zh-CN"/>
        </w:rPr>
      </w:pPr>
      <w:r>
        <w:rPr>
          <w:color w:val="auto"/>
          <w:highlight w:val="none"/>
        </w:rPr>
        <w:t xml:space="preserve">表 </w:t>
      </w:r>
      <w:r>
        <w:rPr>
          <w:color w:val="auto"/>
          <w:highlight w:val="none"/>
        </w:rPr>
        <w:fldChar w:fldCharType="begin"/>
      </w:r>
      <w:r>
        <w:rPr>
          <w:color w:val="auto"/>
          <w:highlight w:val="none"/>
        </w:rPr>
        <w:instrText xml:space="preserve"> STYLEREF 1 \s </w:instrText>
      </w:r>
      <w:r>
        <w:rPr>
          <w:color w:val="auto"/>
          <w:highlight w:val="none"/>
        </w:rPr>
        <w:fldChar w:fldCharType="separate"/>
      </w:r>
      <w:r>
        <w:rPr>
          <w:color w:val="auto"/>
          <w:highlight w:val="none"/>
        </w:rPr>
        <w:t>7</w:t>
      </w:r>
      <w:r>
        <w:rPr>
          <w:color w:val="auto"/>
          <w:highlight w:val="none"/>
        </w:rPr>
        <w:fldChar w:fldCharType="end"/>
      </w:r>
      <w:r>
        <w:rPr>
          <w:rFonts w:hint="eastAsia"/>
          <w:color w:val="auto"/>
          <w:highlight w:val="none"/>
          <w:lang w:eastAsia="zh-CN"/>
        </w:rPr>
        <w:t>-</w:t>
      </w:r>
      <w:r>
        <w:rPr>
          <w:color w:val="auto"/>
          <w:highlight w:val="none"/>
        </w:rPr>
        <w:fldChar w:fldCharType="begin"/>
      </w:r>
      <w:r>
        <w:rPr>
          <w:color w:val="auto"/>
          <w:highlight w:val="none"/>
        </w:rPr>
        <w:instrText xml:space="preserve"> SEQ 表 \* ARABIC \s 1 </w:instrText>
      </w:r>
      <w:r>
        <w:rPr>
          <w:color w:val="auto"/>
          <w:highlight w:val="none"/>
        </w:rPr>
        <w:fldChar w:fldCharType="separate"/>
      </w:r>
      <w:r>
        <w:rPr>
          <w:color w:val="auto"/>
          <w:highlight w:val="none"/>
        </w:rPr>
        <w:t>4</w:t>
      </w:r>
      <w:r>
        <w:rPr>
          <w:color w:val="auto"/>
          <w:highlight w:val="none"/>
        </w:rPr>
        <w:fldChar w:fldCharType="end"/>
      </w:r>
      <w:r>
        <w:rPr>
          <w:rFonts w:hint="eastAsia"/>
          <w:color w:val="auto"/>
          <w:highlight w:val="none"/>
          <w:lang w:eastAsia="zh-CN"/>
        </w:rPr>
        <w:t xml:space="preserve"> 主要材料技术要求</w:t>
      </w:r>
    </w:p>
    <w:tbl>
      <w:tblPr>
        <w:tblStyle w:val="85"/>
        <w:tblW w:w="5000" w:type="pct"/>
        <w:jc w:val="center"/>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928"/>
        <w:gridCol w:w="1383"/>
        <w:gridCol w:w="1455"/>
        <w:gridCol w:w="6040"/>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54" w:hRule="atLeast"/>
          <w:tblHeader/>
          <w:jc w:val="center"/>
        </w:trPr>
        <w:tc>
          <w:tcPr>
            <w:tcW w:w="473" w:type="pct"/>
            <w:tcBorders>
              <w:top w:val="single" w:color="auto" w:sz="12" w:space="0"/>
              <w:left w:val="single" w:color="auto" w:sz="12" w:space="0"/>
              <w:bottom w:val="single" w:color="auto" w:sz="2" w:space="0"/>
              <w:right w:val="single" w:color="auto" w:sz="2" w:space="0"/>
            </w:tcBorders>
            <w:vAlign w:val="center"/>
          </w:tcPr>
          <w:p>
            <w:pPr>
              <w:keepLines w:val="0"/>
              <w:widowControl/>
              <w:jc w:val="center"/>
              <w:rPr>
                <w:rFonts w:cs="Times New Roman" w:asciiTheme="minorEastAsia" w:hAnsiTheme="minorEastAsia"/>
                <w:color w:val="auto"/>
                <w:szCs w:val="24"/>
                <w:highlight w:val="none"/>
              </w:rPr>
            </w:pPr>
            <w:r>
              <w:rPr>
                <w:rFonts w:hint="eastAsia" w:cs="Times New Roman" w:asciiTheme="minorEastAsia" w:hAnsiTheme="minorEastAsia"/>
                <w:color w:val="auto"/>
                <w:szCs w:val="24"/>
                <w:highlight w:val="none"/>
                <w:lang w:eastAsia="zh-CN"/>
              </w:rPr>
              <w:t>序号</w:t>
            </w:r>
          </w:p>
        </w:tc>
        <w:tc>
          <w:tcPr>
            <w:tcW w:w="705" w:type="pct"/>
            <w:tcBorders>
              <w:top w:val="single" w:color="auto" w:sz="12" w:space="0"/>
              <w:left w:val="single" w:color="auto" w:sz="2" w:space="0"/>
              <w:bottom w:val="single" w:color="auto" w:sz="2" w:space="0"/>
              <w:right w:val="single" w:color="auto" w:sz="2" w:space="0"/>
            </w:tcBorders>
            <w:vAlign w:val="center"/>
          </w:tcPr>
          <w:p>
            <w:pPr>
              <w:keepLines w:val="0"/>
              <w:widowControl/>
              <w:jc w:val="center"/>
              <w:rPr>
                <w:rFonts w:cs="Times New Roman" w:asciiTheme="minorEastAsia" w:hAnsiTheme="minorEastAsia"/>
                <w:color w:val="auto"/>
                <w:szCs w:val="24"/>
                <w:highlight w:val="none"/>
              </w:rPr>
            </w:pPr>
            <w:r>
              <w:rPr>
                <w:rFonts w:hint="eastAsia" w:cs="Times New Roman" w:asciiTheme="minorEastAsia" w:hAnsiTheme="minorEastAsia"/>
                <w:color w:val="auto"/>
                <w:szCs w:val="24"/>
                <w:highlight w:val="none"/>
                <w:lang w:eastAsia="zh-CN"/>
              </w:rPr>
              <w:t>产品名称</w:t>
            </w:r>
          </w:p>
        </w:tc>
        <w:tc>
          <w:tcPr>
            <w:tcW w:w="742" w:type="pct"/>
            <w:tcBorders>
              <w:top w:val="single" w:color="auto" w:sz="12" w:space="0"/>
              <w:left w:val="single" w:color="auto" w:sz="2" w:space="0"/>
              <w:bottom w:val="single" w:color="auto" w:sz="2" w:space="0"/>
              <w:right w:val="single" w:color="auto" w:sz="2" w:space="0"/>
            </w:tcBorders>
            <w:vAlign w:val="center"/>
          </w:tcPr>
          <w:p>
            <w:pPr>
              <w:keepLines w:val="0"/>
              <w:widowControl/>
              <w:jc w:val="center"/>
              <w:rPr>
                <w:rFonts w:cs="Times New Roman" w:asciiTheme="minorEastAsia" w:hAnsiTheme="minorEastAsia"/>
                <w:color w:val="auto"/>
                <w:szCs w:val="24"/>
                <w:highlight w:val="none"/>
              </w:rPr>
            </w:pPr>
            <w:r>
              <w:rPr>
                <w:rFonts w:hint="eastAsia" w:cs="Times New Roman" w:asciiTheme="minorEastAsia" w:hAnsiTheme="minorEastAsia"/>
                <w:color w:val="auto"/>
                <w:szCs w:val="24"/>
                <w:highlight w:val="none"/>
                <w:lang w:eastAsia="zh-CN"/>
              </w:rPr>
              <w:t>应用范围</w:t>
            </w:r>
          </w:p>
        </w:tc>
        <w:tc>
          <w:tcPr>
            <w:tcW w:w="3080" w:type="pct"/>
            <w:tcBorders>
              <w:top w:val="single" w:color="auto" w:sz="12" w:space="0"/>
              <w:left w:val="single" w:color="auto" w:sz="2" w:space="0"/>
              <w:bottom w:val="single" w:color="auto" w:sz="2" w:space="0"/>
              <w:right w:val="single" w:color="auto" w:sz="12" w:space="0"/>
            </w:tcBorders>
            <w:vAlign w:val="center"/>
          </w:tcPr>
          <w:p>
            <w:pPr>
              <w:keepLines w:val="0"/>
              <w:widowControl/>
              <w:jc w:val="center"/>
              <w:rPr>
                <w:rFonts w:cs="Times New Roman" w:asciiTheme="minorEastAsia" w:hAnsiTheme="minorEastAsia"/>
                <w:color w:val="auto"/>
                <w:szCs w:val="24"/>
                <w:highlight w:val="none"/>
              </w:rPr>
            </w:pPr>
            <w:r>
              <w:rPr>
                <w:rFonts w:hint="eastAsia" w:cs="Times New Roman" w:asciiTheme="minorEastAsia" w:hAnsiTheme="minorEastAsia"/>
                <w:color w:val="auto"/>
                <w:szCs w:val="24"/>
                <w:highlight w:val="none"/>
                <w:lang w:eastAsia="zh-CN"/>
              </w:rPr>
              <w:t>产品技术要求</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584" w:hRule="atLeast"/>
          <w:jc w:val="center"/>
        </w:trPr>
        <w:tc>
          <w:tcPr>
            <w:tcW w:w="473" w:type="pct"/>
            <w:tcBorders>
              <w:top w:val="single" w:color="auto" w:sz="2" w:space="0"/>
              <w:left w:val="single" w:color="auto" w:sz="12" w:space="0"/>
              <w:bottom w:val="single" w:color="auto" w:sz="2" w:space="0"/>
              <w:right w:val="single" w:color="auto" w:sz="2" w:space="0"/>
            </w:tcBorders>
            <w:vAlign w:val="center"/>
          </w:tcPr>
          <w:p>
            <w:pPr>
              <w:keepLines w:val="0"/>
              <w:widowControl/>
              <w:jc w:val="center"/>
              <w:rPr>
                <w:rFonts w:cs="Times New Roman" w:asciiTheme="minorEastAsia" w:hAnsiTheme="minorEastAsia"/>
                <w:color w:val="auto"/>
                <w:szCs w:val="24"/>
                <w:highlight w:val="none"/>
              </w:rPr>
            </w:pPr>
            <w:r>
              <w:rPr>
                <w:rFonts w:cs="Times New Roman" w:asciiTheme="minorEastAsia" w:hAnsiTheme="minorEastAsia"/>
                <w:color w:val="auto"/>
                <w:szCs w:val="24"/>
                <w:highlight w:val="none"/>
                <w:lang w:eastAsia="zh-CN"/>
              </w:rPr>
              <w:t>1</w:t>
            </w:r>
          </w:p>
        </w:tc>
        <w:tc>
          <w:tcPr>
            <w:tcW w:w="705" w:type="pct"/>
            <w:tcBorders>
              <w:top w:val="single" w:color="auto" w:sz="2" w:space="0"/>
              <w:left w:val="single" w:color="auto" w:sz="2" w:space="0"/>
              <w:bottom w:val="single" w:color="auto" w:sz="2" w:space="0"/>
              <w:right w:val="single" w:color="auto" w:sz="2" w:space="0"/>
            </w:tcBorders>
            <w:vAlign w:val="center"/>
          </w:tcPr>
          <w:p>
            <w:pPr>
              <w:keepLines w:val="0"/>
              <w:widowControl/>
              <w:jc w:val="center"/>
              <w:rPr>
                <w:rFonts w:cs="Times New Roman" w:asciiTheme="minorEastAsia" w:hAnsiTheme="minorEastAsia"/>
                <w:color w:val="auto"/>
                <w:szCs w:val="24"/>
                <w:highlight w:val="none"/>
              </w:rPr>
            </w:pPr>
            <w:r>
              <w:rPr>
                <w:rFonts w:hint="eastAsia" w:cs="Times New Roman" w:asciiTheme="minorEastAsia" w:hAnsiTheme="minorEastAsia"/>
                <w:color w:val="auto"/>
                <w:szCs w:val="24"/>
                <w:highlight w:val="none"/>
                <w:lang w:eastAsia="zh-CN"/>
              </w:rPr>
              <w:t>水泥基自流平</w:t>
            </w:r>
          </w:p>
        </w:tc>
        <w:tc>
          <w:tcPr>
            <w:tcW w:w="742" w:type="pct"/>
            <w:tcBorders>
              <w:top w:val="single" w:color="auto" w:sz="2" w:space="0"/>
              <w:left w:val="single" w:color="auto" w:sz="2" w:space="0"/>
              <w:bottom w:val="single" w:color="auto" w:sz="2" w:space="0"/>
              <w:right w:val="single" w:color="auto" w:sz="2" w:space="0"/>
            </w:tcBorders>
            <w:vAlign w:val="center"/>
          </w:tcPr>
          <w:p>
            <w:pPr>
              <w:keepLines w:val="0"/>
              <w:widowControl/>
              <w:rPr>
                <w:rFonts w:cs="Times New Roman" w:asciiTheme="minorEastAsia" w:hAnsiTheme="minorEastAsia"/>
                <w:color w:val="auto"/>
                <w:szCs w:val="24"/>
                <w:highlight w:val="none"/>
              </w:rPr>
            </w:pPr>
            <w:r>
              <w:rPr>
                <w:rFonts w:hint="eastAsia" w:cs="Times New Roman" w:asciiTheme="minorEastAsia" w:hAnsiTheme="minorEastAsia"/>
                <w:color w:val="auto"/>
                <w:szCs w:val="24"/>
                <w:highlight w:val="none"/>
                <w:lang w:eastAsia="zh-CN"/>
              </w:rPr>
              <w:t>室内地面</w:t>
            </w:r>
          </w:p>
        </w:tc>
        <w:tc>
          <w:tcPr>
            <w:tcW w:w="3080" w:type="pct"/>
            <w:tcBorders>
              <w:top w:val="single" w:color="auto" w:sz="2" w:space="0"/>
              <w:left w:val="single" w:color="auto" w:sz="2" w:space="0"/>
              <w:bottom w:val="single" w:color="auto" w:sz="2" w:space="0"/>
              <w:right w:val="single" w:color="auto" w:sz="12" w:space="0"/>
            </w:tcBorders>
            <w:vAlign w:val="center"/>
          </w:tcPr>
          <w:p>
            <w:pPr>
              <w:keepLines w:val="0"/>
              <w:widowControl/>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一、符合设计、国家有关标准、规范、规定要求，并符合下列要求：</w:t>
            </w:r>
          </w:p>
          <w:p>
            <w:pPr>
              <w:keepLines w:val="0"/>
              <w:widowControl/>
              <w:shd w:val="clear" w:color="auto" w:fill="FFFFFF"/>
              <w:rPr>
                <w:rFonts w:cs="Times New Roman" w:asciiTheme="minorEastAsia" w:hAnsiTheme="minorEastAsia"/>
                <w:color w:val="auto"/>
                <w:szCs w:val="24"/>
                <w:highlight w:val="none"/>
                <w:lang w:eastAsia="zh-CN"/>
              </w:rPr>
            </w:pPr>
            <w:r>
              <w:rPr>
                <w:rFonts w:cs="Times New Roman" w:asciiTheme="minorEastAsia" w:hAnsiTheme="minorEastAsia"/>
                <w:color w:val="auto"/>
                <w:szCs w:val="24"/>
                <w:highlight w:val="none"/>
                <w:lang w:eastAsia="zh-CN"/>
              </w:rPr>
              <w:t>1.</w:t>
            </w:r>
            <w:r>
              <w:rPr>
                <w:rFonts w:hint="eastAsia" w:cs="Times New Roman" w:asciiTheme="minorEastAsia" w:hAnsiTheme="minorEastAsia"/>
                <w:color w:val="auto"/>
                <w:szCs w:val="24"/>
                <w:highlight w:val="none"/>
                <w:lang w:eastAsia="zh-CN"/>
              </w:rPr>
              <w:t>外观：单组分产品外观应均匀、无结块；双组分产品液料组分经搅拌后应呈均匀状态；粉料组分应均匀、无结块。</w:t>
            </w:r>
          </w:p>
          <w:p>
            <w:pPr>
              <w:keepLines w:val="0"/>
              <w:widowControl/>
              <w:shd w:val="clear" w:color="auto" w:fill="FFFFFF"/>
              <w:rPr>
                <w:rFonts w:cs="Times New Roman" w:asciiTheme="minorEastAsia" w:hAnsiTheme="minorEastAsia"/>
                <w:color w:val="auto"/>
                <w:szCs w:val="24"/>
                <w:highlight w:val="none"/>
                <w:lang w:eastAsia="zh-CN"/>
              </w:rPr>
            </w:pPr>
            <w:r>
              <w:rPr>
                <w:rFonts w:cs="Times New Roman" w:asciiTheme="minorEastAsia" w:hAnsiTheme="minorEastAsia"/>
                <w:color w:val="auto"/>
                <w:szCs w:val="24"/>
                <w:highlight w:val="none"/>
                <w:lang w:eastAsia="zh-CN"/>
              </w:rPr>
              <w:t>2.</w:t>
            </w:r>
            <w:r>
              <w:rPr>
                <w:rFonts w:hint="eastAsia" w:cs="Times New Roman" w:asciiTheme="minorEastAsia" w:hAnsiTheme="minorEastAsia"/>
                <w:color w:val="auto"/>
                <w:szCs w:val="24"/>
                <w:highlight w:val="none"/>
                <w:lang w:eastAsia="zh-CN"/>
              </w:rPr>
              <w:t>物理力学性能：应符合以下要求</w:t>
            </w:r>
          </w:p>
          <w:p>
            <w:pPr>
              <w:keepLines w:val="0"/>
              <w:widowControl/>
              <w:numPr>
                <w:ilvl w:val="0"/>
                <w:numId w:val="81"/>
              </w:numPr>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流动度</w:t>
            </w:r>
            <w:r>
              <w:rPr>
                <w:rFonts w:cs="Times New Roman" w:asciiTheme="minorEastAsia" w:hAnsiTheme="minorEastAsia"/>
                <w:color w:val="auto"/>
                <w:szCs w:val="24"/>
                <w:highlight w:val="none"/>
                <w:lang w:eastAsia="zh-CN"/>
              </w:rPr>
              <w:t>/mm</w:t>
            </w:r>
            <w:r>
              <w:rPr>
                <w:rFonts w:hint="eastAsia" w:cs="Times New Roman" w:asciiTheme="minorEastAsia" w:hAnsiTheme="minorEastAsia"/>
                <w:color w:val="auto"/>
                <w:szCs w:val="24"/>
                <w:highlight w:val="none"/>
                <w:lang w:eastAsia="zh-CN"/>
              </w:rPr>
              <w:t>：初始流动度</w:t>
            </w:r>
            <w:r>
              <w:rPr>
                <w:rFonts w:cs="Times New Roman" w:asciiTheme="minorEastAsia" w:hAnsiTheme="minorEastAsia"/>
                <w:color w:val="auto"/>
                <w:szCs w:val="24"/>
                <w:highlight w:val="none"/>
                <w:lang w:eastAsia="zh-CN"/>
              </w:rPr>
              <w:t>≥130</w:t>
            </w:r>
            <w:r>
              <w:rPr>
                <w:rFonts w:hint="eastAsia" w:cs="Times New Roman" w:asciiTheme="minorEastAsia" w:hAnsiTheme="minorEastAsia"/>
                <w:color w:val="auto"/>
                <w:szCs w:val="24"/>
                <w:highlight w:val="none"/>
                <w:lang w:eastAsia="zh-CN"/>
              </w:rPr>
              <w:t>；</w:t>
            </w:r>
            <w:r>
              <w:rPr>
                <w:rFonts w:cs="Times New Roman" w:asciiTheme="minorEastAsia" w:hAnsiTheme="minorEastAsia"/>
                <w:color w:val="auto"/>
                <w:szCs w:val="24"/>
                <w:highlight w:val="none"/>
                <w:lang w:eastAsia="zh-CN"/>
              </w:rPr>
              <w:t>20min</w:t>
            </w:r>
            <w:r>
              <w:rPr>
                <w:rFonts w:hint="eastAsia" w:cs="Times New Roman" w:asciiTheme="minorEastAsia" w:hAnsiTheme="minorEastAsia"/>
                <w:color w:val="auto"/>
                <w:szCs w:val="24"/>
                <w:highlight w:val="none"/>
                <w:lang w:eastAsia="zh-CN"/>
              </w:rPr>
              <w:t>流动度</w:t>
            </w:r>
            <w:r>
              <w:rPr>
                <w:rFonts w:cs="Times New Roman" w:asciiTheme="minorEastAsia" w:hAnsiTheme="minorEastAsia"/>
                <w:color w:val="auto"/>
                <w:szCs w:val="24"/>
                <w:highlight w:val="none"/>
                <w:lang w:eastAsia="zh-CN"/>
              </w:rPr>
              <w:t>a</w:t>
            </w:r>
            <w:r>
              <w:rPr>
                <w:rFonts w:hint="eastAsia" w:cs="Times New Roman" w:asciiTheme="minorEastAsia" w:hAnsiTheme="minorEastAsia"/>
                <w:color w:val="auto"/>
                <w:szCs w:val="24"/>
                <w:highlight w:val="none"/>
                <w:lang w:eastAsia="zh-CN"/>
              </w:rPr>
              <w:t>≥</w:t>
            </w:r>
            <w:r>
              <w:rPr>
                <w:rFonts w:cs="Times New Roman" w:asciiTheme="minorEastAsia" w:hAnsiTheme="minorEastAsia"/>
                <w:color w:val="auto"/>
                <w:szCs w:val="24"/>
                <w:highlight w:val="none"/>
                <w:lang w:eastAsia="zh-CN"/>
              </w:rPr>
              <w:t>130</w:t>
            </w:r>
          </w:p>
          <w:p>
            <w:pPr>
              <w:keepLines w:val="0"/>
              <w:widowControl/>
              <w:numPr>
                <w:ilvl w:val="0"/>
                <w:numId w:val="81"/>
              </w:numPr>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拉伸粘结强度</w:t>
            </w:r>
            <w:r>
              <w:rPr>
                <w:rFonts w:cs="Times New Roman" w:asciiTheme="minorEastAsia" w:hAnsiTheme="minorEastAsia"/>
                <w:color w:val="auto"/>
                <w:szCs w:val="24"/>
                <w:highlight w:val="none"/>
                <w:lang w:eastAsia="zh-CN"/>
              </w:rPr>
              <w:t>/MPa ≥1.0</w:t>
            </w:r>
          </w:p>
          <w:p>
            <w:pPr>
              <w:keepLines w:val="0"/>
              <w:widowControl/>
              <w:numPr>
                <w:ilvl w:val="0"/>
                <w:numId w:val="81"/>
              </w:numPr>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耐磨性</w:t>
            </w:r>
            <w:r>
              <w:rPr>
                <w:rFonts w:cs="Times New Roman" w:asciiTheme="minorEastAsia" w:hAnsiTheme="minorEastAsia"/>
                <w:color w:val="auto"/>
                <w:szCs w:val="24"/>
                <w:highlight w:val="none"/>
                <w:lang w:eastAsia="zh-CN"/>
              </w:rPr>
              <w:t>b/ g ≤ 0.50</w:t>
            </w:r>
          </w:p>
          <w:p>
            <w:pPr>
              <w:keepLines w:val="0"/>
              <w:widowControl/>
              <w:numPr>
                <w:ilvl w:val="0"/>
                <w:numId w:val="81"/>
              </w:numPr>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尺寸变化率</w:t>
            </w:r>
            <w:r>
              <w:rPr>
                <w:rFonts w:cs="Times New Roman" w:asciiTheme="minorEastAsia" w:hAnsiTheme="minorEastAsia"/>
                <w:color w:val="auto"/>
                <w:szCs w:val="24"/>
                <w:highlight w:val="none"/>
                <w:lang w:eastAsia="zh-CN"/>
              </w:rPr>
              <w:t>/%</w:t>
            </w:r>
            <w:r>
              <w:rPr>
                <w:rFonts w:hint="eastAsia" w:cs="Times New Roman" w:asciiTheme="minorEastAsia" w:hAnsiTheme="minorEastAsia"/>
                <w:color w:val="auto"/>
                <w:szCs w:val="24"/>
                <w:highlight w:val="none"/>
                <w:lang w:eastAsia="zh-CN"/>
              </w:rPr>
              <w:t>　－</w:t>
            </w:r>
            <w:r>
              <w:rPr>
                <w:rFonts w:cs="Times New Roman" w:asciiTheme="minorEastAsia" w:hAnsiTheme="minorEastAsia"/>
                <w:color w:val="auto"/>
                <w:szCs w:val="24"/>
                <w:highlight w:val="none"/>
                <w:lang w:eastAsia="zh-CN"/>
              </w:rPr>
              <w:t>0.15</w:t>
            </w:r>
            <w:r>
              <w:rPr>
                <w:rFonts w:hint="eastAsia" w:cs="Times New Roman" w:asciiTheme="minorEastAsia" w:hAnsiTheme="minorEastAsia"/>
                <w:color w:val="auto"/>
                <w:szCs w:val="24"/>
                <w:highlight w:val="none"/>
                <w:lang w:eastAsia="zh-CN"/>
              </w:rPr>
              <w:t>～＋</w:t>
            </w:r>
            <w:r>
              <w:rPr>
                <w:rFonts w:cs="Times New Roman" w:asciiTheme="minorEastAsia" w:hAnsiTheme="minorEastAsia"/>
                <w:color w:val="auto"/>
                <w:szCs w:val="24"/>
                <w:highlight w:val="none"/>
                <w:lang w:eastAsia="zh-CN"/>
              </w:rPr>
              <w:t>0.15</w:t>
            </w:r>
          </w:p>
          <w:p>
            <w:pPr>
              <w:keepLines w:val="0"/>
              <w:widowControl/>
              <w:numPr>
                <w:ilvl w:val="0"/>
                <w:numId w:val="81"/>
              </w:numPr>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抗冲击性</w:t>
            </w:r>
            <w:r>
              <w:rPr>
                <w:rFonts w:cs="Times New Roman" w:asciiTheme="minorEastAsia" w:hAnsiTheme="minorEastAsia"/>
                <w:color w:val="auto"/>
                <w:szCs w:val="24"/>
                <w:highlight w:val="none"/>
                <w:lang w:eastAsia="zh-CN"/>
              </w:rPr>
              <w:t xml:space="preserve">  </w:t>
            </w:r>
            <w:r>
              <w:rPr>
                <w:rFonts w:hint="eastAsia" w:cs="Times New Roman" w:asciiTheme="minorEastAsia" w:hAnsiTheme="minorEastAsia"/>
                <w:color w:val="auto"/>
                <w:szCs w:val="24"/>
                <w:highlight w:val="none"/>
                <w:lang w:eastAsia="zh-CN"/>
              </w:rPr>
              <w:t>无开裂或脱离底板</w:t>
            </w:r>
          </w:p>
          <w:p>
            <w:pPr>
              <w:keepLines w:val="0"/>
              <w:widowControl/>
              <w:numPr>
                <w:ilvl w:val="0"/>
                <w:numId w:val="81"/>
              </w:numPr>
              <w:rPr>
                <w:rFonts w:cs="Times New Roman" w:asciiTheme="minorEastAsia" w:hAnsiTheme="minorEastAsia"/>
                <w:color w:val="auto"/>
                <w:szCs w:val="24"/>
                <w:highlight w:val="none"/>
              </w:rPr>
            </w:pPr>
            <w:r>
              <w:rPr>
                <w:rFonts w:cs="Times New Roman" w:asciiTheme="minorEastAsia" w:hAnsiTheme="minorEastAsia"/>
                <w:color w:val="auto"/>
                <w:szCs w:val="24"/>
                <w:highlight w:val="none"/>
                <w:lang w:eastAsia="zh-CN"/>
              </w:rPr>
              <w:t>6</w:t>
            </w:r>
            <w:r>
              <w:rPr>
                <w:rFonts w:hint="eastAsia" w:cs="Times New Roman" w:asciiTheme="minorEastAsia" w:hAnsiTheme="minorEastAsia"/>
                <w:color w:val="auto"/>
                <w:szCs w:val="24"/>
                <w:highlight w:val="none"/>
                <w:lang w:eastAsia="zh-CN"/>
              </w:rPr>
              <w:t>）</w:t>
            </w:r>
            <w:r>
              <w:rPr>
                <w:rFonts w:cs="Times New Roman" w:asciiTheme="minorEastAsia" w:hAnsiTheme="minorEastAsia"/>
                <w:color w:val="auto"/>
                <w:szCs w:val="24"/>
                <w:highlight w:val="none"/>
                <w:lang w:eastAsia="zh-CN"/>
              </w:rPr>
              <w:t>24h</w:t>
            </w:r>
            <w:r>
              <w:rPr>
                <w:rFonts w:hint="eastAsia" w:cs="Times New Roman" w:asciiTheme="minorEastAsia" w:hAnsiTheme="minorEastAsia"/>
                <w:color w:val="auto"/>
                <w:szCs w:val="24"/>
                <w:highlight w:val="none"/>
                <w:lang w:eastAsia="zh-CN"/>
              </w:rPr>
              <w:t>抗压强度</w:t>
            </w:r>
            <w:r>
              <w:rPr>
                <w:rFonts w:cs="Times New Roman" w:asciiTheme="minorEastAsia" w:hAnsiTheme="minorEastAsia"/>
                <w:color w:val="auto"/>
                <w:szCs w:val="24"/>
                <w:highlight w:val="none"/>
                <w:lang w:eastAsia="zh-CN"/>
              </w:rPr>
              <w:t xml:space="preserve">/MPa </w:t>
            </w:r>
            <w:r>
              <w:rPr>
                <w:rFonts w:hint="eastAsia" w:cs="Times New Roman" w:asciiTheme="minorEastAsia" w:hAnsiTheme="minorEastAsia"/>
                <w:color w:val="auto"/>
                <w:szCs w:val="24"/>
                <w:highlight w:val="none"/>
                <w:lang w:eastAsia="zh-CN"/>
              </w:rPr>
              <w:t>≥</w:t>
            </w:r>
            <w:r>
              <w:rPr>
                <w:rFonts w:cs="Times New Roman" w:asciiTheme="minorEastAsia" w:hAnsiTheme="minorEastAsia"/>
                <w:color w:val="auto"/>
                <w:szCs w:val="24"/>
                <w:highlight w:val="none"/>
                <w:lang w:eastAsia="zh-CN"/>
              </w:rPr>
              <w:t xml:space="preserve"> 6.0</w:t>
            </w:r>
            <w:r>
              <w:rPr>
                <w:rFonts w:hint="eastAsia" w:cs="Times New Roman" w:asciiTheme="minorEastAsia" w:hAnsiTheme="minorEastAsia"/>
                <w:color w:val="auto"/>
                <w:szCs w:val="24"/>
                <w:highlight w:val="none"/>
                <w:lang w:eastAsia="zh-CN"/>
              </w:rPr>
              <w:t>，</w:t>
            </w:r>
            <w:r>
              <w:rPr>
                <w:rFonts w:cs="Times New Roman" w:asciiTheme="minorEastAsia" w:hAnsiTheme="minorEastAsia"/>
                <w:color w:val="auto"/>
                <w:szCs w:val="24"/>
                <w:highlight w:val="none"/>
                <w:lang w:eastAsia="zh-CN"/>
              </w:rPr>
              <w:t>24h</w:t>
            </w:r>
            <w:r>
              <w:rPr>
                <w:rFonts w:hint="eastAsia" w:cs="Times New Roman" w:asciiTheme="minorEastAsia" w:hAnsiTheme="minorEastAsia"/>
                <w:color w:val="auto"/>
                <w:szCs w:val="24"/>
                <w:highlight w:val="none"/>
                <w:lang w:eastAsia="zh-CN"/>
              </w:rPr>
              <w:t>抗折强度</w:t>
            </w:r>
            <w:r>
              <w:rPr>
                <w:rFonts w:cs="Times New Roman" w:asciiTheme="minorEastAsia" w:hAnsiTheme="minorEastAsia"/>
                <w:color w:val="auto"/>
                <w:szCs w:val="24"/>
                <w:highlight w:val="none"/>
                <w:lang w:eastAsia="zh-CN"/>
              </w:rPr>
              <w:t xml:space="preserve">/MPa </w:t>
            </w:r>
            <w:r>
              <w:rPr>
                <w:rFonts w:hint="eastAsia" w:cs="Times New Roman" w:asciiTheme="minorEastAsia" w:hAnsiTheme="minorEastAsia"/>
                <w:color w:val="auto"/>
                <w:szCs w:val="24"/>
                <w:highlight w:val="none"/>
                <w:lang w:eastAsia="zh-CN"/>
              </w:rPr>
              <w:t>≥</w:t>
            </w:r>
            <w:r>
              <w:rPr>
                <w:rFonts w:cs="Times New Roman" w:asciiTheme="minorEastAsia" w:hAnsiTheme="minorEastAsia"/>
                <w:color w:val="auto"/>
                <w:szCs w:val="24"/>
                <w:highlight w:val="none"/>
                <w:lang w:eastAsia="zh-CN"/>
              </w:rPr>
              <w:t xml:space="preserve"> 2.0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73" w:type="pct"/>
            <w:tcBorders>
              <w:top w:val="single" w:color="auto" w:sz="2" w:space="0"/>
              <w:left w:val="single" w:color="auto" w:sz="12" w:space="0"/>
              <w:bottom w:val="single" w:color="auto" w:sz="2" w:space="0"/>
              <w:right w:val="single" w:color="auto" w:sz="2" w:space="0"/>
            </w:tcBorders>
            <w:vAlign w:val="center"/>
          </w:tcPr>
          <w:p>
            <w:pPr>
              <w:keepLines w:val="0"/>
              <w:widowControl/>
              <w:jc w:val="center"/>
              <w:rPr>
                <w:rFonts w:cs="Times New Roman" w:asciiTheme="minorEastAsia" w:hAnsiTheme="minorEastAsia"/>
                <w:color w:val="auto"/>
                <w:szCs w:val="24"/>
                <w:highlight w:val="none"/>
              </w:rPr>
            </w:pPr>
            <w:r>
              <w:rPr>
                <w:rFonts w:cs="Times New Roman" w:asciiTheme="minorEastAsia" w:hAnsiTheme="minorEastAsia"/>
                <w:color w:val="auto"/>
                <w:szCs w:val="24"/>
                <w:highlight w:val="none"/>
                <w:lang w:eastAsia="zh-CN"/>
              </w:rPr>
              <w:t>2</w:t>
            </w:r>
          </w:p>
        </w:tc>
        <w:tc>
          <w:tcPr>
            <w:tcW w:w="705" w:type="pct"/>
            <w:tcBorders>
              <w:top w:val="single" w:color="auto" w:sz="2" w:space="0"/>
              <w:left w:val="single" w:color="auto" w:sz="2" w:space="0"/>
              <w:bottom w:val="single" w:color="auto" w:sz="2" w:space="0"/>
              <w:right w:val="single" w:color="auto" w:sz="2" w:space="0"/>
            </w:tcBorders>
            <w:vAlign w:val="center"/>
          </w:tcPr>
          <w:p>
            <w:pPr>
              <w:keepLines w:val="0"/>
              <w:widowControl/>
              <w:jc w:val="center"/>
              <w:rPr>
                <w:rFonts w:cs="Times New Roman" w:asciiTheme="minorEastAsia" w:hAnsiTheme="minorEastAsia"/>
                <w:color w:val="auto"/>
                <w:szCs w:val="24"/>
                <w:highlight w:val="none"/>
              </w:rPr>
            </w:pPr>
            <w:r>
              <w:rPr>
                <w:rFonts w:hint="eastAsia" w:cs="Times New Roman" w:asciiTheme="minorEastAsia" w:hAnsiTheme="minorEastAsia"/>
                <w:color w:val="auto"/>
                <w:szCs w:val="24"/>
                <w:highlight w:val="none"/>
                <w:lang w:eastAsia="zh-CN"/>
              </w:rPr>
              <w:t>内墙乳胶漆</w:t>
            </w:r>
          </w:p>
        </w:tc>
        <w:tc>
          <w:tcPr>
            <w:tcW w:w="742" w:type="pct"/>
            <w:tcBorders>
              <w:top w:val="single" w:color="auto" w:sz="2" w:space="0"/>
              <w:left w:val="single" w:color="auto" w:sz="2" w:space="0"/>
              <w:bottom w:val="single" w:color="auto" w:sz="2" w:space="0"/>
              <w:right w:val="single" w:color="auto" w:sz="2" w:space="0"/>
            </w:tcBorders>
            <w:vAlign w:val="center"/>
          </w:tcPr>
          <w:p>
            <w:pPr>
              <w:keepLines w:val="0"/>
              <w:widowControl/>
              <w:jc w:val="center"/>
              <w:rPr>
                <w:rFonts w:cs="Times New Roman" w:asciiTheme="minorEastAsia" w:hAnsiTheme="minorEastAsia"/>
                <w:color w:val="auto"/>
                <w:szCs w:val="24"/>
                <w:highlight w:val="none"/>
              </w:rPr>
            </w:pPr>
            <w:r>
              <w:rPr>
                <w:rFonts w:hint="eastAsia" w:cs="Times New Roman" w:asciiTheme="minorEastAsia" w:hAnsiTheme="minorEastAsia"/>
                <w:color w:val="auto"/>
                <w:szCs w:val="24"/>
                <w:highlight w:val="none"/>
                <w:lang w:eastAsia="zh-CN"/>
              </w:rPr>
              <w:t>墙面</w:t>
            </w:r>
          </w:p>
        </w:tc>
        <w:tc>
          <w:tcPr>
            <w:tcW w:w="3080" w:type="pct"/>
            <w:tcBorders>
              <w:top w:val="single" w:color="auto" w:sz="2" w:space="0"/>
              <w:left w:val="single" w:color="auto" w:sz="2" w:space="0"/>
              <w:bottom w:val="single" w:color="auto" w:sz="2" w:space="0"/>
              <w:right w:val="single" w:color="auto" w:sz="12" w:space="0"/>
            </w:tcBorders>
            <w:vAlign w:val="center"/>
          </w:tcPr>
          <w:p>
            <w:pPr>
              <w:keepLines w:val="0"/>
              <w:widowControl/>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符合设计及国家标准的相关规定、环保要求；</w:t>
            </w:r>
            <w:r>
              <w:rPr>
                <w:rFonts w:cs="Times New Roman" w:asciiTheme="minorEastAsia" w:hAnsiTheme="minorEastAsia"/>
                <w:color w:val="auto"/>
                <w:szCs w:val="24"/>
                <w:highlight w:val="none"/>
                <w:lang w:eastAsia="zh-CN"/>
              </w:rPr>
              <w:t xml:space="preserve"> </w:t>
            </w:r>
          </w:p>
          <w:p>
            <w:pPr>
              <w:keepLines w:val="0"/>
              <w:widowControl/>
              <w:numPr>
                <w:ilvl w:val="0"/>
                <w:numId w:val="82"/>
              </w:numPr>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耐擦洗性能：≥</w:t>
            </w:r>
            <w:r>
              <w:rPr>
                <w:rFonts w:cs="Times New Roman" w:asciiTheme="minorEastAsia" w:hAnsiTheme="minorEastAsia"/>
                <w:color w:val="auto"/>
                <w:szCs w:val="24"/>
                <w:highlight w:val="none"/>
                <w:lang w:eastAsia="zh-CN"/>
              </w:rPr>
              <w:t>10000</w:t>
            </w:r>
            <w:r>
              <w:rPr>
                <w:rFonts w:hint="eastAsia" w:cs="Times New Roman" w:asciiTheme="minorEastAsia" w:hAnsiTheme="minorEastAsia"/>
                <w:color w:val="auto"/>
                <w:szCs w:val="24"/>
                <w:highlight w:val="none"/>
                <w:lang w:eastAsia="zh-CN"/>
              </w:rPr>
              <w:t>次</w:t>
            </w:r>
          </w:p>
          <w:p>
            <w:pPr>
              <w:keepLines w:val="0"/>
              <w:widowControl/>
              <w:numPr>
                <w:ilvl w:val="0"/>
                <w:numId w:val="82"/>
              </w:numPr>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干燥时间</w:t>
            </w:r>
            <w:r>
              <w:rPr>
                <w:rFonts w:cs="Times New Roman" w:asciiTheme="minorEastAsia" w:hAnsiTheme="minorEastAsia"/>
                <w:color w:val="auto"/>
                <w:szCs w:val="24"/>
                <w:highlight w:val="none"/>
                <w:lang w:eastAsia="zh-CN"/>
              </w:rPr>
              <w:t>(</w:t>
            </w:r>
            <w:r>
              <w:rPr>
                <w:rFonts w:hint="eastAsia" w:cs="Times New Roman" w:asciiTheme="minorEastAsia" w:hAnsiTheme="minorEastAsia"/>
                <w:color w:val="auto"/>
                <w:szCs w:val="24"/>
                <w:highlight w:val="none"/>
                <w:lang w:eastAsia="zh-CN"/>
              </w:rPr>
              <w:t>表干</w:t>
            </w:r>
            <w:r>
              <w:rPr>
                <w:rFonts w:cs="Times New Roman" w:asciiTheme="minorEastAsia" w:hAnsiTheme="minorEastAsia"/>
                <w:color w:val="auto"/>
                <w:szCs w:val="24"/>
                <w:highlight w:val="none"/>
                <w:lang w:eastAsia="zh-CN"/>
              </w:rPr>
              <w:t>)</w:t>
            </w:r>
            <w:r>
              <w:rPr>
                <w:rFonts w:hint="eastAsia" w:cs="Times New Roman" w:asciiTheme="minorEastAsia" w:hAnsiTheme="minorEastAsia"/>
                <w:color w:val="auto"/>
                <w:szCs w:val="24"/>
                <w:highlight w:val="none"/>
                <w:lang w:eastAsia="zh-CN"/>
              </w:rPr>
              <w:t>：≤</w:t>
            </w:r>
            <w:r>
              <w:rPr>
                <w:rFonts w:cs="Times New Roman" w:asciiTheme="minorEastAsia" w:hAnsiTheme="minorEastAsia"/>
                <w:color w:val="auto"/>
                <w:szCs w:val="24"/>
                <w:highlight w:val="none"/>
                <w:lang w:eastAsia="zh-CN"/>
              </w:rPr>
              <w:t>2.0</w:t>
            </w:r>
            <w:r>
              <w:rPr>
                <w:rFonts w:hint="eastAsia" w:cs="Times New Roman" w:asciiTheme="minorEastAsia" w:hAnsiTheme="minorEastAsia"/>
                <w:color w:val="auto"/>
                <w:szCs w:val="24"/>
                <w:highlight w:val="none"/>
                <w:lang w:eastAsia="zh-CN"/>
              </w:rPr>
              <w:t>小时</w:t>
            </w:r>
          </w:p>
          <w:p>
            <w:pPr>
              <w:keepLines w:val="0"/>
              <w:widowControl/>
              <w:numPr>
                <w:ilvl w:val="0"/>
                <w:numId w:val="82"/>
              </w:numPr>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耐水性：较好</w:t>
            </w:r>
          </w:p>
          <w:p>
            <w:pPr>
              <w:keepLines w:val="0"/>
              <w:widowControl/>
              <w:numPr>
                <w:ilvl w:val="0"/>
                <w:numId w:val="82"/>
              </w:numPr>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耐碱性：</w:t>
            </w:r>
            <w:r>
              <w:rPr>
                <w:rFonts w:cs="Times New Roman" w:asciiTheme="minorEastAsia" w:hAnsiTheme="minorEastAsia"/>
                <w:color w:val="auto"/>
                <w:szCs w:val="24"/>
                <w:highlight w:val="none"/>
                <w:lang w:eastAsia="zh-CN"/>
              </w:rPr>
              <w:t>(48h</w:t>
            </w:r>
            <w:r>
              <w:rPr>
                <w:rFonts w:hint="eastAsia" w:cs="Times New Roman" w:asciiTheme="minorEastAsia" w:hAnsiTheme="minorEastAsia"/>
                <w:color w:val="auto"/>
                <w:szCs w:val="24"/>
                <w:highlight w:val="none"/>
                <w:lang w:eastAsia="zh-CN"/>
              </w:rPr>
              <w:t>，饱和氢氧化钙溶液</w:t>
            </w:r>
            <w:r>
              <w:rPr>
                <w:rFonts w:cs="Times New Roman" w:asciiTheme="minorEastAsia" w:hAnsiTheme="minorEastAsia"/>
                <w:color w:val="auto"/>
                <w:szCs w:val="24"/>
                <w:highlight w:val="none"/>
                <w:lang w:eastAsia="zh-CN"/>
              </w:rPr>
              <w:t>)</w:t>
            </w:r>
            <w:r>
              <w:rPr>
                <w:rFonts w:hint="eastAsia" w:cs="Times New Roman" w:asciiTheme="minorEastAsia" w:hAnsiTheme="minorEastAsia"/>
                <w:color w:val="auto"/>
                <w:szCs w:val="24"/>
                <w:highlight w:val="none"/>
                <w:lang w:eastAsia="zh-CN"/>
              </w:rPr>
              <w:t>无异常</w:t>
            </w:r>
          </w:p>
          <w:p>
            <w:pPr>
              <w:keepLines w:val="0"/>
              <w:widowControl/>
              <w:numPr>
                <w:ilvl w:val="0"/>
                <w:numId w:val="82"/>
              </w:numPr>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黏度（</w:t>
            </w:r>
            <w:r>
              <w:rPr>
                <w:rFonts w:cs="Times New Roman" w:asciiTheme="minorEastAsia" w:hAnsiTheme="minorEastAsia"/>
                <w:color w:val="auto"/>
                <w:szCs w:val="24"/>
                <w:highlight w:val="none"/>
                <w:lang w:eastAsia="zh-CN"/>
              </w:rPr>
              <w:t>s</w:t>
            </w:r>
            <w:r>
              <w:rPr>
                <w:rFonts w:hint="eastAsia" w:cs="Times New Roman" w:asciiTheme="minorEastAsia" w:hAnsiTheme="minorEastAsia"/>
                <w:color w:val="auto"/>
                <w:szCs w:val="24"/>
                <w:highlight w:val="none"/>
                <w:lang w:eastAsia="zh-CN"/>
              </w:rPr>
              <w:t>）：</w:t>
            </w:r>
            <w:r>
              <w:rPr>
                <w:rFonts w:cs="Times New Roman" w:asciiTheme="minorEastAsia" w:hAnsiTheme="minorEastAsia"/>
                <w:color w:val="auto"/>
                <w:szCs w:val="24"/>
                <w:highlight w:val="none"/>
                <w:lang w:eastAsia="zh-CN"/>
              </w:rPr>
              <w:t xml:space="preserve"> 30</w:t>
            </w:r>
            <w:r>
              <w:rPr>
                <w:rFonts w:hint="eastAsia" w:cs="Times New Roman" w:asciiTheme="minorEastAsia" w:hAnsiTheme="minorEastAsia"/>
                <w:color w:val="auto"/>
                <w:szCs w:val="24"/>
                <w:highlight w:val="none"/>
                <w:lang w:eastAsia="zh-CN"/>
              </w:rPr>
              <w:t>～</w:t>
            </w:r>
            <w:r>
              <w:rPr>
                <w:rFonts w:cs="Times New Roman" w:asciiTheme="minorEastAsia" w:hAnsiTheme="minorEastAsia"/>
                <w:color w:val="auto"/>
                <w:szCs w:val="24"/>
                <w:highlight w:val="none"/>
                <w:lang w:eastAsia="zh-CN"/>
              </w:rPr>
              <w:t>75</w:t>
            </w:r>
          </w:p>
          <w:p>
            <w:pPr>
              <w:keepLines w:val="0"/>
              <w:widowControl/>
              <w:numPr>
                <w:ilvl w:val="0"/>
                <w:numId w:val="82"/>
              </w:numPr>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细度</w:t>
            </w:r>
            <w:r>
              <w:rPr>
                <w:rFonts w:cs="Times New Roman" w:asciiTheme="minorEastAsia" w:hAnsiTheme="minorEastAsia"/>
                <w:color w:val="auto"/>
                <w:szCs w:val="24"/>
                <w:highlight w:val="none"/>
                <w:lang w:eastAsia="zh-CN"/>
              </w:rPr>
              <w:t>(um)</w:t>
            </w:r>
            <w:r>
              <w:rPr>
                <w:rFonts w:hint="eastAsia" w:cs="Times New Roman" w:asciiTheme="minorEastAsia" w:hAnsiTheme="minorEastAsia"/>
                <w:color w:val="auto"/>
                <w:szCs w:val="24"/>
                <w:highlight w:val="none"/>
                <w:lang w:eastAsia="zh-CN"/>
              </w:rPr>
              <w:t>：≤</w:t>
            </w:r>
            <w:r>
              <w:rPr>
                <w:rFonts w:cs="Times New Roman" w:asciiTheme="minorEastAsia" w:hAnsiTheme="minorEastAsia"/>
                <w:color w:val="auto"/>
                <w:szCs w:val="24"/>
                <w:highlight w:val="none"/>
                <w:lang w:eastAsia="zh-CN"/>
              </w:rPr>
              <w:t>100</w:t>
            </w:r>
          </w:p>
          <w:p>
            <w:pPr>
              <w:keepLines w:val="0"/>
              <w:widowControl/>
              <w:numPr>
                <w:ilvl w:val="0"/>
                <w:numId w:val="82"/>
              </w:numPr>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遮盖力</w:t>
            </w:r>
            <w:r>
              <w:rPr>
                <w:rFonts w:cs="Times New Roman" w:asciiTheme="minorEastAsia" w:hAnsiTheme="minorEastAsia"/>
                <w:color w:val="auto"/>
                <w:szCs w:val="24"/>
                <w:highlight w:val="none"/>
                <w:lang w:eastAsia="zh-CN"/>
              </w:rPr>
              <w:t>(g/</w:t>
            </w:r>
            <w:r>
              <w:rPr>
                <w:rFonts w:hint="eastAsia" w:cs="Times New Roman" w:asciiTheme="minorEastAsia" w:hAnsiTheme="minorEastAsia"/>
                <w:color w:val="auto"/>
                <w:szCs w:val="24"/>
                <w:highlight w:val="none"/>
                <w:lang w:eastAsia="zh-CN"/>
              </w:rPr>
              <w:t>㎡</w:t>
            </w:r>
            <w:r>
              <w:rPr>
                <w:rFonts w:cs="Times New Roman" w:asciiTheme="minorEastAsia" w:hAnsiTheme="minorEastAsia"/>
                <w:color w:val="auto"/>
                <w:szCs w:val="24"/>
                <w:highlight w:val="none"/>
                <w:lang w:eastAsia="zh-CN"/>
              </w:rPr>
              <w:t xml:space="preserve">) </w:t>
            </w:r>
            <w:r>
              <w:rPr>
                <w:rFonts w:hint="eastAsia" w:cs="Times New Roman" w:asciiTheme="minorEastAsia" w:hAnsiTheme="minorEastAsia"/>
                <w:color w:val="auto"/>
                <w:szCs w:val="24"/>
                <w:highlight w:val="none"/>
                <w:lang w:eastAsia="zh-CN"/>
              </w:rPr>
              <w:t>：≤</w:t>
            </w:r>
            <w:r>
              <w:rPr>
                <w:rFonts w:cs="Times New Roman" w:asciiTheme="minorEastAsia" w:hAnsiTheme="minorEastAsia"/>
                <w:color w:val="auto"/>
                <w:szCs w:val="24"/>
                <w:highlight w:val="none"/>
                <w:lang w:eastAsia="zh-CN"/>
              </w:rPr>
              <w:t>300</w:t>
            </w:r>
          </w:p>
          <w:p>
            <w:pPr>
              <w:keepLines w:val="0"/>
              <w:widowControl/>
              <w:numPr>
                <w:ilvl w:val="0"/>
                <w:numId w:val="82"/>
              </w:numPr>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对比率（白色和浅色）≥</w:t>
            </w:r>
            <w:r>
              <w:rPr>
                <w:rFonts w:cs="Times New Roman" w:asciiTheme="minorEastAsia" w:hAnsiTheme="minorEastAsia"/>
                <w:color w:val="auto"/>
                <w:szCs w:val="24"/>
                <w:highlight w:val="none"/>
                <w:lang w:eastAsia="zh-CN"/>
              </w:rPr>
              <w:t>0.90</w:t>
            </w:r>
          </w:p>
          <w:p>
            <w:pPr>
              <w:keepLines w:val="0"/>
              <w:widowControl/>
              <w:numPr>
                <w:ilvl w:val="0"/>
                <w:numId w:val="82"/>
              </w:numPr>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附着力</w:t>
            </w:r>
            <w:r>
              <w:rPr>
                <w:rFonts w:cs="Times New Roman" w:asciiTheme="minorEastAsia" w:hAnsiTheme="minorEastAsia"/>
                <w:color w:val="auto"/>
                <w:szCs w:val="24"/>
                <w:highlight w:val="none"/>
                <w:lang w:eastAsia="zh-CN"/>
              </w:rPr>
              <w:t>(%)</w:t>
            </w:r>
            <w:r>
              <w:rPr>
                <w:rFonts w:hint="eastAsia" w:cs="Times New Roman" w:asciiTheme="minorEastAsia" w:hAnsiTheme="minorEastAsia"/>
                <w:color w:val="auto"/>
                <w:szCs w:val="24"/>
                <w:highlight w:val="none"/>
                <w:lang w:eastAsia="zh-CN"/>
              </w:rPr>
              <w:t>：</w:t>
            </w:r>
            <w:r>
              <w:rPr>
                <w:rFonts w:cs="Times New Roman" w:asciiTheme="minorEastAsia" w:hAnsiTheme="minorEastAsia"/>
                <w:color w:val="auto"/>
                <w:szCs w:val="24"/>
                <w:highlight w:val="none"/>
                <w:lang w:eastAsia="zh-CN"/>
              </w:rPr>
              <w:t>100</w:t>
            </w:r>
          </w:p>
          <w:p>
            <w:pPr>
              <w:keepLines w:val="0"/>
              <w:widowControl/>
              <w:numPr>
                <w:ilvl w:val="0"/>
                <w:numId w:val="82"/>
              </w:numPr>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耐沾染性（</w:t>
            </w:r>
            <w:r>
              <w:rPr>
                <w:rFonts w:cs="Times New Roman" w:asciiTheme="minorEastAsia" w:hAnsiTheme="minorEastAsia"/>
                <w:color w:val="auto"/>
                <w:szCs w:val="24"/>
                <w:highlight w:val="none"/>
                <w:lang w:eastAsia="zh-CN"/>
              </w:rPr>
              <w:t>%</w:t>
            </w:r>
            <w:r>
              <w:rPr>
                <w:rFonts w:hint="eastAsia" w:cs="Times New Roman" w:asciiTheme="minorEastAsia" w:hAnsiTheme="minorEastAsia"/>
                <w:color w:val="auto"/>
                <w:szCs w:val="24"/>
                <w:highlight w:val="none"/>
                <w:lang w:eastAsia="zh-CN"/>
              </w:rPr>
              <w:t>）：≤</w:t>
            </w:r>
            <w:r>
              <w:rPr>
                <w:rFonts w:cs="Times New Roman" w:asciiTheme="minorEastAsia" w:hAnsiTheme="minorEastAsia"/>
                <w:color w:val="auto"/>
                <w:szCs w:val="24"/>
                <w:highlight w:val="none"/>
                <w:lang w:eastAsia="zh-CN"/>
              </w:rPr>
              <w:t>30</w:t>
            </w:r>
          </w:p>
          <w:p>
            <w:pPr>
              <w:keepLines w:val="0"/>
              <w:widowControl/>
              <w:numPr>
                <w:ilvl w:val="0"/>
                <w:numId w:val="82"/>
              </w:numPr>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延伸率（</w:t>
            </w:r>
            <w:r>
              <w:rPr>
                <w:rFonts w:cs="Times New Roman" w:asciiTheme="minorEastAsia" w:hAnsiTheme="minorEastAsia"/>
                <w:color w:val="auto"/>
                <w:szCs w:val="24"/>
                <w:highlight w:val="none"/>
                <w:lang w:eastAsia="zh-CN"/>
              </w:rPr>
              <w:t>%</w:t>
            </w:r>
            <w:r>
              <w:rPr>
                <w:rFonts w:hint="eastAsia" w:cs="Times New Roman" w:asciiTheme="minorEastAsia" w:hAnsiTheme="minorEastAsia"/>
                <w:color w:val="auto"/>
                <w:szCs w:val="24"/>
                <w:highlight w:val="none"/>
                <w:lang w:eastAsia="zh-CN"/>
              </w:rPr>
              <w:t>）：≥</w:t>
            </w:r>
            <w:r>
              <w:rPr>
                <w:rFonts w:cs="Times New Roman" w:asciiTheme="minorEastAsia" w:hAnsiTheme="minorEastAsia"/>
                <w:color w:val="auto"/>
                <w:szCs w:val="24"/>
                <w:highlight w:val="none"/>
                <w:lang w:eastAsia="zh-CN"/>
              </w:rPr>
              <w:t>150</w:t>
            </w:r>
          </w:p>
          <w:p>
            <w:pPr>
              <w:keepLines w:val="0"/>
              <w:widowControl/>
              <w:numPr>
                <w:ilvl w:val="0"/>
                <w:numId w:val="82"/>
              </w:numPr>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涂膜口红污染试验：通过</w:t>
            </w:r>
          </w:p>
          <w:p>
            <w:pPr>
              <w:keepLines w:val="0"/>
              <w:widowControl/>
              <w:numPr>
                <w:ilvl w:val="0"/>
                <w:numId w:val="82"/>
              </w:numPr>
              <w:rPr>
                <w:rFonts w:cs="Times New Roman" w:asciiTheme="minorEastAsia" w:hAnsiTheme="minorEastAsia"/>
                <w:color w:val="auto"/>
                <w:szCs w:val="24"/>
                <w:highlight w:val="none"/>
              </w:rPr>
            </w:pPr>
            <w:r>
              <w:rPr>
                <w:rFonts w:hint="eastAsia" w:cs="Times New Roman" w:asciiTheme="minorEastAsia" w:hAnsiTheme="minorEastAsia"/>
                <w:color w:val="auto"/>
                <w:szCs w:val="24"/>
                <w:highlight w:val="none"/>
                <w:lang w:eastAsia="zh-CN"/>
              </w:rPr>
              <w:t>游离甲醛（</w:t>
            </w:r>
            <w:r>
              <w:rPr>
                <w:rFonts w:cs="Times New Roman" w:asciiTheme="minorEastAsia" w:hAnsiTheme="minorEastAsia"/>
                <w:color w:val="auto"/>
                <w:szCs w:val="24"/>
                <w:highlight w:val="none"/>
                <w:lang w:eastAsia="zh-CN"/>
              </w:rPr>
              <w:t>g/kg</w:t>
            </w:r>
            <w:r>
              <w:rPr>
                <w:rFonts w:hint="eastAsia" w:cs="Times New Roman" w:asciiTheme="minorEastAsia" w:hAnsiTheme="minorEastAsia"/>
                <w:color w:val="auto"/>
                <w:szCs w:val="24"/>
                <w:highlight w:val="none"/>
                <w:lang w:eastAsia="zh-CN"/>
              </w:rPr>
              <w:t>）≤</w:t>
            </w:r>
            <w:r>
              <w:rPr>
                <w:rFonts w:cs="Times New Roman" w:asciiTheme="minorEastAsia" w:hAnsiTheme="minorEastAsia"/>
                <w:color w:val="auto"/>
                <w:szCs w:val="24"/>
                <w:highlight w:val="none"/>
                <w:lang w:eastAsia="zh-CN"/>
              </w:rPr>
              <w:t>0.1</w:t>
            </w:r>
          </w:p>
          <w:p>
            <w:pPr>
              <w:keepLines w:val="0"/>
              <w:widowControl/>
              <w:numPr>
                <w:ilvl w:val="0"/>
                <w:numId w:val="82"/>
              </w:numPr>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挥发性有机化合物（</w:t>
            </w:r>
            <w:r>
              <w:rPr>
                <w:rFonts w:cs="Times New Roman" w:asciiTheme="minorEastAsia" w:hAnsiTheme="minorEastAsia"/>
                <w:color w:val="auto"/>
                <w:szCs w:val="24"/>
                <w:highlight w:val="none"/>
                <w:lang w:eastAsia="zh-CN"/>
              </w:rPr>
              <w:t>g/l</w:t>
            </w:r>
            <w:r>
              <w:rPr>
                <w:rFonts w:hint="eastAsia" w:cs="Times New Roman" w:asciiTheme="minorEastAsia" w:hAnsiTheme="minorEastAsia"/>
                <w:color w:val="auto"/>
                <w:szCs w:val="24"/>
                <w:highlight w:val="none"/>
                <w:lang w:eastAsia="zh-CN"/>
              </w:rPr>
              <w:t>）≤</w:t>
            </w:r>
            <w:r>
              <w:rPr>
                <w:rFonts w:cs="Times New Roman" w:asciiTheme="minorEastAsia" w:hAnsiTheme="minorEastAsia"/>
                <w:color w:val="auto"/>
                <w:szCs w:val="24"/>
                <w:highlight w:val="none"/>
                <w:lang w:eastAsia="zh-CN"/>
              </w:rPr>
              <w:t>200</w:t>
            </w:r>
          </w:p>
          <w:p>
            <w:pPr>
              <w:keepLines w:val="0"/>
              <w:widowControl/>
              <w:numPr>
                <w:ilvl w:val="0"/>
                <w:numId w:val="82"/>
              </w:numPr>
              <w:rPr>
                <w:rFonts w:cs="Times New Roman" w:asciiTheme="minorEastAsia" w:hAnsiTheme="minorEastAsia"/>
                <w:color w:val="auto"/>
                <w:szCs w:val="24"/>
                <w:highlight w:val="none"/>
              </w:rPr>
            </w:pPr>
            <w:r>
              <w:rPr>
                <w:rFonts w:hint="eastAsia" w:cs="Times New Roman" w:asciiTheme="minorEastAsia" w:hAnsiTheme="minorEastAsia"/>
                <w:color w:val="auto"/>
                <w:szCs w:val="24"/>
                <w:highlight w:val="none"/>
                <w:lang w:eastAsia="zh-CN"/>
              </w:rPr>
              <w:t>可溶性铅（</w:t>
            </w:r>
            <w:r>
              <w:rPr>
                <w:rFonts w:cs="Times New Roman" w:asciiTheme="minorEastAsia" w:hAnsiTheme="minorEastAsia"/>
                <w:color w:val="auto"/>
                <w:szCs w:val="24"/>
                <w:highlight w:val="none"/>
                <w:lang w:eastAsia="zh-CN"/>
              </w:rPr>
              <w:t>Pd</w:t>
            </w:r>
            <w:r>
              <w:rPr>
                <w:rFonts w:hint="eastAsia" w:cs="Times New Roman" w:asciiTheme="minorEastAsia" w:hAnsiTheme="minorEastAsia"/>
                <w:color w:val="auto"/>
                <w:szCs w:val="24"/>
                <w:highlight w:val="none"/>
                <w:lang w:eastAsia="zh-CN"/>
              </w:rPr>
              <w:t>）</w:t>
            </w:r>
            <w:r>
              <w:rPr>
                <w:rFonts w:cs="Times New Roman" w:asciiTheme="minorEastAsia" w:hAnsiTheme="minorEastAsia"/>
                <w:color w:val="auto"/>
                <w:szCs w:val="24"/>
                <w:highlight w:val="none"/>
                <w:lang w:eastAsia="zh-CN"/>
              </w:rPr>
              <w:t xml:space="preserve">(mg/kg) </w:t>
            </w:r>
            <w:r>
              <w:rPr>
                <w:rFonts w:hint="eastAsia" w:cs="Times New Roman" w:asciiTheme="minorEastAsia" w:hAnsiTheme="minorEastAsia"/>
                <w:color w:val="auto"/>
                <w:szCs w:val="24"/>
                <w:highlight w:val="none"/>
                <w:lang w:eastAsia="zh-CN"/>
              </w:rPr>
              <w:t>≤</w:t>
            </w:r>
            <w:r>
              <w:rPr>
                <w:rFonts w:cs="Times New Roman" w:asciiTheme="minorEastAsia" w:hAnsiTheme="minorEastAsia"/>
                <w:color w:val="auto"/>
                <w:szCs w:val="24"/>
                <w:highlight w:val="none"/>
                <w:lang w:eastAsia="zh-CN"/>
              </w:rPr>
              <w:t>90</w:t>
            </w:r>
          </w:p>
          <w:p>
            <w:pPr>
              <w:keepLines w:val="0"/>
              <w:widowControl/>
              <w:numPr>
                <w:ilvl w:val="0"/>
                <w:numId w:val="82"/>
              </w:numPr>
              <w:rPr>
                <w:rFonts w:cs="Times New Roman" w:asciiTheme="minorEastAsia" w:hAnsiTheme="minorEastAsia"/>
                <w:color w:val="auto"/>
                <w:szCs w:val="24"/>
                <w:highlight w:val="none"/>
              </w:rPr>
            </w:pPr>
            <w:r>
              <w:rPr>
                <w:rFonts w:hint="eastAsia" w:cs="Times New Roman" w:asciiTheme="minorEastAsia" w:hAnsiTheme="minorEastAsia"/>
                <w:color w:val="auto"/>
                <w:szCs w:val="24"/>
                <w:highlight w:val="none"/>
                <w:lang w:eastAsia="zh-CN"/>
              </w:rPr>
              <w:t>可溶性镉（</w:t>
            </w:r>
            <w:r>
              <w:rPr>
                <w:rFonts w:cs="Times New Roman" w:asciiTheme="minorEastAsia" w:hAnsiTheme="minorEastAsia"/>
                <w:color w:val="auto"/>
                <w:szCs w:val="24"/>
                <w:highlight w:val="none"/>
                <w:lang w:eastAsia="zh-CN"/>
              </w:rPr>
              <w:t>Cd</w:t>
            </w:r>
            <w:r>
              <w:rPr>
                <w:rFonts w:hint="eastAsia" w:cs="Times New Roman" w:asciiTheme="minorEastAsia" w:hAnsiTheme="minorEastAsia"/>
                <w:color w:val="auto"/>
                <w:szCs w:val="24"/>
                <w:highlight w:val="none"/>
                <w:lang w:eastAsia="zh-CN"/>
              </w:rPr>
              <w:t>）</w:t>
            </w:r>
            <w:r>
              <w:rPr>
                <w:rFonts w:cs="Times New Roman" w:asciiTheme="minorEastAsia" w:hAnsiTheme="minorEastAsia"/>
                <w:color w:val="auto"/>
                <w:szCs w:val="24"/>
                <w:highlight w:val="none"/>
                <w:lang w:eastAsia="zh-CN"/>
              </w:rPr>
              <w:t xml:space="preserve"> (mg/kg) </w:t>
            </w:r>
            <w:r>
              <w:rPr>
                <w:rFonts w:hint="eastAsia" w:cs="Times New Roman" w:asciiTheme="minorEastAsia" w:hAnsiTheme="minorEastAsia"/>
                <w:color w:val="auto"/>
                <w:szCs w:val="24"/>
                <w:highlight w:val="none"/>
                <w:lang w:eastAsia="zh-CN"/>
              </w:rPr>
              <w:t>≤</w:t>
            </w:r>
            <w:r>
              <w:rPr>
                <w:rFonts w:cs="Times New Roman" w:asciiTheme="minorEastAsia" w:hAnsiTheme="minorEastAsia"/>
                <w:color w:val="auto"/>
                <w:szCs w:val="24"/>
                <w:highlight w:val="none"/>
                <w:lang w:eastAsia="zh-CN"/>
              </w:rPr>
              <w:t>75</w:t>
            </w:r>
          </w:p>
          <w:p>
            <w:pPr>
              <w:keepLines w:val="0"/>
              <w:widowControl/>
              <w:numPr>
                <w:ilvl w:val="0"/>
                <w:numId w:val="82"/>
              </w:numPr>
              <w:rPr>
                <w:rFonts w:cs="Times New Roman" w:asciiTheme="minorEastAsia" w:hAnsiTheme="minorEastAsia"/>
                <w:color w:val="auto"/>
                <w:szCs w:val="24"/>
                <w:highlight w:val="none"/>
              </w:rPr>
            </w:pPr>
            <w:r>
              <w:rPr>
                <w:rFonts w:hint="eastAsia" w:cs="Times New Roman" w:asciiTheme="minorEastAsia" w:hAnsiTheme="minorEastAsia"/>
                <w:color w:val="auto"/>
                <w:szCs w:val="24"/>
                <w:highlight w:val="none"/>
                <w:lang w:eastAsia="zh-CN"/>
              </w:rPr>
              <w:t>可溶性铬（</w:t>
            </w:r>
            <w:r>
              <w:rPr>
                <w:rFonts w:cs="Times New Roman" w:asciiTheme="minorEastAsia" w:hAnsiTheme="minorEastAsia"/>
                <w:color w:val="auto"/>
                <w:szCs w:val="24"/>
                <w:highlight w:val="none"/>
                <w:lang w:eastAsia="zh-CN"/>
              </w:rPr>
              <w:t>Cr</w:t>
            </w:r>
            <w:r>
              <w:rPr>
                <w:rFonts w:hint="eastAsia" w:cs="Times New Roman" w:asciiTheme="minorEastAsia" w:hAnsiTheme="minorEastAsia"/>
                <w:color w:val="auto"/>
                <w:szCs w:val="24"/>
                <w:highlight w:val="none"/>
                <w:lang w:eastAsia="zh-CN"/>
              </w:rPr>
              <w:t>）</w:t>
            </w:r>
            <w:r>
              <w:rPr>
                <w:rFonts w:cs="Times New Roman" w:asciiTheme="minorEastAsia" w:hAnsiTheme="minorEastAsia"/>
                <w:color w:val="auto"/>
                <w:szCs w:val="24"/>
                <w:highlight w:val="none"/>
                <w:lang w:eastAsia="zh-CN"/>
              </w:rPr>
              <w:t xml:space="preserve">(mg/kg) </w:t>
            </w:r>
            <w:r>
              <w:rPr>
                <w:rFonts w:hint="eastAsia" w:cs="Times New Roman" w:asciiTheme="minorEastAsia" w:hAnsiTheme="minorEastAsia"/>
                <w:color w:val="auto"/>
                <w:szCs w:val="24"/>
                <w:highlight w:val="none"/>
                <w:lang w:eastAsia="zh-CN"/>
              </w:rPr>
              <w:t>≤</w:t>
            </w:r>
            <w:r>
              <w:rPr>
                <w:rFonts w:cs="Times New Roman" w:asciiTheme="minorEastAsia" w:hAnsiTheme="minorEastAsia"/>
                <w:color w:val="auto"/>
                <w:szCs w:val="24"/>
                <w:highlight w:val="none"/>
                <w:lang w:eastAsia="zh-CN"/>
              </w:rPr>
              <w:t>60</w:t>
            </w:r>
          </w:p>
          <w:p>
            <w:pPr>
              <w:keepLines w:val="0"/>
              <w:widowControl/>
              <w:numPr>
                <w:ilvl w:val="0"/>
                <w:numId w:val="82"/>
              </w:numPr>
              <w:rPr>
                <w:rFonts w:cs="Times New Roman" w:asciiTheme="minorEastAsia" w:hAnsiTheme="minorEastAsia"/>
                <w:color w:val="auto"/>
                <w:szCs w:val="24"/>
                <w:highlight w:val="none"/>
              </w:rPr>
            </w:pPr>
            <w:r>
              <w:rPr>
                <w:rFonts w:hint="eastAsia" w:cs="Times New Roman" w:asciiTheme="minorEastAsia" w:hAnsiTheme="minorEastAsia"/>
                <w:color w:val="auto"/>
                <w:szCs w:val="24"/>
                <w:highlight w:val="none"/>
                <w:lang w:eastAsia="zh-CN"/>
              </w:rPr>
              <w:t>可溶性汞（</w:t>
            </w:r>
            <w:r>
              <w:rPr>
                <w:rFonts w:cs="Times New Roman" w:asciiTheme="minorEastAsia" w:hAnsiTheme="minorEastAsia"/>
                <w:color w:val="auto"/>
                <w:szCs w:val="24"/>
                <w:highlight w:val="none"/>
                <w:lang w:eastAsia="zh-CN"/>
              </w:rPr>
              <w:t>Hg</w:t>
            </w:r>
            <w:r>
              <w:rPr>
                <w:rFonts w:hint="eastAsia" w:cs="Times New Roman" w:asciiTheme="minorEastAsia" w:hAnsiTheme="minorEastAsia"/>
                <w:color w:val="auto"/>
                <w:szCs w:val="24"/>
                <w:highlight w:val="none"/>
                <w:lang w:eastAsia="zh-CN"/>
              </w:rPr>
              <w:t>）</w:t>
            </w:r>
            <w:r>
              <w:rPr>
                <w:rFonts w:cs="Times New Roman" w:asciiTheme="minorEastAsia" w:hAnsiTheme="minorEastAsia"/>
                <w:color w:val="auto"/>
                <w:szCs w:val="24"/>
                <w:highlight w:val="none"/>
                <w:lang w:eastAsia="zh-CN"/>
              </w:rPr>
              <w:t xml:space="preserve">(mg/kg) </w:t>
            </w:r>
            <w:r>
              <w:rPr>
                <w:rFonts w:hint="eastAsia" w:cs="Times New Roman" w:asciiTheme="minorEastAsia" w:hAnsiTheme="minorEastAsia"/>
                <w:color w:val="auto"/>
                <w:szCs w:val="24"/>
                <w:highlight w:val="none"/>
                <w:lang w:eastAsia="zh-CN"/>
              </w:rPr>
              <w:t>≤</w:t>
            </w:r>
            <w:r>
              <w:rPr>
                <w:rFonts w:cs="Times New Roman" w:asciiTheme="minorEastAsia" w:hAnsiTheme="minorEastAsia"/>
                <w:color w:val="auto"/>
                <w:szCs w:val="24"/>
                <w:highlight w:val="none"/>
                <w:lang w:eastAsia="zh-CN"/>
              </w:rPr>
              <w:t>60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73" w:type="pct"/>
            <w:tcBorders>
              <w:top w:val="single" w:color="auto" w:sz="2" w:space="0"/>
              <w:left w:val="single" w:color="auto" w:sz="12" w:space="0"/>
              <w:bottom w:val="single" w:color="auto" w:sz="2" w:space="0"/>
              <w:right w:val="single" w:color="auto" w:sz="2" w:space="0"/>
            </w:tcBorders>
            <w:vAlign w:val="center"/>
          </w:tcPr>
          <w:p>
            <w:pPr>
              <w:keepLines w:val="0"/>
              <w:widowControl/>
              <w:jc w:val="center"/>
              <w:rPr>
                <w:rFonts w:cs="Times New Roman" w:asciiTheme="minorEastAsia" w:hAnsiTheme="minorEastAsia"/>
                <w:color w:val="auto"/>
                <w:szCs w:val="24"/>
                <w:highlight w:val="none"/>
              </w:rPr>
            </w:pPr>
            <w:r>
              <w:rPr>
                <w:rFonts w:cs="Times New Roman" w:asciiTheme="minorEastAsia" w:hAnsiTheme="minorEastAsia"/>
                <w:color w:val="auto"/>
                <w:szCs w:val="24"/>
                <w:highlight w:val="none"/>
                <w:lang w:eastAsia="zh-CN"/>
              </w:rPr>
              <w:t>3</w:t>
            </w:r>
          </w:p>
        </w:tc>
        <w:tc>
          <w:tcPr>
            <w:tcW w:w="705" w:type="pct"/>
            <w:tcBorders>
              <w:top w:val="single" w:color="auto" w:sz="2" w:space="0"/>
              <w:left w:val="single" w:color="auto" w:sz="2" w:space="0"/>
              <w:bottom w:val="single" w:color="auto" w:sz="2" w:space="0"/>
              <w:right w:val="single" w:color="auto" w:sz="2" w:space="0"/>
            </w:tcBorders>
            <w:vAlign w:val="center"/>
          </w:tcPr>
          <w:p>
            <w:pPr>
              <w:keepLines w:val="0"/>
              <w:widowControl/>
              <w:jc w:val="center"/>
              <w:rPr>
                <w:rFonts w:cs="Times New Roman" w:asciiTheme="minorEastAsia" w:hAnsiTheme="minorEastAsia"/>
                <w:color w:val="auto"/>
                <w:szCs w:val="24"/>
                <w:highlight w:val="none"/>
              </w:rPr>
            </w:pPr>
            <w:r>
              <w:rPr>
                <w:rFonts w:hint="eastAsia" w:cs="Times New Roman" w:asciiTheme="minorEastAsia" w:hAnsiTheme="minorEastAsia"/>
                <w:color w:val="auto"/>
                <w:szCs w:val="24"/>
                <w:highlight w:val="none"/>
                <w:lang w:eastAsia="zh-CN"/>
              </w:rPr>
              <w:t>轻钢龙骨</w:t>
            </w:r>
          </w:p>
        </w:tc>
        <w:tc>
          <w:tcPr>
            <w:tcW w:w="742" w:type="pct"/>
            <w:tcBorders>
              <w:top w:val="single" w:color="auto" w:sz="2" w:space="0"/>
              <w:left w:val="single" w:color="auto" w:sz="2" w:space="0"/>
              <w:bottom w:val="single" w:color="auto" w:sz="2" w:space="0"/>
              <w:right w:val="single" w:color="auto" w:sz="2" w:space="0"/>
            </w:tcBorders>
            <w:vAlign w:val="center"/>
          </w:tcPr>
          <w:p>
            <w:pPr>
              <w:keepLines w:val="0"/>
              <w:widowControl/>
              <w:rPr>
                <w:rFonts w:cs="Times New Roman" w:asciiTheme="minorEastAsia" w:hAnsiTheme="minorEastAsia"/>
                <w:color w:val="auto"/>
                <w:szCs w:val="24"/>
                <w:highlight w:val="none"/>
              </w:rPr>
            </w:pPr>
            <w:r>
              <w:rPr>
                <w:rFonts w:hint="eastAsia" w:cs="Times New Roman" w:asciiTheme="minorEastAsia" w:hAnsiTheme="minorEastAsia"/>
                <w:color w:val="auto"/>
                <w:szCs w:val="24"/>
                <w:highlight w:val="none"/>
                <w:lang w:eastAsia="zh-CN"/>
              </w:rPr>
              <w:t>天花</w:t>
            </w:r>
          </w:p>
        </w:tc>
        <w:tc>
          <w:tcPr>
            <w:tcW w:w="3080" w:type="pct"/>
            <w:tcBorders>
              <w:top w:val="single" w:color="auto" w:sz="2" w:space="0"/>
              <w:left w:val="single" w:color="auto" w:sz="2" w:space="0"/>
              <w:bottom w:val="single" w:color="auto" w:sz="2" w:space="0"/>
              <w:right w:val="single" w:color="auto" w:sz="12" w:space="0"/>
            </w:tcBorders>
            <w:vAlign w:val="center"/>
          </w:tcPr>
          <w:p>
            <w:pPr>
              <w:keepLines w:val="0"/>
              <w:widowControl/>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并符合国家有关标准、规范、规程。</w:t>
            </w:r>
          </w:p>
          <w:p>
            <w:pPr>
              <w:keepLines w:val="0"/>
              <w:widowControl/>
              <w:numPr>
                <w:ilvl w:val="0"/>
                <w:numId w:val="83"/>
              </w:numPr>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轻钢龙骨双面镀锌量</w:t>
            </w:r>
            <w:r>
              <w:rPr>
                <w:rFonts w:cs="Times New Roman" w:asciiTheme="minorEastAsia" w:hAnsiTheme="minorEastAsia"/>
                <w:color w:val="auto"/>
                <w:szCs w:val="24"/>
                <w:highlight w:val="none"/>
                <w:lang w:eastAsia="zh-CN"/>
              </w:rPr>
              <w:t xml:space="preserve">: </w:t>
            </w:r>
            <w:r>
              <w:rPr>
                <w:rFonts w:hint="eastAsia" w:cs="Times New Roman" w:asciiTheme="minorEastAsia" w:hAnsiTheme="minorEastAsia"/>
                <w:color w:val="auto"/>
                <w:szCs w:val="24"/>
                <w:highlight w:val="none"/>
                <w:lang w:eastAsia="zh-CN"/>
              </w:rPr>
              <w:t>≥</w:t>
            </w:r>
            <w:r>
              <w:rPr>
                <w:rFonts w:cs="Times New Roman" w:asciiTheme="minorEastAsia" w:hAnsiTheme="minorEastAsia"/>
                <w:color w:val="auto"/>
                <w:szCs w:val="24"/>
                <w:highlight w:val="none"/>
                <w:lang w:eastAsia="zh-CN"/>
              </w:rPr>
              <w:t>140g/</w:t>
            </w:r>
            <w:r>
              <w:rPr>
                <w:rFonts w:hint="eastAsia" w:cs="Times New Roman" w:asciiTheme="minorEastAsia" w:hAnsiTheme="minorEastAsia"/>
                <w:color w:val="auto"/>
                <w:szCs w:val="24"/>
                <w:highlight w:val="none"/>
                <w:lang w:eastAsia="zh-CN"/>
              </w:rPr>
              <w:t>㎡</w:t>
            </w:r>
          </w:p>
          <w:p>
            <w:pPr>
              <w:keepLines w:val="0"/>
              <w:widowControl/>
              <w:numPr>
                <w:ilvl w:val="0"/>
                <w:numId w:val="83"/>
              </w:numPr>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轻钢龙骨底面平直度</w:t>
            </w:r>
            <w:r>
              <w:rPr>
                <w:rFonts w:cs="Times New Roman" w:asciiTheme="minorEastAsia" w:hAnsiTheme="minorEastAsia"/>
                <w:color w:val="auto"/>
                <w:szCs w:val="24"/>
                <w:highlight w:val="none"/>
                <w:lang w:eastAsia="zh-CN"/>
              </w:rPr>
              <w:t xml:space="preserve">: </w:t>
            </w:r>
            <w:r>
              <w:rPr>
                <w:rFonts w:hint="eastAsia" w:cs="Times New Roman" w:asciiTheme="minorEastAsia" w:hAnsiTheme="minorEastAsia"/>
                <w:color w:val="auto"/>
                <w:szCs w:val="24"/>
                <w:highlight w:val="none"/>
                <w:lang w:eastAsia="zh-CN"/>
              </w:rPr>
              <w:t>≤</w:t>
            </w:r>
            <w:r>
              <w:rPr>
                <w:rFonts w:cs="Times New Roman" w:asciiTheme="minorEastAsia" w:hAnsiTheme="minorEastAsia"/>
                <w:color w:val="auto"/>
                <w:szCs w:val="24"/>
                <w:highlight w:val="none"/>
                <w:lang w:eastAsia="zh-CN"/>
              </w:rPr>
              <w:t>0.4</w:t>
            </w:r>
            <w:r>
              <w:rPr>
                <w:rFonts w:hint="eastAsia" w:cs="Times New Roman" w:asciiTheme="minorEastAsia" w:hAnsiTheme="minorEastAsia"/>
                <w:color w:val="auto"/>
                <w:szCs w:val="24"/>
                <w:highlight w:val="none"/>
                <w:lang w:eastAsia="zh-CN"/>
              </w:rPr>
              <w:t>㎜</w:t>
            </w:r>
            <w:r>
              <w:rPr>
                <w:rFonts w:cs="Times New Roman" w:asciiTheme="minorEastAsia" w:hAnsiTheme="minorEastAsia"/>
                <w:color w:val="auto"/>
                <w:szCs w:val="24"/>
                <w:highlight w:val="none"/>
                <w:lang w:eastAsia="zh-CN"/>
              </w:rPr>
              <w:t>/1000</w:t>
            </w:r>
            <w:r>
              <w:rPr>
                <w:rFonts w:hint="eastAsia" w:cs="Times New Roman" w:asciiTheme="minorEastAsia" w:hAnsiTheme="minorEastAsia"/>
                <w:color w:val="auto"/>
                <w:szCs w:val="24"/>
                <w:highlight w:val="none"/>
                <w:lang w:eastAsia="zh-CN"/>
              </w:rPr>
              <w:t>㎜</w:t>
            </w:r>
          </w:p>
          <w:p>
            <w:pPr>
              <w:keepLines w:val="0"/>
              <w:widowControl/>
              <w:numPr>
                <w:ilvl w:val="0"/>
                <w:numId w:val="83"/>
              </w:numPr>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轻钢龙骨侧面平直度</w:t>
            </w:r>
            <w:r>
              <w:rPr>
                <w:rFonts w:cs="Times New Roman" w:asciiTheme="minorEastAsia" w:hAnsiTheme="minorEastAsia"/>
                <w:color w:val="auto"/>
                <w:szCs w:val="24"/>
                <w:highlight w:val="none"/>
                <w:lang w:eastAsia="zh-CN"/>
              </w:rPr>
              <w:t xml:space="preserve">: </w:t>
            </w:r>
            <w:r>
              <w:rPr>
                <w:rFonts w:hint="eastAsia" w:cs="Times New Roman" w:asciiTheme="minorEastAsia" w:hAnsiTheme="minorEastAsia"/>
                <w:color w:val="auto"/>
                <w:szCs w:val="24"/>
                <w:highlight w:val="none"/>
                <w:lang w:eastAsia="zh-CN"/>
              </w:rPr>
              <w:t>≤</w:t>
            </w:r>
            <w:r>
              <w:rPr>
                <w:rFonts w:cs="Times New Roman" w:asciiTheme="minorEastAsia" w:hAnsiTheme="minorEastAsia"/>
                <w:color w:val="auto"/>
                <w:szCs w:val="24"/>
                <w:highlight w:val="none"/>
                <w:lang w:eastAsia="zh-CN"/>
              </w:rPr>
              <w:t>0.3</w:t>
            </w:r>
            <w:r>
              <w:rPr>
                <w:rFonts w:hint="eastAsia" w:cs="Times New Roman" w:asciiTheme="minorEastAsia" w:hAnsiTheme="minorEastAsia"/>
                <w:color w:val="auto"/>
                <w:szCs w:val="24"/>
                <w:highlight w:val="none"/>
                <w:lang w:eastAsia="zh-CN"/>
              </w:rPr>
              <w:t>㎜</w:t>
            </w:r>
            <w:r>
              <w:rPr>
                <w:rFonts w:cs="Times New Roman" w:asciiTheme="minorEastAsia" w:hAnsiTheme="minorEastAsia"/>
                <w:color w:val="auto"/>
                <w:szCs w:val="24"/>
                <w:highlight w:val="none"/>
                <w:lang w:eastAsia="zh-CN"/>
              </w:rPr>
              <w:t>/1000</w:t>
            </w:r>
            <w:r>
              <w:rPr>
                <w:rFonts w:hint="eastAsia" w:cs="Times New Roman" w:asciiTheme="minorEastAsia" w:hAnsiTheme="minorEastAsia"/>
                <w:color w:val="auto"/>
                <w:szCs w:val="24"/>
                <w:highlight w:val="none"/>
                <w:lang w:eastAsia="zh-CN"/>
              </w:rPr>
              <w:t>㎜</w:t>
            </w:r>
          </w:p>
          <w:p>
            <w:pPr>
              <w:keepLines w:val="0"/>
              <w:widowControl/>
              <w:numPr>
                <w:ilvl w:val="0"/>
                <w:numId w:val="83"/>
              </w:numPr>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承载龙骨加载挠度</w:t>
            </w:r>
            <w:r>
              <w:rPr>
                <w:rFonts w:cs="Times New Roman" w:asciiTheme="minorEastAsia" w:hAnsiTheme="minorEastAsia"/>
                <w:color w:val="auto"/>
                <w:szCs w:val="24"/>
                <w:highlight w:val="none"/>
                <w:lang w:eastAsia="zh-CN"/>
              </w:rPr>
              <w:t xml:space="preserve">: </w:t>
            </w:r>
            <w:r>
              <w:rPr>
                <w:rFonts w:hint="eastAsia" w:cs="Times New Roman" w:asciiTheme="minorEastAsia" w:hAnsiTheme="minorEastAsia"/>
                <w:color w:val="auto"/>
                <w:szCs w:val="24"/>
                <w:highlight w:val="none"/>
                <w:lang w:eastAsia="zh-CN"/>
              </w:rPr>
              <w:t>≤</w:t>
            </w:r>
            <w:r>
              <w:rPr>
                <w:rFonts w:cs="Times New Roman" w:asciiTheme="minorEastAsia" w:hAnsiTheme="minorEastAsia"/>
                <w:color w:val="auto"/>
                <w:szCs w:val="24"/>
                <w:highlight w:val="none"/>
                <w:lang w:eastAsia="zh-CN"/>
              </w:rPr>
              <w:t>1.2</w:t>
            </w:r>
            <w:r>
              <w:rPr>
                <w:rFonts w:hint="eastAsia" w:cs="Times New Roman" w:asciiTheme="minorEastAsia" w:hAnsiTheme="minorEastAsia"/>
                <w:color w:val="auto"/>
                <w:szCs w:val="24"/>
                <w:highlight w:val="none"/>
                <w:lang w:eastAsia="zh-CN"/>
              </w:rPr>
              <w:t>㎜，残余变形量≤</w:t>
            </w:r>
            <w:r>
              <w:rPr>
                <w:rFonts w:cs="Times New Roman" w:asciiTheme="minorEastAsia" w:hAnsiTheme="minorEastAsia"/>
                <w:color w:val="auto"/>
                <w:szCs w:val="24"/>
                <w:highlight w:val="none"/>
                <w:lang w:eastAsia="zh-CN"/>
              </w:rPr>
              <w:t>0.2</w:t>
            </w:r>
            <w:r>
              <w:rPr>
                <w:rFonts w:hint="eastAsia" w:cs="Times New Roman" w:asciiTheme="minorEastAsia" w:hAnsiTheme="minorEastAsia"/>
                <w:color w:val="auto"/>
                <w:szCs w:val="24"/>
                <w:highlight w:val="none"/>
                <w:lang w:eastAsia="zh-CN"/>
              </w:rPr>
              <w:t>㎜</w:t>
            </w:r>
          </w:p>
          <w:p>
            <w:pPr>
              <w:keepLines w:val="0"/>
              <w:widowControl/>
              <w:numPr>
                <w:ilvl w:val="0"/>
                <w:numId w:val="83"/>
              </w:numPr>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覆面龙骨加载挠度</w:t>
            </w:r>
            <w:r>
              <w:rPr>
                <w:rFonts w:cs="Times New Roman" w:asciiTheme="minorEastAsia" w:hAnsiTheme="minorEastAsia"/>
                <w:color w:val="auto"/>
                <w:szCs w:val="24"/>
                <w:highlight w:val="none"/>
                <w:lang w:eastAsia="zh-CN"/>
              </w:rPr>
              <w:t xml:space="preserve">: </w:t>
            </w:r>
            <w:r>
              <w:rPr>
                <w:rFonts w:hint="eastAsia" w:cs="Times New Roman" w:asciiTheme="minorEastAsia" w:hAnsiTheme="minorEastAsia"/>
                <w:color w:val="auto"/>
                <w:szCs w:val="24"/>
                <w:highlight w:val="none"/>
                <w:lang w:eastAsia="zh-CN"/>
              </w:rPr>
              <w:t>≤</w:t>
            </w:r>
            <w:r>
              <w:rPr>
                <w:rFonts w:cs="Times New Roman" w:asciiTheme="minorEastAsia" w:hAnsiTheme="minorEastAsia"/>
                <w:color w:val="auto"/>
                <w:szCs w:val="24"/>
                <w:highlight w:val="none"/>
                <w:lang w:eastAsia="zh-CN"/>
              </w:rPr>
              <w:t>1.6</w:t>
            </w:r>
            <w:r>
              <w:rPr>
                <w:rFonts w:hint="eastAsia" w:cs="Times New Roman" w:asciiTheme="minorEastAsia" w:hAnsiTheme="minorEastAsia"/>
                <w:color w:val="auto"/>
                <w:szCs w:val="24"/>
                <w:highlight w:val="none"/>
                <w:lang w:eastAsia="zh-CN"/>
              </w:rPr>
              <w:t>㎜，残余变形量≤</w:t>
            </w:r>
            <w:r>
              <w:rPr>
                <w:rFonts w:cs="Times New Roman" w:asciiTheme="minorEastAsia" w:hAnsiTheme="minorEastAsia"/>
                <w:color w:val="auto"/>
                <w:szCs w:val="24"/>
                <w:highlight w:val="none"/>
                <w:lang w:eastAsia="zh-CN"/>
              </w:rPr>
              <w:t>0</w:t>
            </w:r>
            <w:r>
              <w:rPr>
                <w:rFonts w:hint="eastAsia" w:cs="Times New Roman" w:asciiTheme="minorEastAsia" w:hAnsiTheme="minorEastAsia"/>
                <w:color w:val="auto"/>
                <w:szCs w:val="24"/>
                <w:highlight w:val="none"/>
                <w:lang w:eastAsia="zh-CN"/>
              </w:rPr>
              <w:t>㎜</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73" w:type="pct"/>
            <w:tcBorders>
              <w:top w:val="single" w:color="auto" w:sz="2" w:space="0"/>
              <w:left w:val="single" w:color="auto" w:sz="12" w:space="0"/>
              <w:bottom w:val="single" w:color="auto" w:sz="2" w:space="0"/>
              <w:right w:val="single" w:color="auto" w:sz="2" w:space="0"/>
            </w:tcBorders>
            <w:vAlign w:val="center"/>
          </w:tcPr>
          <w:p>
            <w:pPr>
              <w:keepLines w:val="0"/>
              <w:widowControl/>
              <w:jc w:val="center"/>
              <w:rPr>
                <w:rFonts w:cs="Times New Roman" w:asciiTheme="minorEastAsia" w:hAnsiTheme="minorEastAsia"/>
                <w:color w:val="auto"/>
                <w:szCs w:val="24"/>
                <w:highlight w:val="none"/>
              </w:rPr>
            </w:pPr>
            <w:r>
              <w:rPr>
                <w:rFonts w:cs="Times New Roman" w:asciiTheme="minorEastAsia" w:hAnsiTheme="minorEastAsia"/>
                <w:color w:val="auto"/>
                <w:szCs w:val="24"/>
                <w:highlight w:val="none"/>
                <w:lang w:eastAsia="zh-CN"/>
              </w:rPr>
              <w:t>4</w:t>
            </w:r>
          </w:p>
        </w:tc>
        <w:tc>
          <w:tcPr>
            <w:tcW w:w="705" w:type="pct"/>
            <w:tcBorders>
              <w:top w:val="single" w:color="auto" w:sz="2" w:space="0"/>
              <w:left w:val="single" w:color="auto" w:sz="2" w:space="0"/>
              <w:bottom w:val="single" w:color="auto" w:sz="2" w:space="0"/>
              <w:right w:val="single" w:color="auto" w:sz="2" w:space="0"/>
            </w:tcBorders>
            <w:vAlign w:val="center"/>
          </w:tcPr>
          <w:p>
            <w:pPr>
              <w:keepLines w:val="0"/>
              <w:widowControl/>
              <w:jc w:val="center"/>
              <w:rPr>
                <w:rFonts w:cs="Times New Roman" w:asciiTheme="minorEastAsia" w:hAnsiTheme="minorEastAsia"/>
                <w:color w:val="auto"/>
                <w:szCs w:val="24"/>
                <w:highlight w:val="none"/>
              </w:rPr>
            </w:pPr>
            <w:r>
              <w:rPr>
                <w:rFonts w:hint="eastAsia" w:cs="Times New Roman" w:asciiTheme="minorEastAsia" w:hAnsiTheme="minorEastAsia"/>
                <w:color w:val="auto"/>
                <w:szCs w:val="24"/>
                <w:highlight w:val="none"/>
                <w:lang w:eastAsia="zh-CN"/>
              </w:rPr>
              <w:t>硅钙板</w:t>
            </w:r>
          </w:p>
        </w:tc>
        <w:tc>
          <w:tcPr>
            <w:tcW w:w="742" w:type="pct"/>
            <w:tcBorders>
              <w:top w:val="single" w:color="auto" w:sz="2" w:space="0"/>
              <w:left w:val="single" w:color="auto" w:sz="2" w:space="0"/>
              <w:bottom w:val="single" w:color="auto" w:sz="2" w:space="0"/>
              <w:right w:val="single" w:color="auto" w:sz="2" w:space="0"/>
            </w:tcBorders>
            <w:vAlign w:val="center"/>
          </w:tcPr>
          <w:p>
            <w:pPr>
              <w:keepLines w:val="0"/>
              <w:widowControl/>
              <w:rPr>
                <w:rFonts w:cs="Times New Roman" w:asciiTheme="minorEastAsia" w:hAnsiTheme="minorEastAsia"/>
                <w:color w:val="auto"/>
                <w:szCs w:val="24"/>
                <w:highlight w:val="none"/>
              </w:rPr>
            </w:pPr>
            <w:r>
              <w:rPr>
                <w:rFonts w:hint="eastAsia" w:cs="Times New Roman" w:asciiTheme="minorEastAsia" w:hAnsiTheme="minorEastAsia"/>
                <w:color w:val="auto"/>
                <w:szCs w:val="24"/>
                <w:highlight w:val="none"/>
                <w:lang w:eastAsia="zh-CN"/>
              </w:rPr>
              <w:t>天花</w:t>
            </w:r>
          </w:p>
        </w:tc>
        <w:tc>
          <w:tcPr>
            <w:tcW w:w="3080" w:type="pct"/>
            <w:tcBorders>
              <w:top w:val="single" w:color="auto" w:sz="2" w:space="0"/>
              <w:left w:val="single" w:color="auto" w:sz="2" w:space="0"/>
              <w:bottom w:val="single" w:color="auto" w:sz="2" w:space="0"/>
              <w:right w:val="single" w:color="auto" w:sz="12" w:space="0"/>
            </w:tcBorders>
          </w:tcPr>
          <w:p>
            <w:pPr>
              <w:keepLines w:val="0"/>
              <w:widowControl/>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符合设计及国家有关标准、规范、规定，并符合下列要求：</w:t>
            </w:r>
          </w:p>
          <w:p>
            <w:pPr>
              <w:keepLines w:val="0"/>
              <w:numPr>
                <w:ilvl w:val="0"/>
                <w:numId w:val="84"/>
              </w:numPr>
              <w:rPr>
                <w:color w:val="auto"/>
                <w:highlight w:val="none"/>
              </w:rPr>
            </w:pPr>
            <w:r>
              <w:rPr>
                <w:rFonts w:hint="eastAsia"/>
                <w:color w:val="auto"/>
                <w:highlight w:val="none"/>
                <w:lang w:eastAsia="zh-CN"/>
              </w:rPr>
              <w:t>密度（干燥，最大值）/ kg/m3：：≦240</w:t>
            </w:r>
          </w:p>
          <w:p>
            <w:pPr>
              <w:keepLines w:val="0"/>
              <w:numPr>
                <w:ilvl w:val="0"/>
                <w:numId w:val="84"/>
              </w:numPr>
              <w:rPr>
                <w:color w:val="auto"/>
                <w:highlight w:val="none"/>
                <w:lang w:eastAsia="zh-CN"/>
              </w:rPr>
            </w:pPr>
            <w:r>
              <w:rPr>
                <w:rFonts w:hint="eastAsia"/>
                <w:color w:val="auto"/>
                <w:highlight w:val="none"/>
                <w:lang w:eastAsia="zh-CN"/>
              </w:rPr>
              <w:t>抗弯强度（最小值）/kPa：≥310</w:t>
            </w:r>
          </w:p>
          <w:p>
            <w:pPr>
              <w:keepLines w:val="0"/>
              <w:numPr>
                <w:ilvl w:val="0"/>
                <w:numId w:val="84"/>
              </w:numPr>
              <w:rPr>
                <w:color w:val="auto"/>
                <w:highlight w:val="none"/>
                <w:lang w:eastAsia="zh-CN"/>
              </w:rPr>
            </w:pPr>
            <w:r>
              <w:rPr>
                <w:rFonts w:hint="eastAsia"/>
                <w:color w:val="auto"/>
                <w:highlight w:val="none"/>
                <w:lang w:eastAsia="zh-CN"/>
              </w:rPr>
              <w:t>抗压强度（最小值，变形5%时）/kPa：≥414</w:t>
            </w:r>
          </w:p>
          <w:p>
            <w:pPr>
              <w:keepLines w:val="0"/>
              <w:numPr>
                <w:ilvl w:val="0"/>
                <w:numId w:val="84"/>
              </w:numPr>
              <w:rPr>
                <w:color w:val="auto"/>
                <w:highlight w:val="none"/>
              </w:rPr>
            </w:pPr>
            <w:r>
              <w:rPr>
                <w:rFonts w:hint="eastAsia"/>
                <w:color w:val="auto"/>
                <w:highlight w:val="none"/>
                <w:lang w:eastAsia="zh-CN"/>
              </w:rPr>
              <w:t>含水率平均值≤1.2%，吸水率平均值≤7.8%</w:t>
            </w:r>
          </w:p>
          <w:p>
            <w:pPr>
              <w:keepLines w:val="0"/>
              <w:numPr>
                <w:ilvl w:val="0"/>
                <w:numId w:val="84"/>
              </w:numPr>
              <w:rPr>
                <w:color w:val="auto"/>
                <w:highlight w:val="none"/>
                <w:lang w:eastAsia="zh-CN"/>
              </w:rPr>
            </w:pPr>
            <w:r>
              <w:rPr>
                <w:rFonts w:hint="eastAsia"/>
                <w:color w:val="auto"/>
                <w:highlight w:val="none"/>
                <w:lang w:eastAsia="zh-CN"/>
              </w:rPr>
              <w:t>热面性能：翘曲（最大值）/ mm：≦6.0</w:t>
            </w:r>
          </w:p>
          <w:p>
            <w:pPr>
              <w:keepLines w:val="0"/>
              <w:numPr>
                <w:ilvl w:val="0"/>
                <w:numId w:val="84"/>
              </w:numPr>
              <w:rPr>
                <w:rFonts w:cs="Times New Roman" w:asciiTheme="minorEastAsia" w:hAnsiTheme="minorEastAsia"/>
                <w:color w:val="auto"/>
                <w:szCs w:val="24"/>
                <w:highlight w:val="none"/>
                <w:lang w:eastAsia="zh-CN"/>
              </w:rPr>
            </w:pPr>
            <w:r>
              <w:rPr>
                <w:rFonts w:hint="eastAsia"/>
                <w:color w:val="auto"/>
                <w:highlight w:val="none"/>
                <w:lang w:eastAsia="zh-CN"/>
              </w:rPr>
              <w:t>燃烧性能：不燃（A级）</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73" w:type="pct"/>
            <w:tcBorders>
              <w:top w:val="single" w:color="auto" w:sz="2" w:space="0"/>
              <w:left w:val="single" w:color="auto" w:sz="12" w:space="0"/>
              <w:bottom w:val="single" w:color="auto" w:sz="2" w:space="0"/>
              <w:right w:val="single" w:color="auto" w:sz="2" w:space="0"/>
            </w:tcBorders>
            <w:vAlign w:val="center"/>
          </w:tcPr>
          <w:p>
            <w:pPr>
              <w:keepLines w:val="0"/>
              <w:widowControl/>
              <w:jc w:val="center"/>
              <w:rPr>
                <w:rFonts w:cs="Times New Roman" w:asciiTheme="minorEastAsia" w:hAnsiTheme="minorEastAsia"/>
                <w:color w:val="auto"/>
                <w:szCs w:val="24"/>
                <w:highlight w:val="none"/>
              </w:rPr>
            </w:pPr>
            <w:r>
              <w:rPr>
                <w:rFonts w:cs="Times New Roman" w:asciiTheme="minorEastAsia" w:hAnsiTheme="minorEastAsia"/>
                <w:color w:val="auto"/>
                <w:szCs w:val="24"/>
                <w:highlight w:val="none"/>
                <w:lang w:eastAsia="zh-CN"/>
              </w:rPr>
              <w:t>5</w:t>
            </w:r>
          </w:p>
        </w:tc>
        <w:tc>
          <w:tcPr>
            <w:tcW w:w="705" w:type="pct"/>
            <w:tcBorders>
              <w:top w:val="single" w:color="auto" w:sz="2" w:space="0"/>
              <w:left w:val="single" w:color="auto" w:sz="2" w:space="0"/>
              <w:bottom w:val="single" w:color="auto" w:sz="2" w:space="0"/>
              <w:right w:val="single" w:color="auto" w:sz="2" w:space="0"/>
            </w:tcBorders>
            <w:vAlign w:val="center"/>
          </w:tcPr>
          <w:p>
            <w:pPr>
              <w:keepLines w:val="0"/>
              <w:widowControl/>
              <w:rPr>
                <w:rFonts w:cs="Times New Roman" w:asciiTheme="minorEastAsia" w:hAnsiTheme="minorEastAsia"/>
                <w:color w:val="auto"/>
                <w:szCs w:val="24"/>
                <w:highlight w:val="none"/>
              </w:rPr>
            </w:pPr>
            <w:r>
              <w:rPr>
                <w:rFonts w:hint="eastAsia" w:cs="Times New Roman" w:asciiTheme="minorEastAsia" w:hAnsiTheme="minorEastAsia"/>
                <w:color w:val="auto"/>
                <w:szCs w:val="24"/>
                <w:highlight w:val="none"/>
                <w:lang w:eastAsia="zh-CN"/>
              </w:rPr>
              <w:t>块型铝扣板</w:t>
            </w:r>
          </w:p>
        </w:tc>
        <w:tc>
          <w:tcPr>
            <w:tcW w:w="742" w:type="pct"/>
            <w:tcBorders>
              <w:top w:val="single" w:color="auto" w:sz="2" w:space="0"/>
              <w:left w:val="single" w:color="auto" w:sz="2" w:space="0"/>
              <w:bottom w:val="single" w:color="auto" w:sz="2" w:space="0"/>
              <w:right w:val="single" w:color="auto" w:sz="2" w:space="0"/>
            </w:tcBorders>
            <w:vAlign w:val="center"/>
          </w:tcPr>
          <w:p>
            <w:pPr>
              <w:keepLines w:val="0"/>
              <w:widowControl/>
              <w:rPr>
                <w:rFonts w:cs="Times New Roman" w:asciiTheme="minorEastAsia" w:hAnsiTheme="minorEastAsia"/>
                <w:color w:val="auto"/>
                <w:szCs w:val="24"/>
                <w:highlight w:val="none"/>
              </w:rPr>
            </w:pPr>
            <w:r>
              <w:rPr>
                <w:rFonts w:hint="eastAsia" w:cs="Times New Roman" w:asciiTheme="minorEastAsia" w:hAnsiTheme="minorEastAsia"/>
                <w:color w:val="auto"/>
                <w:szCs w:val="24"/>
                <w:highlight w:val="none"/>
                <w:lang w:eastAsia="zh-CN"/>
              </w:rPr>
              <w:t>天花</w:t>
            </w:r>
          </w:p>
        </w:tc>
        <w:tc>
          <w:tcPr>
            <w:tcW w:w="3080" w:type="pct"/>
            <w:tcBorders>
              <w:top w:val="single" w:color="auto" w:sz="2" w:space="0"/>
              <w:left w:val="single" w:color="auto" w:sz="2" w:space="0"/>
              <w:bottom w:val="single" w:color="auto" w:sz="2" w:space="0"/>
              <w:right w:val="single" w:color="auto" w:sz="12" w:space="0"/>
            </w:tcBorders>
            <w:vAlign w:val="center"/>
          </w:tcPr>
          <w:p>
            <w:pPr>
              <w:keepLines w:val="0"/>
              <w:widowControl/>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符合设计及国家有关标准、规范、规定，并符合下列要求：</w:t>
            </w:r>
          </w:p>
          <w:p>
            <w:pPr>
              <w:keepLines w:val="0"/>
              <w:numPr>
                <w:ilvl w:val="0"/>
                <w:numId w:val="85"/>
              </w:numPr>
              <w:rPr>
                <w:color w:val="auto"/>
                <w:highlight w:val="none"/>
                <w:lang w:eastAsia="zh-CN"/>
              </w:rPr>
            </w:pPr>
            <w:r>
              <w:rPr>
                <w:rFonts w:hint="eastAsia"/>
                <w:color w:val="auto"/>
                <w:highlight w:val="none"/>
                <w:lang w:eastAsia="zh-CN"/>
              </w:rPr>
              <w:t>漆膜硬度：</w:t>
            </w:r>
            <w:r>
              <w:rPr>
                <w:color w:val="auto"/>
                <w:highlight w:val="none"/>
                <w:lang w:eastAsia="zh-CN"/>
              </w:rPr>
              <w:t>F</w:t>
            </w:r>
            <w:r>
              <w:rPr>
                <w:rFonts w:hint="eastAsia"/>
                <w:color w:val="auto"/>
                <w:highlight w:val="none"/>
                <w:lang w:eastAsia="zh-CN"/>
              </w:rPr>
              <w:t>级硬度铅笔对干膜刻划，膜层无划断。</w:t>
            </w:r>
          </w:p>
          <w:p>
            <w:pPr>
              <w:keepLines w:val="0"/>
              <w:numPr>
                <w:ilvl w:val="0"/>
                <w:numId w:val="85"/>
              </w:numPr>
              <w:rPr>
                <w:color w:val="auto"/>
                <w:highlight w:val="none"/>
                <w:lang w:eastAsia="zh-CN"/>
              </w:rPr>
            </w:pPr>
            <w:r>
              <w:rPr>
                <w:rFonts w:hint="eastAsia"/>
                <w:color w:val="auto"/>
                <w:highlight w:val="none"/>
                <w:lang w:eastAsia="zh-CN"/>
              </w:rPr>
              <w:t>耐火性能：</w:t>
            </w:r>
            <w:r>
              <w:rPr>
                <w:color w:val="auto"/>
                <w:highlight w:val="none"/>
                <w:lang w:eastAsia="zh-CN"/>
              </w:rPr>
              <w:t>A</w:t>
            </w:r>
            <w:r>
              <w:rPr>
                <w:rFonts w:hint="eastAsia"/>
                <w:color w:val="auto"/>
                <w:highlight w:val="none"/>
                <w:lang w:eastAsia="zh-CN"/>
              </w:rPr>
              <w:t>级</w:t>
            </w:r>
          </w:p>
          <w:p>
            <w:pPr>
              <w:keepLines w:val="0"/>
              <w:numPr>
                <w:ilvl w:val="0"/>
                <w:numId w:val="85"/>
              </w:numPr>
              <w:rPr>
                <w:color w:val="auto"/>
                <w:highlight w:val="none"/>
                <w:lang w:eastAsia="zh-CN"/>
              </w:rPr>
            </w:pPr>
            <w:r>
              <w:rPr>
                <w:color w:val="auto"/>
                <w:highlight w:val="none"/>
                <w:lang w:eastAsia="zh-CN"/>
              </w:rPr>
              <w:t xml:space="preserve">Z </w:t>
            </w:r>
            <w:r>
              <w:rPr>
                <w:rFonts w:hint="eastAsia"/>
                <w:color w:val="auto"/>
                <w:highlight w:val="none"/>
                <w:lang w:eastAsia="zh-CN"/>
              </w:rPr>
              <w:t>型龙骨采用</w:t>
            </w:r>
            <w:r>
              <w:rPr>
                <w:color w:val="auto"/>
                <w:highlight w:val="none"/>
                <w:lang w:eastAsia="zh-CN"/>
              </w:rPr>
              <w:t>1.2mm</w:t>
            </w:r>
            <w:r>
              <w:rPr>
                <w:rFonts w:hint="eastAsia"/>
                <w:color w:val="auto"/>
                <w:highlight w:val="none"/>
                <w:lang w:eastAsia="zh-CN"/>
              </w:rPr>
              <w:t>厚冷轧镀锌钢板，相关连接件表面镀锌，镀锌层厚度≥</w:t>
            </w:r>
            <w:r>
              <w:rPr>
                <w:color w:val="auto"/>
                <w:highlight w:val="none"/>
                <w:lang w:eastAsia="zh-CN"/>
              </w:rPr>
              <w:t>9</w:t>
            </w:r>
            <w:r>
              <w:rPr>
                <w:rFonts w:hint="eastAsia"/>
                <w:color w:val="auto"/>
                <w:highlight w:val="none"/>
              </w:rPr>
              <w:t>μ</w:t>
            </w:r>
            <w:r>
              <w:rPr>
                <w:color w:val="auto"/>
                <w:highlight w:val="none"/>
                <w:lang w:eastAsia="zh-CN"/>
              </w:rPr>
              <w:t>m</w:t>
            </w:r>
            <w:r>
              <w:rPr>
                <w:rFonts w:hint="eastAsia"/>
                <w:color w:val="auto"/>
                <w:highlight w:val="none"/>
                <w:lang w:eastAsia="zh-CN"/>
              </w:rPr>
              <w:t>；</w:t>
            </w:r>
          </w:p>
          <w:p>
            <w:pPr>
              <w:keepLines w:val="0"/>
              <w:numPr>
                <w:ilvl w:val="0"/>
                <w:numId w:val="85"/>
              </w:numPr>
              <w:rPr>
                <w:color w:val="auto"/>
                <w:highlight w:val="none"/>
                <w:lang w:eastAsia="zh-CN"/>
              </w:rPr>
            </w:pPr>
            <w:r>
              <w:rPr>
                <w:rFonts w:hint="eastAsia"/>
                <w:color w:val="auto"/>
                <w:highlight w:val="none"/>
                <w:lang w:eastAsia="zh-CN"/>
              </w:rPr>
              <w:t>实际长度规格若按图纸尺寸有所调整，在</w:t>
            </w:r>
            <w:r>
              <w:rPr>
                <w:color w:val="auto"/>
                <w:highlight w:val="none"/>
                <w:lang w:eastAsia="zh-CN"/>
              </w:rPr>
              <w:t>+3%</w:t>
            </w:r>
            <w:r>
              <w:rPr>
                <w:rFonts w:hint="eastAsia"/>
                <w:color w:val="auto"/>
                <w:highlight w:val="none"/>
                <w:lang w:eastAsia="zh-CN"/>
              </w:rPr>
              <w:t>之内单价不做调整。</w:t>
            </w:r>
          </w:p>
          <w:p>
            <w:pPr>
              <w:keepLines w:val="0"/>
              <w:numPr>
                <w:ilvl w:val="0"/>
                <w:numId w:val="85"/>
              </w:numPr>
              <w:rPr>
                <w:color w:val="auto"/>
                <w:highlight w:val="none"/>
                <w:lang w:eastAsia="zh-CN"/>
              </w:rPr>
            </w:pPr>
            <w:r>
              <w:rPr>
                <w:rFonts w:hint="eastAsia"/>
                <w:color w:val="auto"/>
                <w:highlight w:val="none"/>
                <w:lang w:eastAsia="zh-CN"/>
              </w:rPr>
              <w:t>必须采用容易装卸、检修、耐用及不变形的构造方式以便吊顶内设备管线的维修。</w:t>
            </w:r>
          </w:p>
          <w:p>
            <w:pPr>
              <w:keepLines w:val="0"/>
              <w:numPr>
                <w:ilvl w:val="0"/>
                <w:numId w:val="85"/>
              </w:numPr>
              <w:rPr>
                <w:color w:val="auto"/>
                <w:highlight w:val="none"/>
                <w:lang w:eastAsia="zh-CN"/>
              </w:rPr>
            </w:pPr>
            <w:r>
              <w:rPr>
                <w:rFonts w:hint="eastAsia"/>
                <w:color w:val="auto"/>
                <w:highlight w:val="none"/>
                <w:lang w:eastAsia="zh-CN"/>
              </w:rPr>
              <w:t>天花完成后要求平整，无明显的凹凸、下垂。</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73" w:type="pct"/>
            <w:tcBorders>
              <w:top w:val="single" w:color="auto" w:sz="2" w:space="0"/>
              <w:left w:val="single" w:color="auto" w:sz="12" w:space="0"/>
              <w:bottom w:val="single" w:color="auto" w:sz="2" w:space="0"/>
              <w:right w:val="single" w:color="auto" w:sz="2" w:space="0"/>
            </w:tcBorders>
            <w:vAlign w:val="center"/>
          </w:tcPr>
          <w:p>
            <w:pPr>
              <w:keepLines w:val="0"/>
              <w:widowControl/>
              <w:jc w:val="center"/>
              <w:rPr>
                <w:rFonts w:cs="Times New Roman" w:asciiTheme="minorEastAsia" w:hAnsiTheme="minorEastAsia"/>
                <w:color w:val="auto"/>
                <w:szCs w:val="24"/>
                <w:highlight w:val="none"/>
              </w:rPr>
            </w:pPr>
            <w:r>
              <w:rPr>
                <w:rFonts w:cs="Times New Roman" w:asciiTheme="minorEastAsia" w:hAnsiTheme="minorEastAsia"/>
                <w:color w:val="auto"/>
                <w:szCs w:val="24"/>
                <w:highlight w:val="none"/>
                <w:lang w:eastAsia="zh-CN"/>
              </w:rPr>
              <w:t>6</w:t>
            </w:r>
          </w:p>
        </w:tc>
        <w:tc>
          <w:tcPr>
            <w:tcW w:w="705" w:type="pct"/>
            <w:tcBorders>
              <w:top w:val="single" w:color="auto" w:sz="2" w:space="0"/>
              <w:left w:val="single" w:color="auto" w:sz="2" w:space="0"/>
              <w:bottom w:val="single" w:color="auto" w:sz="2" w:space="0"/>
              <w:right w:val="single" w:color="auto" w:sz="2" w:space="0"/>
            </w:tcBorders>
            <w:vAlign w:val="center"/>
          </w:tcPr>
          <w:p>
            <w:pPr>
              <w:keepLines w:val="0"/>
              <w:widowControl/>
              <w:rPr>
                <w:rFonts w:cs="Times New Roman" w:asciiTheme="minorEastAsia" w:hAnsiTheme="minorEastAsia"/>
                <w:color w:val="auto"/>
                <w:szCs w:val="24"/>
                <w:highlight w:val="none"/>
              </w:rPr>
            </w:pPr>
            <w:r>
              <w:rPr>
                <w:rFonts w:hint="eastAsia" w:cs="Times New Roman" w:asciiTheme="minorEastAsia" w:hAnsiTheme="minorEastAsia"/>
                <w:color w:val="auto"/>
                <w:szCs w:val="24"/>
                <w:highlight w:val="none"/>
                <w:lang w:eastAsia="zh-CN"/>
              </w:rPr>
              <w:t>防滑地砖</w:t>
            </w:r>
          </w:p>
        </w:tc>
        <w:tc>
          <w:tcPr>
            <w:tcW w:w="742" w:type="pct"/>
            <w:tcBorders>
              <w:top w:val="single" w:color="auto" w:sz="2" w:space="0"/>
              <w:left w:val="single" w:color="auto" w:sz="2" w:space="0"/>
              <w:bottom w:val="single" w:color="auto" w:sz="2" w:space="0"/>
              <w:right w:val="single" w:color="auto" w:sz="2" w:space="0"/>
            </w:tcBorders>
            <w:vAlign w:val="center"/>
          </w:tcPr>
          <w:p>
            <w:pPr>
              <w:keepLines w:val="0"/>
              <w:widowControl/>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（尺寸、部位详图识）</w:t>
            </w:r>
          </w:p>
        </w:tc>
        <w:tc>
          <w:tcPr>
            <w:tcW w:w="3080" w:type="pct"/>
            <w:tcBorders>
              <w:top w:val="single" w:color="auto" w:sz="2" w:space="0"/>
              <w:left w:val="single" w:color="auto" w:sz="2" w:space="0"/>
              <w:bottom w:val="single" w:color="auto" w:sz="2" w:space="0"/>
              <w:right w:val="single" w:color="auto" w:sz="12" w:space="0"/>
            </w:tcBorders>
          </w:tcPr>
          <w:p>
            <w:pPr>
              <w:keepLines w:val="0"/>
              <w:widowControl/>
              <w:rPr>
                <w:color w:val="auto"/>
                <w:highlight w:val="none"/>
                <w:lang w:eastAsia="zh-CN"/>
              </w:rPr>
            </w:pPr>
            <w:r>
              <w:rPr>
                <w:rFonts w:hint="eastAsia" w:cs="Times New Roman" w:asciiTheme="minorEastAsia" w:hAnsiTheme="minorEastAsia"/>
                <w:color w:val="auto"/>
                <w:szCs w:val="24"/>
                <w:highlight w:val="none"/>
                <w:lang w:eastAsia="zh-CN"/>
              </w:rPr>
              <w:t>符合设计及国家有关标准、规范、规定，并符合下列要求：</w:t>
            </w:r>
          </w:p>
          <w:p>
            <w:pPr>
              <w:keepLines w:val="0"/>
              <w:numPr>
                <w:ilvl w:val="0"/>
                <w:numId w:val="86"/>
              </w:numPr>
              <w:rPr>
                <w:color w:val="auto"/>
                <w:highlight w:val="none"/>
                <w:lang w:eastAsia="zh-CN"/>
              </w:rPr>
            </w:pPr>
            <w:r>
              <w:rPr>
                <w:rFonts w:hint="eastAsia"/>
                <w:color w:val="auto"/>
                <w:highlight w:val="none"/>
                <w:lang w:eastAsia="zh-CN"/>
              </w:rPr>
              <w:t>应选用强度高、耐磨性好的干压法成型砖，符合国标优等品要求，符合环保要求，各项质量指标符合国家规范要求，规格按设计要求。</w:t>
            </w:r>
          </w:p>
          <w:p>
            <w:pPr>
              <w:keepLines w:val="0"/>
              <w:numPr>
                <w:ilvl w:val="0"/>
                <w:numId w:val="86"/>
              </w:numPr>
              <w:rPr>
                <w:color w:val="auto"/>
                <w:highlight w:val="none"/>
                <w:lang w:eastAsia="zh-CN"/>
              </w:rPr>
            </w:pPr>
            <w:r>
              <w:rPr>
                <w:rFonts w:hint="eastAsia"/>
                <w:color w:val="auto"/>
                <w:highlight w:val="none"/>
                <w:lang w:eastAsia="zh-CN"/>
              </w:rPr>
              <w:t>吸水率：平均值10%≤E≤20%</w:t>
            </w:r>
          </w:p>
          <w:p>
            <w:pPr>
              <w:keepLines w:val="0"/>
              <w:numPr>
                <w:ilvl w:val="0"/>
                <w:numId w:val="86"/>
              </w:numPr>
              <w:rPr>
                <w:color w:val="auto"/>
                <w:highlight w:val="none"/>
                <w:lang w:eastAsia="zh-CN"/>
              </w:rPr>
            </w:pPr>
            <w:r>
              <w:rPr>
                <w:rFonts w:hint="eastAsia"/>
                <w:color w:val="auto"/>
                <w:highlight w:val="none"/>
                <w:lang w:eastAsia="zh-CN"/>
              </w:rPr>
              <w:t>破坏强度：≥800N</w:t>
            </w:r>
          </w:p>
          <w:p>
            <w:pPr>
              <w:keepLines w:val="0"/>
              <w:numPr>
                <w:ilvl w:val="0"/>
                <w:numId w:val="86"/>
              </w:numPr>
              <w:rPr>
                <w:color w:val="auto"/>
                <w:highlight w:val="none"/>
                <w:lang w:eastAsia="zh-CN"/>
              </w:rPr>
            </w:pPr>
            <w:r>
              <w:rPr>
                <w:rFonts w:hint="eastAsia"/>
                <w:color w:val="auto"/>
                <w:highlight w:val="none"/>
                <w:lang w:eastAsia="zh-CN"/>
              </w:rPr>
              <w:t>断裂模数：≥12Mpa</w:t>
            </w:r>
          </w:p>
          <w:p>
            <w:pPr>
              <w:keepLines w:val="0"/>
              <w:numPr>
                <w:ilvl w:val="0"/>
                <w:numId w:val="86"/>
              </w:numPr>
              <w:rPr>
                <w:color w:val="auto"/>
                <w:highlight w:val="none"/>
                <w:lang w:eastAsia="zh-CN"/>
              </w:rPr>
            </w:pPr>
            <w:r>
              <w:rPr>
                <w:rFonts w:hint="eastAsia"/>
                <w:color w:val="auto"/>
                <w:highlight w:val="none"/>
                <w:lang w:eastAsia="zh-CN"/>
              </w:rPr>
              <w:t>抗热震性：经10次抗震性试验不出现炸裂或裂纹</w:t>
            </w:r>
          </w:p>
          <w:p>
            <w:pPr>
              <w:keepLines w:val="0"/>
              <w:numPr>
                <w:ilvl w:val="0"/>
                <w:numId w:val="86"/>
              </w:numPr>
              <w:rPr>
                <w:color w:val="auto"/>
                <w:highlight w:val="none"/>
                <w:lang w:eastAsia="zh-CN"/>
              </w:rPr>
            </w:pPr>
            <w:r>
              <w:rPr>
                <w:rFonts w:hint="eastAsia"/>
                <w:color w:val="auto"/>
                <w:highlight w:val="none"/>
                <w:lang w:eastAsia="zh-CN"/>
              </w:rPr>
              <w:t>耐污染性经试验后不低于3级</w:t>
            </w:r>
          </w:p>
          <w:p>
            <w:pPr>
              <w:keepLines w:val="0"/>
              <w:numPr>
                <w:ilvl w:val="0"/>
                <w:numId w:val="86"/>
              </w:numPr>
              <w:rPr>
                <w:color w:val="auto"/>
                <w:highlight w:val="none"/>
                <w:lang w:eastAsia="zh-CN"/>
              </w:rPr>
            </w:pPr>
            <w:r>
              <w:rPr>
                <w:rFonts w:hint="eastAsia"/>
                <w:color w:val="auto"/>
                <w:highlight w:val="none"/>
                <w:lang w:eastAsia="zh-CN"/>
              </w:rPr>
              <w:t>耐酸性：通过国家检验标准</w:t>
            </w:r>
          </w:p>
          <w:p>
            <w:pPr>
              <w:keepLines w:val="0"/>
              <w:numPr>
                <w:ilvl w:val="0"/>
                <w:numId w:val="86"/>
              </w:numPr>
              <w:rPr>
                <w:color w:val="auto"/>
                <w:highlight w:val="none"/>
                <w:lang w:eastAsia="zh-CN"/>
              </w:rPr>
            </w:pPr>
            <w:r>
              <w:rPr>
                <w:rFonts w:hint="eastAsia"/>
                <w:color w:val="auto"/>
                <w:highlight w:val="none"/>
                <w:lang w:eastAsia="zh-CN"/>
              </w:rPr>
              <w:t>耐碱性：通过国家检验标准</w:t>
            </w:r>
          </w:p>
          <w:p>
            <w:pPr>
              <w:keepLines w:val="0"/>
              <w:numPr>
                <w:ilvl w:val="0"/>
                <w:numId w:val="86"/>
              </w:numPr>
              <w:rPr>
                <w:color w:val="auto"/>
                <w:highlight w:val="none"/>
                <w:lang w:eastAsia="zh-CN"/>
              </w:rPr>
            </w:pPr>
            <w:r>
              <w:rPr>
                <w:rFonts w:hint="eastAsia"/>
                <w:color w:val="auto"/>
                <w:highlight w:val="none"/>
                <w:lang w:eastAsia="zh-CN"/>
              </w:rPr>
              <w:t>中国3C产品认证产品</w:t>
            </w:r>
          </w:p>
          <w:p>
            <w:pPr>
              <w:keepLines w:val="0"/>
              <w:numPr>
                <w:ilvl w:val="0"/>
                <w:numId w:val="86"/>
              </w:numPr>
              <w:rPr>
                <w:color w:val="auto"/>
                <w:highlight w:val="none"/>
                <w:lang w:eastAsia="zh-CN"/>
              </w:rPr>
            </w:pPr>
            <w:r>
              <w:rPr>
                <w:rFonts w:hint="eastAsia"/>
                <w:color w:val="auto"/>
                <w:highlight w:val="none"/>
                <w:lang w:eastAsia="zh-CN"/>
              </w:rPr>
              <w:t>国家绿色环保产品</w:t>
            </w:r>
          </w:p>
          <w:p>
            <w:pPr>
              <w:keepLines w:val="0"/>
              <w:numPr>
                <w:ilvl w:val="0"/>
                <w:numId w:val="86"/>
              </w:numPr>
              <w:rPr>
                <w:strike/>
                <w:color w:val="auto"/>
                <w:highlight w:val="none"/>
                <w:lang w:eastAsia="zh-CN"/>
              </w:rPr>
            </w:pPr>
            <w:r>
              <w:rPr>
                <w:rFonts w:hint="eastAsia"/>
                <w:strike/>
                <w:color w:val="auto"/>
                <w:highlight w:val="none"/>
                <w:lang w:eastAsia="zh-CN"/>
              </w:rPr>
              <w:t>中国名牌产品</w:t>
            </w:r>
          </w:p>
          <w:p>
            <w:pPr>
              <w:keepLines w:val="0"/>
              <w:widowControl/>
              <w:numPr>
                <w:ilvl w:val="0"/>
                <w:numId w:val="86"/>
              </w:numPr>
              <w:tabs>
                <w:tab w:val="left" w:pos="301"/>
              </w:tabs>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其它按照实物样板标准执行。</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73" w:type="pct"/>
            <w:tcBorders>
              <w:top w:val="single" w:color="auto" w:sz="2" w:space="0"/>
              <w:left w:val="single" w:color="auto" w:sz="12" w:space="0"/>
              <w:bottom w:val="single" w:color="auto" w:sz="2" w:space="0"/>
              <w:right w:val="single" w:color="auto" w:sz="2" w:space="0"/>
            </w:tcBorders>
            <w:vAlign w:val="center"/>
          </w:tcPr>
          <w:p>
            <w:pPr>
              <w:keepLines w:val="0"/>
              <w:widowControl/>
              <w:jc w:val="center"/>
              <w:rPr>
                <w:rFonts w:cs="Times New Roman" w:asciiTheme="minorEastAsia" w:hAnsiTheme="minorEastAsia"/>
                <w:color w:val="auto"/>
                <w:szCs w:val="24"/>
                <w:highlight w:val="none"/>
              </w:rPr>
            </w:pPr>
            <w:r>
              <w:rPr>
                <w:rFonts w:cs="Times New Roman" w:asciiTheme="minorEastAsia" w:hAnsiTheme="minorEastAsia"/>
                <w:color w:val="auto"/>
                <w:szCs w:val="24"/>
                <w:highlight w:val="none"/>
                <w:lang w:eastAsia="zh-CN"/>
              </w:rPr>
              <w:t>7</w:t>
            </w:r>
          </w:p>
        </w:tc>
        <w:tc>
          <w:tcPr>
            <w:tcW w:w="705" w:type="pct"/>
            <w:tcBorders>
              <w:top w:val="single" w:color="auto" w:sz="2" w:space="0"/>
              <w:left w:val="single" w:color="auto" w:sz="2" w:space="0"/>
              <w:bottom w:val="single" w:color="auto" w:sz="2" w:space="0"/>
              <w:right w:val="single" w:color="auto" w:sz="2" w:space="0"/>
            </w:tcBorders>
            <w:vAlign w:val="center"/>
          </w:tcPr>
          <w:p>
            <w:pPr>
              <w:keepLines w:val="0"/>
              <w:widowControl/>
              <w:jc w:val="center"/>
              <w:rPr>
                <w:rFonts w:cs="Times New Roman" w:asciiTheme="minorEastAsia" w:hAnsiTheme="minorEastAsia"/>
                <w:color w:val="auto"/>
                <w:szCs w:val="24"/>
                <w:highlight w:val="none"/>
              </w:rPr>
            </w:pPr>
            <w:r>
              <w:rPr>
                <w:rFonts w:hint="eastAsia" w:cs="Times New Roman" w:asciiTheme="minorEastAsia" w:hAnsiTheme="minorEastAsia"/>
                <w:color w:val="auto"/>
                <w:szCs w:val="24"/>
                <w:highlight w:val="none"/>
                <w:lang w:eastAsia="zh-CN"/>
              </w:rPr>
              <w:t>釉面砖</w:t>
            </w:r>
          </w:p>
        </w:tc>
        <w:tc>
          <w:tcPr>
            <w:tcW w:w="742" w:type="pct"/>
            <w:tcBorders>
              <w:top w:val="single" w:color="auto" w:sz="2" w:space="0"/>
              <w:left w:val="single" w:color="auto" w:sz="2" w:space="0"/>
              <w:bottom w:val="single" w:color="auto" w:sz="2" w:space="0"/>
              <w:right w:val="single" w:color="auto" w:sz="2" w:space="0"/>
            </w:tcBorders>
            <w:vAlign w:val="center"/>
          </w:tcPr>
          <w:p>
            <w:pPr>
              <w:keepLines w:val="0"/>
              <w:widowControl/>
              <w:rPr>
                <w:rFonts w:cs="Times New Roman" w:asciiTheme="minorEastAsia" w:hAnsiTheme="minorEastAsia"/>
                <w:color w:val="auto"/>
                <w:szCs w:val="24"/>
                <w:highlight w:val="none"/>
              </w:rPr>
            </w:pPr>
            <w:r>
              <w:rPr>
                <w:rFonts w:hint="eastAsia" w:cs="Times New Roman" w:asciiTheme="minorEastAsia" w:hAnsiTheme="minorEastAsia"/>
                <w:color w:val="auto"/>
                <w:szCs w:val="24"/>
                <w:highlight w:val="none"/>
                <w:lang w:eastAsia="zh-CN"/>
              </w:rPr>
              <w:t>墙面</w:t>
            </w:r>
          </w:p>
        </w:tc>
        <w:tc>
          <w:tcPr>
            <w:tcW w:w="3080" w:type="pct"/>
            <w:tcBorders>
              <w:top w:val="single" w:color="auto" w:sz="2" w:space="0"/>
              <w:left w:val="single" w:color="auto" w:sz="2" w:space="0"/>
              <w:bottom w:val="single" w:color="auto" w:sz="2" w:space="0"/>
              <w:right w:val="single" w:color="auto" w:sz="12" w:space="0"/>
            </w:tcBorders>
          </w:tcPr>
          <w:p>
            <w:pPr>
              <w:keepLines w:val="0"/>
              <w:widowControl/>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符合设计及国家有关标准、规范、规定，并符合下列要求：</w:t>
            </w:r>
          </w:p>
          <w:p>
            <w:pPr>
              <w:keepLines w:val="0"/>
              <w:numPr>
                <w:ilvl w:val="0"/>
                <w:numId w:val="87"/>
              </w:numPr>
              <w:rPr>
                <w:color w:val="auto"/>
                <w:highlight w:val="none"/>
                <w:lang w:eastAsia="zh-CN"/>
              </w:rPr>
            </w:pPr>
            <w:r>
              <w:rPr>
                <w:rFonts w:hint="eastAsia"/>
                <w:color w:val="auto"/>
                <w:highlight w:val="none"/>
                <w:lang w:eastAsia="zh-CN"/>
              </w:rPr>
              <w:t>应选用抗热震性、抗釉裂性能好的亚面砖，符合国标优等品要求，并应符合环保要求，规格按设计要求。</w:t>
            </w:r>
          </w:p>
          <w:p>
            <w:pPr>
              <w:keepLines w:val="0"/>
              <w:numPr>
                <w:ilvl w:val="0"/>
                <w:numId w:val="87"/>
              </w:numPr>
              <w:rPr>
                <w:color w:val="auto"/>
                <w:highlight w:val="none"/>
                <w:lang w:eastAsia="zh-CN"/>
              </w:rPr>
            </w:pPr>
            <w:r>
              <w:rPr>
                <w:rFonts w:hint="eastAsia"/>
                <w:color w:val="auto"/>
                <w:highlight w:val="none"/>
                <w:lang w:eastAsia="zh-CN"/>
              </w:rPr>
              <w:t>长度和宽度   ±0.5%</w:t>
            </w:r>
          </w:p>
          <w:p>
            <w:pPr>
              <w:keepLines w:val="0"/>
              <w:numPr>
                <w:ilvl w:val="0"/>
                <w:numId w:val="87"/>
              </w:numPr>
              <w:rPr>
                <w:color w:val="auto"/>
                <w:highlight w:val="none"/>
                <w:lang w:eastAsia="zh-CN"/>
              </w:rPr>
            </w:pPr>
            <w:r>
              <w:rPr>
                <w:rFonts w:hint="eastAsia"/>
                <w:color w:val="auto"/>
                <w:highlight w:val="none"/>
                <w:lang w:eastAsia="zh-CN"/>
              </w:rPr>
              <w:t>厚度   ±10%</w:t>
            </w:r>
          </w:p>
          <w:p>
            <w:pPr>
              <w:keepLines w:val="0"/>
              <w:numPr>
                <w:ilvl w:val="0"/>
                <w:numId w:val="87"/>
              </w:numPr>
              <w:rPr>
                <w:color w:val="auto"/>
                <w:highlight w:val="none"/>
                <w:lang w:eastAsia="zh-CN"/>
              </w:rPr>
            </w:pPr>
            <w:r>
              <w:rPr>
                <w:rFonts w:hint="eastAsia"/>
                <w:color w:val="auto"/>
                <w:highlight w:val="none"/>
                <w:lang w:eastAsia="zh-CN"/>
              </w:rPr>
              <w:t>表面平整度   ±0.4%-±0.2%</w:t>
            </w:r>
          </w:p>
          <w:p>
            <w:pPr>
              <w:keepLines w:val="0"/>
              <w:numPr>
                <w:ilvl w:val="0"/>
                <w:numId w:val="87"/>
              </w:numPr>
              <w:rPr>
                <w:color w:val="auto"/>
                <w:highlight w:val="none"/>
                <w:lang w:eastAsia="zh-CN"/>
              </w:rPr>
            </w:pPr>
            <w:r>
              <w:rPr>
                <w:rFonts w:hint="eastAsia"/>
                <w:color w:val="auto"/>
                <w:highlight w:val="none"/>
                <w:lang w:eastAsia="zh-CN"/>
              </w:rPr>
              <w:t>边直度   ±0.2%</w:t>
            </w:r>
          </w:p>
          <w:p>
            <w:pPr>
              <w:keepLines w:val="0"/>
              <w:numPr>
                <w:ilvl w:val="0"/>
                <w:numId w:val="87"/>
              </w:numPr>
              <w:rPr>
                <w:color w:val="auto"/>
                <w:highlight w:val="none"/>
                <w:lang w:eastAsia="zh-CN"/>
              </w:rPr>
            </w:pPr>
            <w:r>
              <w:rPr>
                <w:rFonts w:hint="eastAsia"/>
                <w:color w:val="auto"/>
                <w:highlight w:val="none"/>
                <w:lang w:eastAsia="zh-CN"/>
              </w:rPr>
              <w:t>直角度   ±0.3%</w:t>
            </w:r>
          </w:p>
          <w:p>
            <w:pPr>
              <w:keepLines w:val="0"/>
              <w:numPr>
                <w:ilvl w:val="0"/>
                <w:numId w:val="87"/>
              </w:numPr>
              <w:rPr>
                <w:color w:val="auto"/>
                <w:highlight w:val="none"/>
                <w:lang w:eastAsia="zh-CN"/>
              </w:rPr>
            </w:pPr>
            <w:r>
              <w:rPr>
                <w:rFonts w:hint="eastAsia"/>
                <w:color w:val="auto"/>
                <w:highlight w:val="none"/>
                <w:lang w:eastAsia="zh-CN"/>
              </w:rPr>
              <w:t>吸水率   10%E&lt;18%</w:t>
            </w:r>
          </w:p>
          <w:p>
            <w:pPr>
              <w:keepLines w:val="0"/>
              <w:numPr>
                <w:ilvl w:val="0"/>
                <w:numId w:val="87"/>
              </w:numPr>
              <w:rPr>
                <w:color w:val="auto"/>
                <w:highlight w:val="none"/>
                <w:lang w:eastAsia="zh-CN"/>
              </w:rPr>
            </w:pPr>
            <w:r>
              <w:rPr>
                <w:rFonts w:hint="eastAsia"/>
                <w:color w:val="auto"/>
                <w:highlight w:val="none"/>
                <w:lang w:eastAsia="zh-CN"/>
              </w:rPr>
              <w:t>抗热震性经十次抗热震性试验不出现炸裂和裂纹</w:t>
            </w:r>
          </w:p>
          <w:p>
            <w:pPr>
              <w:keepLines w:val="0"/>
              <w:numPr>
                <w:ilvl w:val="0"/>
                <w:numId w:val="87"/>
              </w:numPr>
              <w:rPr>
                <w:color w:val="auto"/>
                <w:highlight w:val="none"/>
                <w:lang w:eastAsia="zh-CN"/>
              </w:rPr>
            </w:pPr>
            <w:r>
              <w:rPr>
                <w:rFonts w:hint="eastAsia"/>
                <w:color w:val="auto"/>
                <w:highlight w:val="none"/>
                <w:lang w:eastAsia="zh-CN"/>
              </w:rPr>
              <w:t>经抗釉裂试验，釉面应无裂纹和剥落</w:t>
            </w:r>
          </w:p>
          <w:p>
            <w:pPr>
              <w:keepLines w:val="0"/>
              <w:numPr>
                <w:ilvl w:val="0"/>
                <w:numId w:val="87"/>
              </w:numPr>
              <w:rPr>
                <w:color w:val="auto"/>
                <w:highlight w:val="none"/>
                <w:lang w:eastAsia="zh-CN"/>
              </w:rPr>
            </w:pPr>
            <w:r>
              <w:rPr>
                <w:rFonts w:hint="eastAsia"/>
                <w:color w:val="auto"/>
                <w:highlight w:val="none"/>
                <w:lang w:eastAsia="zh-CN"/>
              </w:rPr>
              <w:t>铺贴时选用聚合物水泥沙浆湿贴作业</w:t>
            </w:r>
          </w:p>
          <w:p>
            <w:pPr>
              <w:keepLines w:val="0"/>
              <w:numPr>
                <w:ilvl w:val="0"/>
                <w:numId w:val="87"/>
              </w:numPr>
              <w:rPr>
                <w:color w:val="auto"/>
                <w:highlight w:val="none"/>
                <w:lang w:eastAsia="zh-CN"/>
              </w:rPr>
            </w:pPr>
            <w:r>
              <w:rPr>
                <w:rFonts w:hint="eastAsia"/>
                <w:color w:val="auto"/>
                <w:highlight w:val="none"/>
                <w:lang w:eastAsia="zh-CN"/>
              </w:rPr>
              <w:t>中国3C产品认</w:t>
            </w:r>
          </w:p>
          <w:p>
            <w:pPr>
              <w:keepLines w:val="0"/>
              <w:numPr>
                <w:ilvl w:val="0"/>
                <w:numId w:val="87"/>
              </w:numPr>
              <w:rPr>
                <w:color w:val="auto"/>
                <w:highlight w:val="none"/>
                <w:lang w:eastAsia="zh-CN"/>
              </w:rPr>
            </w:pPr>
            <w:r>
              <w:rPr>
                <w:rFonts w:hint="eastAsia"/>
                <w:color w:val="auto"/>
                <w:highlight w:val="none"/>
                <w:lang w:eastAsia="zh-CN"/>
              </w:rPr>
              <w:t>国家绿色环保产品</w:t>
            </w:r>
          </w:p>
          <w:p>
            <w:pPr>
              <w:keepLines w:val="0"/>
              <w:numPr>
                <w:ilvl w:val="0"/>
                <w:numId w:val="87"/>
              </w:numPr>
              <w:rPr>
                <w:color w:val="auto"/>
                <w:highlight w:val="none"/>
                <w:lang w:eastAsia="zh-CN"/>
              </w:rPr>
            </w:pPr>
            <w:r>
              <w:rPr>
                <w:rFonts w:hint="eastAsia"/>
                <w:color w:val="auto"/>
                <w:highlight w:val="none"/>
                <w:lang w:eastAsia="zh-CN"/>
              </w:rPr>
              <w:t>各项质量指标符合国家规范要求。</w:t>
            </w:r>
          </w:p>
          <w:p>
            <w:pPr>
              <w:keepLines w:val="0"/>
              <w:widowControl/>
              <w:numPr>
                <w:ilvl w:val="0"/>
                <w:numId w:val="87"/>
              </w:numPr>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其它按照实物样板标准执行。</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73" w:type="pct"/>
            <w:tcBorders>
              <w:top w:val="single" w:color="auto" w:sz="2" w:space="0"/>
              <w:left w:val="single" w:color="auto" w:sz="12" w:space="0"/>
              <w:bottom w:val="single" w:color="auto" w:sz="2" w:space="0"/>
              <w:right w:val="single" w:color="auto" w:sz="2" w:space="0"/>
            </w:tcBorders>
            <w:vAlign w:val="center"/>
          </w:tcPr>
          <w:p>
            <w:pPr>
              <w:keepLines w:val="0"/>
              <w:widowControl/>
              <w:jc w:val="center"/>
              <w:rPr>
                <w:rFonts w:cs="Times New Roman" w:asciiTheme="minorEastAsia" w:hAnsiTheme="minorEastAsia"/>
                <w:color w:val="auto"/>
                <w:szCs w:val="24"/>
                <w:highlight w:val="none"/>
              </w:rPr>
            </w:pPr>
            <w:r>
              <w:rPr>
                <w:rFonts w:cs="Times New Roman" w:asciiTheme="minorEastAsia" w:hAnsiTheme="minorEastAsia"/>
                <w:color w:val="auto"/>
                <w:szCs w:val="24"/>
                <w:highlight w:val="none"/>
                <w:lang w:eastAsia="zh-CN"/>
              </w:rPr>
              <w:t>8</w:t>
            </w:r>
          </w:p>
        </w:tc>
        <w:tc>
          <w:tcPr>
            <w:tcW w:w="705" w:type="pct"/>
            <w:tcBorders>
              <w:top w:val="single" w:color="auto" w:sz="2" w:space="0"/>
              <w:left w:val="single" w:color="auto" w:sz="2" w:space="0"/>
              <w:bottom w:val="single" w:color="auto" w:sz="2" w:space="0"/>
              <w:right w:val="single" w:color="auto" w:sz="2" w:space="0"/>
            </w:tcBorders>
            <w:vAlign w:val="center"/>
          </w:tcPr>
          <w:p>
            <w:pPr>
              <w:keepLines w:val="0"/>
              <w:widowControl/>
              <w:jc w:val="center"/>
              <w:rPr>
                <w:rFonts w:cs="Times New Roman" w:asciiTheme="minorEastAsia" w:hAnsiTheme="minorEastAsia"/>
                <w:color w:val="auto"/>
                <w:szCs w:val="24"/>
                <w:highlight w:val="none"/>
              </w:rPr>
            </w:pPr>
            <w:r>
              <w:rPr>
                <w:rFonts w:hint="eastAsia" w:cs="Times New Roman" w:asciiTheme="minorEastAsia" w:hAnsiTheme="minorEastAsia"/>
                <w:color w:val="auto"/>
                <w:szCs w:val="24"/>
                <w:highlight w:val="none"/>
                <w:lang w:eastAsia="zh-CN"/>
              </w:rPr>
              <w:t>成品木门</w:t>
            </w:r>
          </w:p>
        </w:tc>
        <w:tc>
          <w:tcPr>
            <w:tcW w:w="742" w:type="pct"/>
            <w:tcBorders>
              <w:top w:val="single" w:color="auto" w:sz="2" w:space="0"/>
              <w:left w:val="single" w:color="auto" w:sz="2" w:space="0"/>
              <w:bottom w:val="single" w:color="auto" w:sz="2" w:space="0"/>
              <w:right w:val="single" w:color="auto" w:sz="2" w:space="0"/>
            </w:tcBorders>
            <w:vAlign w:val="center"/>
          </w:tcPr>
          <w:p>
            <w:pPr>
              <w:keepLines w:val="0"/>
              <w:widowControl/>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所有需要安装成品木门的房间</w:t>
            </w:r>
          </w:p>
        </w:tc>
        <w:tc>
          <w:tcPr>
            <w:tcW w:w="3080" w:type="pct"/>
            <w:tcBorders>
              <w:top w:val="single" w:color="auto" w:sz="2" w:space="0"/>
              <w:left w:val="single" w:color="auto" w:sz="2" w:space="0"/>
              <w:bottom w:val="single" w:color="auto" w:sz="2" w:space="0"/>
              <w:right w:val="single" w:color="auto" w:sz="12" w:space="0"/>
            </w:tcBorders>
            <w:vAlign w:val="center"/>
          </w:tcPr>
          <w:p>
            <w:pPr>
              <w:keepLines w:val="0"/>
              <w:widowControl/>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符合设计要求及国家《建筑木门、木窗》规范和标准，并符合实物样板的技术要求和设计要求。</w:t>
            </w:r>
          </w:p>
          <w:p>
            <w:pPr>
              <w:keepLines w:val="0"/>
              <w:widowControl/>
              <w:numPr>
                <w:ilvl w:val="0"/>
                <w:numId w:val="88"/>
              </w:numPr>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木材：使用的木材，材质无腐朽、无死节、无</w:t>
            </w:r>
            <w:r>
              <w:rPr>
                <w:rFonts w:cs="Times New Roman" w:asciiTheme="minorEastAsia" w:hAnsiTheme="minorEastAsia"/>
                <w:color w:val="auto"/>
                <w:szCs w:val="24"/>
                <w:highlight w:val="none"/>
                <w:lang w:eastAsia="zh-CN"/>
              </w:rPr>
              <w:t>2</w:t>
            </w:r>
            <w:r>
              <w:rPr>
                <w:rFonts w:hint="eastAsia" w:cs="Times New Roman" w:asciiTheme="minorEastAsia" w:hAnsiTheme="minorEastAsia"/>
                <w:color w:val="auto"/>
                <w:szCs w:val="24"/>
                <w:highlight w:val="none"/>
                <w:lang w:eastAsia="zh-CN"/>
              </w:rPr>
              <w:t>㎜以上开裂、无严重色变，门框须采用硬杂木；</w:t>
            </w:r>
          </w:p>
          <w:p>
            <w:pPr>
              <w:keepLines w:val="0"/>
              <w:widowControl/>
              <w:numPr>
                <w:ilvl w:val="0"/>
                <w:numId w:val="88"/>
              </w:numPr>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板材</w:t>
            </w:r>
            <w:r>
              <w:rPr>
                <w:rFonts w:cs="Times New Roman" w:asciiTheme="minorEastAsia" w:hAnsiTheme="minorEastAsia"/>
                <w:color w:val="auto"/>
                <w:szCs w:val="24"/>
                <w:highlight w:val="none"/>
                <w:lang w:eastAsia="zh-CN"/>
              </w:rPr>
              <w:t xml:space="preserve"> </w:t>
            </w:r>
            <w:r>
              <w:rPr>
                <w:rFonts w:hint="eastAsia" w:cs="Times New Roman" w:asciiTheme="minorEastAsia" w:hAnsiTheme="minorEastAsia"/>
                <w:color w:val="auto"/>
                <w:szCs w:val="24"/>
                <w:highlight w:val="none"/>
                <w:lang w:eastAsia="zh-CN"/>
              </w:rPr>
              <w:t>采用</w:t>
            </w:r>
            <w:r>
              <w:rPr>
                <w:rFonts w:cs="Times New Roman" w:asciiTheme="minorEastAsia" w:hAnsiTheme="minorEastAsia"/>
                <w:color w:val="auto"/>
                <w:szCs w:val="24"/>
                <w:highlight w:val="none"/>
                <w:lang w:eastAsia="zh-CN"/>
              </w:rPr>
              <w:t>II</w:t>
            </w:r>
            <w:r>
              <w:rPr>
                <w:rFonts w:hint="eastAsia" w:cs="Times New Roman" w:asciiTheme="minorEastAsia" w:hAnsiTheme="minorEastAsia"/>
                <w:color w:val="auto"/>
                <w:szCs w:val="24"/>
                <w:highlight w:val="none"/>
                <w:lang w:eastAsia="zh-CN"/>
              </w:rPr>
              <w:t>级防水板材，达到</w:t>
            </w:r>
            <w:r>
              <w:rPr>
                <w:rFonts w:cs="Times New Roman" w:asciiTheme="minorEastAsia" w:hAnsiTheme="minorEastAsia"/>
                <w:color w:val="auto"/>
                <w:szCs w:val="24"/>
                <w:highlight w:val="none"/>
                <w:lang w:eastAsia="zh-CN"/>
              </w:rPr>
              <w:t>E0</w:t>
            </w:r>
            <w:r>
              <w:rPr>
                <w:rFonts w:hint="eastAsia" w:cs="Times New Roman" w:asciiTheme="minorEastAsia" w:hAnsiTheme="minorEastAsia"/>
                <w:color w:val="auto"/>
                <w:szCs w:val="24"/>
                <w:highlight w:val="none"/>
                <w:lang w:eastAsia="zh-CN"/>
              </w:rPr>
              <w:t>级环保要求；</w:t>
            </w:r>
          </w:p>
          <w:p>
            <w:pPr>
              <w:keepLines w:val="0"/>
              <w:widowControl/>
              <w:numPr>
                <w:ilvl w:val="0"/>
                <w:numId w:val="88"/>
              </w:numPr>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含水率：使用木材、板材含水率为</w:t>
            </w:r>
            <w:r>
              <w:rPr>
                <w:rFonts w:cs="Times New Roman" w:asciiTheme="minorEastAsia" w:hAnsiTheme="minorEastAsia"/>
                <w:color w:val="auto"/>
                <w:szCs w:val="24"/>
                <w:highlight w:val="none"/>
                <w:lang w:eastAsia="zh-CN"/>
              </w:rPr>
              <w:t>10%-14%</w:t>
            </w:r>
            <w:r>
              <w:rPr>
                <w:rFonts w:hint="eastAsia" w:cs="Times New Roman" w:asciiTheme="minorEastAsia" w:hAnsiTheme="minorEastAsia"/>
                <w:color w:val="auto"/>
                <w:szCs w:val="24"/>
                <w:highlight w:val="none"/>
                <w:lang w:eastAsia="zh-CN"/>
              </w:rPr>
              <w:t>，适合广东地区平衡湿度</w:t>
            </w:r>
          </w:p>
          <w:p>
            <w:pPr>
              <w:keepLines w:val="0"/>
              <w:widowControl/>
              <w:numPr>
                <w:ilvl w:val="0"/>
                <w:numId w:val="88"/>
              </w:numPr>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油漆：采用</w:t>
            </w:r>
            <w:r>
              <w:rPr>
                <w:rFonts w:cs="Times New Roman" w:asciiTheme="minorEastAsia" w:hAnsiTheme="minorEastAsia"/>
                <w:color w:val="auto"/>
                <w:szCs w:val="24"/>
                <w:highlight w:val="none"/>
                <w:lang w:eastAsia="zh-CN"/>
              </w:rPr>
              <w:t>PU</w:t>
            </w:r>
            <w:r>
              <w:rPr>
                <w:rFonts w:hint="eastAsia" w:cs="Times New Roman" w:asciiTheme="minorEastAsia" w:hAnsiTheme="minorEastAsia"/>
                <w:color w:val="auto"/>
                <w:szCs w:val="24"/>
                <w:highlight w:val="none"/>
                <w:lang w:eastAsia="zh-CN"/>
              </w:rPr>
              <w:t>水性环保漆（不饱和聚酯油漆），</w:t>
            </w:r>
            <w:r>
              <w:rPr>
                <w:rFonts w:cs="Times New Roman" w:asciiTheme="minorEastAsia" w:hAnsiTheme="minorEastAsia"/>
                <w:color w:val="auto"/>
                <w:szCs w:val="24"/>
                <w:highlight w:val="none"/>
                <w:lang w:eastAsia="zh-CN"/>
              </w:rPr>
              <w:t>3</w:t>
            </w:r>
            <w:r>
              <w:rPr>
                <w:rFonts w:hint="eastAsia" w:cs="Times New Roman" w:asciiTheme="minorEastAsia" w:hAnsiTheme="minorEastAsia"/>
                <w:color w:val="auto"/>
                <w:szCs w:val="24"/>
                <w:highlight w:val="none"/>
                <w:lang w:eastAsia="zh-CN"/>
              </w:rPr>
              <w:t>道底漆、</w:t>
            </w:r>
            <w:r>
              <w:rPr>
                <w:rFonts w:cs="Times New Roman" w:asciiTheme="minorEastAsia" w:hAnsiTheme="minorEastAsia"/>
                <w:color w:val="auto"/>
                <w:szCs w:val="24"/>
                <w:highlight w:val="none"/>
                <w:lang w:eastAsia="zh-CN"/>
              </w:rPr>
              <w:t>2</w:t>
            </w:r>
            <w:r>
              <w:rPr>
                <w:rFonts w:hint="eastAsia" w:cs="Times New Roman" w:asciiTheme="minorEastAsia" w:hAnsiTheme="minorEastAsia"/>
                <w:color w:val="auto"/>
                <w:szCs w:val="24"/>
                <w:highlight w:val="none"/>
                <w:lang w:eastAsia="zh-CN"/>
              </w:rPr>
              <w:t>道面漆；外观指标达到高级标准</w:t>
            </w:r>
          </w:p>
          <w:p>
            <w:pPr>
              <w:keepLines w:val="0"/>
              <w:widowControl/>
              <w:numPr>
                <w:ilvl w:val="0"/>
                <w:numId w:val="88"/>
              </w:numPr>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胶水：采用</w:t>
            </w:r>
            <w:r>
              <w:rPr>
                <w:rFonts w:cs="Times New Roman" w:asciiTheme="minorEastAsia" w:hAnsiTheme="minorEastAsia"/>
                <w:color w:val="auto"/>
                <w:szCs w:val="24"/>
                <w:highlight w:val="none"/>
                <w:lang w:eastAsia="zh-CN"/>
              </w:rPr>
              <w:t>D4</w:t>
            </w:r>
            <w:r>
              <w:rPr>
                <w:rFonts w:hint="eastAsia" w:cs="Times New Roman" w:asciiTheme="minorEastAsia" w:hAnsiTheme="minorEastAsia"/>
                <w:color w:val="auto"/>
                <w:szCs w:val="24"/>
                <w:highlight w:val="none"/>
                <w:lang w:eastAsia="zh-CN"/>
              </w:rPr>
              <w:t>双组份防水木工环保胶；</w:t>
            </w:r>
          </w:p>
          <w:p>
            <w:pPr>
              <w:keepLines w:val="0"/>
              <w:widowControl/>
              <w:numPr>
                <w:ilvl w:val="0"/>
                <w:numId w:val="88"/>
              </w:numPr>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工艺结构</w:t>
            </w:r>
          </w:p>
          <w:p>
            <w:pPr>
              <w:keepLines w:val="0"/>
              <w:numPr>
                <w:ilvl w:val="0"/>
                <w:numId w:val="89"/>
              </w:numPr>
              <w:rPr>
                <w:color w:val="auto"/>
                <w:highlight w:val="none"/>
                <w:lang w:eastAsia="zh-CN"/>
              </w:rPr>
            </w:pPr>
            <w:r>
              <w:rPr>
                <w:rFonts w:hint="eastAsia"/>
                <w:color w:val="auto"/>
                <w:highlight w:val="none"/>
                <w:lang w:eastAsia="zh-CN"/>
              </w:rPr>
              <w:t>拼板：采用无缝拼接技术，拼好的板无胶线，使用欧洲感色带测试拼缝效果</w:t>
            </w:r>
          </w:p>
          <w:p>
            <w:pPr>
              <w:keepLines w:val="0"/>
              <w:numPr>
                <w:ilvl w:val="0"/>
                <w:numId w:val="89"/>
              </w:numPr>
              <w:rPr>
                <w:color w:val="auto"/>
                <w:highlight w:val="none"/>
                <w:lang w:eastAsia="zh-CN"/>
              </w:rPr>
            </w:pPr>
            <w:r>
              <w:rPr>
                <w:rFonts w:hint="eastAsia"/>
                <w:color w:val="auto"/>
                <w:highlight w:val="none"/>
                <w:lang w:eastAsia="zh-CN"/>
              </w:rPr>
              <w:t>组合 采用榫胶结合和钉胶结合二种工艺，榫为∮14㎜加长木榫，采用无锈枪钉</w:t>
            </w:r>
          </w:p>
          <w:p>
            <w:pPr>
              <w:keepLines w:val="0"/>
              <w:numPr>
                <w:ilvl w:val="0"/>
                <w:numId w:val="89"/>
              </w:numPr>
              <w:rPr>
                <w:color w:val="auto"/>
                <w:highlight w:val="none"/>
                <w:lang w:eastAsia="zh-CN"/>
              </w:rPr>
            </w:pPr>
            <w:r>
              <w:rPr>
                <w:rFonts w:hint="eastAsia"/>
                <w:color w:val="auto"/>
                <w:highlight w:val="none"/>
                <w:lang w:eastAsia="zh-CN"/>
              </w:rPr>
              <w:t>防水 采用国内先进的阻水剂，经过6个循环的冷热测试，防水效果优异</w:t>
            </w:r>
          </w:p>
          <w:p>
            <w:pPr>
              <w:keepLines w:val="0"/>
              <w:numPr>
                <w:ilvl w:val="0"/>
                <w:numId w:val="89"/>
              </w:numPr>
              <w:rPr>
                <w:color w:val="auto"/>
                <w:highlight w:val="none"/>
                <w:lang w:eastAsia="zh-CN"/>
              </w:rPr>
            </w:pPr>
            <w:r>
              <w:rPr>
                <w:rFonts w:hint="eastAsia"/>
                <w:color w:val="auto"/>
                <w:highlight w:val="none"/>
                <w:lang w:eastAsia="zh-CN"/>
              </w:rPr>
              <w:t>密封 采用</w:t>
            </w:r>
            <w:r>
              <w:rPr>
                <w:rFonts w:hint="eastAsia"/>
                <w:strike/>
                <w:color w:val="auto"/>
                <w:highlight w:val="none"/>
                <w:lang w:eastAsia="zh-CN"/>
              </w:rPr>
              <w:t>德国</w:t>
            </w:r>
            <w:r>
              <w:rPr>
                <w:rFonts w:hint="eastAsia"/>
                <w:color w:val="auto"/>
                <w:highlight w:val="none"/>
                <w:lang w:eastAsia="zh-CN"/>
              </w:rPr>
              <w:t>高抗环境变异塑胶密封条，密封严密，耐久性能好</w:t>
            </w:r>
          </w:p>
          <w:p>
            <w:pPr>
              <w:keepLines w:val="0"/>
              <w:numPr>
                <w:ilvl w:val="0"/>
                <w:numId w:val="89"/>
              </w:numPr>
              <w:rPr>
                <w:color w:val="auto"/>
                <w:highlight w:val="none"/>
                <w:lang w:eastAsia="zh-CN"/>
              </w:rPr>
            </w:pPr>
            <w:r>
              <w:rPr>
                <w:rFonts w:hint="eastAsia"/>
                <w:color w:val="auto"/>
                <w:highlight w:val="none"/>
                <w:lang w:eastAsia="zh-CN"/>
              </w:rPr>
              <w:t>包装 防震双层保护，PU套角及A=B加强芯五层双坑纸箱保护</w:t>
            </w:r>
          </w:p>
          <w:p>
            <w:pPr>
              <w:keepLines w:val="0"/>
              <w:numPr>
                <w:ilvl w:val="0"/>
                <w:numId w:val="89"/>
              </w:numPr>
              <w:rPr>
                <w:color w:val="auto"/>
                <w:highlight w:val="none"/>
                <w:lang w:eastAsia="zh-CN"/>
              </w:rPr>
            </w:pPr>
            <w:r>
              <w:rPr>
                <w:rFonts w:hint="eastAsia"/>
                <w:color w:val="auto"/>
                <w:highlight w:val="none"/>
                <w:lang w:eastAsia="zh-CN"/>
              </w:rPr>
              <w:t>缝隙 门扇和门框标准间隙为2.5-4㎜；</w:t>
            </w:r>
          </w:p>
          <w:p>
            <w:pPr>
              <w:keepLines w:val="0"/>
              <w:numPr>
                <w:ilvl w:val="0"/>
                <w:numId w:val="89"/>
              </w:numPr>
              <w:rPr>
                <w:color w:val="auto"/>
                <w:highlight w:val="none"/>
                <w:lang w:eastAsia="zh-CN"/>
              </w:rPr>
            </w:pPr>
            <w:r>
              <w:rPr>
                <w:rFonts w:hint="eastAsia"/>
                <w:color w:val="auto"/>
                <w:highlight w:val="none"/>
                <w:lang w:eastAsia="zh-CN"/>
              </w:rPr>
              <w:t>门框 门框和线条采用卡线结构，组合严密，调整由于墙厚误差造成的缺陷</w:t>
            </w:r>
          </w:p>
          <w:p>
            <w:pPr>
              <w:keepLines w:val="0"/>
              <w:numPr>
                <w:ilvl w:val="0"/>
                <w:numId w:val="89"/>
              </w:numPr>
              <w:rPr>
                <w:color w:val="auto"/>
                <w:highlight w:val="none"/>
                <w:lang w:eastAsia="zh-CN"/>
              </w:rPr>
            </w:pPr>
            <w:r>
              <w:rPr>
                <w:rFonts w:hint="eastAsia"/>
                <w:color w:val="auto"/>
                <w:highlight w:val="none"/>
                <w:lang w:eastAsia="zh-CN"/>
              </w:rPr>
              <w:t>变形 采用350集成材工艺，加防变U槽，木门变形率低于0.5‰</w:t>
            </w:r>
          </w:p>
          <w:p>
            <w:pPr>
              <w:keepLines w:val="0"/>
              <w:numPr>
                <w:ilvl w:val="0"/>
                <w:numId w:val="89"/>
              </w:numPr>
              <w:rPr>
                <w:color w:val="auto"/>
                <w:highlight w:val="none"/>
                <w:lang w:eastAsia="zh-CN"/>
              </w:rPr>
            </w:pPr>
            <w:r>
              <w:rPr>
                <w:rFonts w:hint="eastAsia"/>
                <w:color w:val="auto"/>
                <w:highlight w:val="none"/>
                <w:lang w:eastAsia="zh-CN"/>
              </w:rPr>
              <w:t>除湿 生产周期内增加一次窑干平衡处理。</w:t>
            </w:r>
          </w:p>
          <w:p>
            <w:pPr>
              <w:keepLines w:val="0"/>
              <w:numPr>
                <w:ilvl w:val="0"/>
                <w:numId w:val="89"/>
              </w:numPr>
              <w:rPr>
                <w:rFonts w:cs="Times New Roman" w:asciiTheme="minorEastAsia" w:hAnsiTheme="minorEastAsia"/>
                <w:color w:val="auto"/>
                <w:szCs w:val="24"/>
                <w:highlight w:val="none"/>
                <w:lang w:eastAsia="zh-CN"/>
              </w:rPr>
            </w:pPr>
            <w:r>
              <w:rPr>
                <w:rFonts w:hint="eastAsia"/>
                <w:color w:val="auto"/>
                <w:highlight w:val="none"/>
                <w:lang w:eastAsia="zh-CN"/>
              </w:rPr>
              <w:t>其它按照实物样板标准执行。</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73" w:type="pct"/>
            <w:tcBorders>
              <w:top w:val="single" w:color="auto" w:sz="2" w:space="0"/>
              <w:left w:val="single" w:color="auto" w:sz="12" w:space="0"/>
              <w:bottom w:val="single" w:color="auto" w:sz="2" w:space="0"/>
              <w:right w:val="single" w:color="auto" w:sz="2" w:space="0"/>
            </w:tcBorders>
            <w:vAlign w:val="center"/>
          </w:tcPr>
          <w:p>
            <w:pPr>
              <w:keepLines w:val="0"/>
              <w:widowControl/>
              <w:jc w:val="center"/>
              <w:rPr>
                <w:rFonts w:cs="Times New Roman" w:asciiTheme="minorEastAsia" w:hAnsiTheme="minorEastAsia"/>
                <w:color w:val="auto"/>
                <w:szCs w:val="24"/>
                <w:highlight w:val="none"/>
              </w:rPr>
            </w:pPr>
            <w:r>
              <w:rPr>
                <w:rFonts w:cs="Times New Roman" w:asciiTheme="minorEastAsia" w:hAnsiTheme="minorEastAsia"/>
                <w:color w:val="auto"/>
                <w:szCs w:val="24"/>
                <w:highlight w:val="none"/>
                <w:lang w:eastAsia="zh-CN"/>
              </w:rPr>
              <w:t>9</w:t>
            </w:r>
          </w:p>
        </w:tc>
        <w:tc>
          <w:tcPr>
            <w:tcW w:w="705" w:type="pct"/>
            <w:tcBorders>
              <w:top w:val="single" w:color="auto" w:sz="2" w:space="0"/>
              <w:left w:val="single" w:color="auto" w:sz="2" w:space="0"/>
              <w:bottom w:val="single" w:color="auto" w:sz="2" w:space="0"/>
              <w:right w:val="single" w:color="auto" w:sz="2" w:space="0"/>
            </w:tcBorders>
            <w:vAlign w:val="center"/>
          </w:tcPr>
          <w:p>
            <w:pPr>
              <w:keepLines w:val="0"/>
              <w:widowControl/>
              <w:jc w:val="center"/>
              <w:rPr>
                <w:rFonts w:cs="Times New Roman" w:asciiTheme="minorEastAsia" w:hAnsiTheme="minorEastAsia"/>
                <w:color w:val="auto"/>
                <w:szCs w:val="24"/>
                <w:highlight w:val="none"/>
              </w:rPr>
            </w:pPr>
            <w:r>
              <w:rPr>
                <w:rFonts w:hint="eastAsia" w:cs="Times New Roman" w:asciiTheme="minorEastAsia" w:hAnsiTheme="minorEastAsia"/>
                <w:color w:val="auto"/>
                <w:szCs w:val="24"/>
                <w:highlight w:val="none"/>
                <w:lang w:eastAsia="zh-CN"/>
              </w:rPr>
              <w:t>成品木门五金配件</w:t>
            </w:r>
          </w:p>
        </w:tc>
        <w:tc>
          <w:tcPr>
            <w:tcW w:w="742" w:type="pct"/>
            <w:tcBorders>
              <w:top w:val="single" w:color="auto" w:sz="2" w:space="0"/>
              <w:left w:val="single" w:color="auto" w:sz="2" w:space="0"/>
              <w:bottom w:val="single" w:color="auto" w:sz="2" w:space="0"/>
              <w:right w:val="single" w:color="auto" w:sz="2" w:space="0"/>
            </w:tcBorders>
            <w:vAlign w:val="center"/>
          </w:tcPr>
          <w:p>
            <w:pPr>
              <w:keepLines w:val="0"/>
              <w:widowControl/>
              <w:rPr>
                <w:rFonts w:cs="Times New Roman" w:asciiTheme="minorEastAsia" w:hAnsiTheme="minorEastAsia"/>
                <w:color w:val="auto"/>
                <w:szCs w:val="24"/>
                <w:highlight w:val="none"/>
              </w:rPr>
            </w:pPr>
            <w:r>
              <w:rPr>
                <w:rFonts w:hint="eastAsia" w:cs="Times New Roman" w:asciiTheme="minorEastAsia" w:hAnsiTheme="minorEastAsia"/>
                <w:color w:val="auto"/>
                <w:szCs w:val="24"/>
                <w:highlight w:val="none"/>
                <w:lang w:eastAsia="zh-CN"/>
              </w:rPr>
              <w:t>成品木门</w:t>
            </w:r>
          </w:p>
        </w:tc>
        <w:tc>
          <w:tcPr>
            <w:tcW w:w="3080" w:type="pct"/>
            <w:tcBorders>
              <w:top w:val="single" w:color="auto" w:sz="2" w:space="0"/>
              <w:left w:val="single" w:color="auto" w:sz="2" w:space="0"/>
              <w:bottom w:val="single" w:color="auto" w:sz="2" w:space="0"/>
              <w:right w:val="single" w:color="auto" w:sz="12" w:space="0"/>
            </w:tcBorders>
            <w:vAlign w:val="center"/>
          </w:tcPr>
          <w:p>
            <w:pPr>
              <w:keepLines w:val="0"/>
              <w:widowControl/>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符合设计及国家有关标准、规范、规定，并符合下列要求：</w:t>
            </w:r>
          </w:p>
          <w:p>
            <w:pPr>
              <w:keepLines w:val="0"/>
              <w:widowControl/>
              <w:numPr>
                <w:ilvl w:val="0"/>
                <w:numId w:val="90"/>
              </w:numPr>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门把手采用不锈钢把手，在双面</w:t>
            </w:r>
            <w:r>
              <w:rPr>
                <w:rFonts w:cs="Times New Roman" w:asciiTheme="minorEastAsia" w:hAnsiTheme="minorEastAsia"/>
                <w:color w:val="auto"/>
                <w:szCs w:val="24"/>
                <w:highlight w:val="none"/>
                <w:lang w:eastAsia="zh-CN"/>
              </w:rPr>
              <w:t>100N</w:t>
            </w:r>
            <w:r>
              <w:rPr>
                <w:rFonts w:hint="eastAsia" w:cs="Times New Roman" w:asciiTheme="minorEastAsia" w:hAnsiTheme="minorEastAsia"/>
                <w:color w:val="auto"/>
                <w:szCs w:val="24"/>
                <w:highlight w:val="none"/>
                <w:lang w:eastAsia="zh-CN"/>
              </w:rPr>
              <w:t>拉力作用下，</w:t>
            </w:r>
            <w:r>
              <w:rPr>
                <w:rFonts w:cs="Times New Roman" w:asciiTheme="minorEastAsia" w:hAnsiTheme="minorEastAsia"/>
                <w:color w:val="auto"/>
                <w:szCs w:val="24"/>
                <w:highlight w:val="none"/>
                <w:lang w:eastAsia="zh-CN"/>
              </w:rPr>
              <w:t>20</w:t>
            </w:r>
            <w:r>
              <w:rPr>
                <w:rFonts w:hint="eastAsia" w:cs="Times New Roman" w:asciiTheme="minorEastAsia" w:hAnsiTheme="minorEastAsia"/>
                <w:color w:val="auto"/>
                <w:szCs w:val="24"/>
                <w:highlight w:val="none"/>
                <w:lang w:eastAsia="zh-CN"/>
              </w:rPr>
              <w:t>万次开启测试把手偏角不大于</w:t>
            </w:r>
            <w:r>
              <w:rPr>
                <w:rFonts w:cs="Times New Roman" w:asciiTheme="minorEastAsia" w:hAnsiTheme="minorEastAsia"/>
                <w:color w:val="auto"/>
                <w:szCs w:val="24"/>
                <w:highlight w:val="none"/>
                <w:lang w:eastAsia="zh-CN"/>
              </w:rPr>
              <w:t>1</w:t>
            </w:r>
            <w:r>
              <w:rPr>
                <w:rFonts w:cs="Times New Roman" w:asciiTheme="minorEastAsia" w:hAnsiTheme="minorEastAsia"/>
                <w:color w:val="auto"/>
                <w:szCs w:val="24"/>
                <w:highlight w:val="none"/>
                <w:vertAlign w:val="superscript"/>
                <w:lang w:eastAsia="zh-CN"/>
              </w:rPr>
              <w:t>O</w:t>
            </w:r>
            <w:r>
              <w:rPr>
                <w:rFonts w:hint="eastAsia" w:cs="Times New Roman" w:asciiTheme="minorEastAsia" w:hAnsiTheme="minorEastAsia"/>
                <w:color w:val="auto"/>
                <w:szCs w:val="24"/>
                <w:highlight w:val="none"/>
                <w:lang w:eastAsia="zh-CN"/>
              </w:rPr>
              <w:t>；双锁舌；</w:t>
            </w:r>
          </w:p>
          <w:p>
            <w:pPr>
              <w:keepLines w:val="0"/>
              <w:widowControl/>
              <w:numPr>
                <w:ilvl w:val="0"/>
                <w:numId w:val="90"/>
              </w:numPr>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其他要求详见实物样板标准。</w:t>
            </w:r>
          </w:p>
          <w:p>
            <w:pPr>
              <w:keepLines w:val="0"/>
              <w:widowControl/>
              <w:numPr>
                <w:ilvl w:val="0"/>
                <w:numId w:val="90"/>
              </w:numPr>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有用水要求的区域，门框采用不锈钢门框。</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73" w:type="pct"/>
            <w:tcBorders>
              <w:top w:val="single" w:color="auto" w:sz="2" w:space="0"/>
              <w:left w:val="single" w:color="auto" w:sz="12" w:space="0"/>
              <w:bottom w:val="single" w:color="auto" w:sz="2" w:space="0"/>
              <w:right w:val="single" w:color="auto" w:sz="2" w:space="0"/>
            </w:tcBorders>
            <w:vAlign w:val="center"/>
          </w:tcPr>
          <w:p>
            <w:pPr>
              <w:keepLines w:val="0"/>
              <w:widowControl/>
              <w:jc w:val="center"/>
              <w:rPr>
                <w:rFonts w:cs="Times New Roman" w:asciiTheme="minorEastAsia" w:hAnsiTheme="minorEastAsia"/>
                <w:color w:val="auto"/>
                <w:szCs w:val="24"/>
                <w:highlight w:val="none"/>
              </w:rPr>
            </w:pPr>
            <w:r>
              <w:rPr>
                <w:rFonts w:cs="Times New Roman" w:asciiTheme="minorEastAsia" w:hAnsiTheme="minorEastAsia"/>
                <w:color w:val="auto"/>
                <w:szCs w:val="24"/>
                <w:highlight w:val="none"/>
                <w:lang w:eastAsia="zh-CN"/>
              </w:rPr>
              <w:t>10</w:t>
            </w:r>
          </w:p>
        </w:tc>
        <w:tc>
          <w:tcPr>
            <w:tcW w:w="705" w:type="pct"/>
            <w:tcBorders>
              <w:top w:val="single" w:color="auto" w:sz="2" w:space="0"/>
              <w:left w:val="single" w:color="auto" w:sz="2" w:space="0"/>
              <w:bottom w:val="single" w:color="auto" w:sz="2" w:space="0"/>
              <w:right w:val="single" w:color="auto" w:sz="2" w:space="0"/>
            </w:tcBorders>
            <w:vAlign w:val="center"/>
          </w:tcPr>
          <w:p>
            <w:pPr>
              <w:keepLines w:val="0"/>
              <w:widowControl/>
              <w:rPr>
                <w:rFonts w:cs="Times New Roman" w:asciiTheme="minorEastAsia" w:hAnsiTheme="minorEastAsia"/>
                <w:color w:val="auto"/>
                <w:szCs w:val="24"/>
                <w:highlight w:val="none"/>
              </w:rPr>
            </w:pPr>
            <w:r>
              <w:rPr>
                <w:rFonts w:hint="eastAsia" w:cs="Times New Roman" w:asciiTheme="minorEastAsia" w:hAnsiTheme="minorEastAsia"/>
                <w:color w:val="auto"/>
                <w:szCs w:val="24"/>
                <w:highlight w:val="none"/>
                <w:lang w:eastAsia="zh-CN"/>
              </w:rPr>
              <w:t>同质透心</w:t>
            </w:r>
            <w:r>
              <w:rPr>
                <w:rFonts w:cs="Times New Roman" w:asciiTheme="minorEastAsia" w:hAnsiTheme="minorEastAsia"/>
                <w:color w:val="auto"/>
                <w:szCs w:val="24"/>
                <w:highlight w:val="none"/>
                <w:lang w:eastAsia="zh-CN"/>
              </w:rPr>
              <w:t>PVC</w:t>
            </w:r>
            <w:r>
              <w:rPr>
                <w:rFonts w:hint="eastAsia" w:cs="Times New Roman" w:asciiTheme="minorEastAsia" w:hAnsiTheme="minorEastAsia"/>
                <w:color w:val="auto"/>
                <w:szCs w:val="24"/>
                <w:highlight w:val="none"/>
                <w:lang w:eastAsia="zh-CN"/>
              </w:rPr>
              <w:t>卷材</w:t>
            </w:r>
          </w:p>
        </w:tc>
        <w:tc>
          <w:tcPr>
            <w:tcW w:w="742" w:type="pct"/>
            <w:tcBorders>
              <w:top w:val="single" w:color="auto" w:sz="2" w:space="0"/>
              <w:left w:val="single" w:color="auto" w:sz="2" w:space="0"/>
              <w:bottom w:val="single" w:color="auto" w:sz="2" w:space="0"/>
              <w:right w:val="single" w:color="auto" w:sz="2" w:space="0"/>
            </w:tcBorders>
            <w:vAlign w:val="center"/>
          </w:tcPr>
          <w:p>
            <w:pPr>
              <w:keepLines w:val="0"/>
              <w:widowControl/>
              <w:rPr>
                <w:rFonts w:cs="Times New Roman" w:asciiTheme="minorEastAsia" w:hAnsiTheme="minorEastAsia"/>
                <w:color w:val="auto"/>
                <w:szCs w:val="24"/>
                <w:highlight w:val="none"/>
              </w:rPr>
            </w:pPr>
            <w:r>
              <w:rPr>
                <w:rFonts w:hint="eastAsia" w:cs="Times New Roman" w:asciiTheme="minorEastAsia" w:hAnsiTheme="minorEastAsia"/>
                <w:color w:val="auto"/>
                <w:szCs w:val="24"/>
                <w:highlight w:val="none"/>
                <w:lang w:eastAsia="zh-CN"/>
              </w:rPr>
              <w:t>地面</w:t>
            </w:r>
          </w:p>
        </w:tc>
        <w:tc>
          <w:tcPr>
            <w:tcW w:w="3080" w:type="pct"/>
            <w:tcBorders>
              <w:top w:val="single" w:color="auto" w:sz="2" w:space="0"/>
              <w:left w:val="single" w:color="auto" w:sz="2" w:space="0"/>
              <w:bottom w:val="single" w:color="auto" w:sz="2" w:space="0"/>
              <w:right w:val="single" w:color="auto" w:sz="12" w:space="0"/>
            </w:tcBorders>
          </w:tcPr>
          <w:p>
            <w:pPr>
              <w:keepLines w:val="0"/>
              <w:widowControl/>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符合设计要求及国家有关标准、规范、规定，并符合下列要求：</w:t>
            </w:r>
          </w:p>
          <w:p>
            <w:pPr>
              <w:keepLines w:val="0"/>
              <w:widowControl/>
              <w:numPr>
                <w:ilvl w:val="0"/>
                <w:numId w:val="91"/>
              </w:numPr>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耐磨层厚度不少于</w:t>
            </w:r>
            <w:r>
              <w:rPr>
                <w:rFonts w:cs="Times New Roman" w:asciiTheme="minorEastAsia" w:hAnsiTheme="minorEastAsia"/>
                <w:color w:val="auto"/>
                <w:szCs w:val="24"/>
                <w:highlight w:val="none"/>
                <w:lang w:eastAsia="zh-CN"/>
              </w:rPr>
              <w:t>2.0MM</w:t>
            </w:r>
            <w:r>
              <w:rPr>
                <w:rFonts w:hint="eastAsia" w:cs="Times New Roman" w:asciiTheme="minorEastAsia" w:hAnsiTheme="minorEastAsia"/>
                <w:color w:val="auto"/>
                <w:szCs w:val="24"/>
                <w:highlight w:val="none"/>
                <w:lang w:eastAsia="zh-CN"/>
              </w:rPr>
              <w:t>，受热后折曲度不大于</w:t>
            </w:r>
            <w:r>
              <w:rPr>
                <w:rFonts w:cs="Times New Roman" w:asciiTheme="minorEastAsia" w:hAnsiTheme="minorEastAsia"/>
                <w:color w:val="auto"/>
                <w:szCs w:val="24"/>
                <w:highlight w:val="none"/>
                <w:lang w:eastAsia="zh-CN"/>
              </w:rPr>
              <w:t>8.0 MM</w:t>
            </w:r>
            <w:r>
              <w:rPr>
                <w:rFonts w:hint="eastAsia" w:cs="Times New Roman" w:asciiTheme="minorEastAsia" w:hAnsiTheme="minorEastAsia"/>
                <w:color w:val="auto"/>
                <w:szCs w:val="24"/>
                <w:highlight w:val="none"/>
                <w:lang w:eastAsia="zh-CN"/>
              </w:rPr>
              <w:t>。</w:t>
            </w:r>
          </w:p>
          <w:p>
            <w:pPr>
              <w:keepLines w:val="0"/>
              <w:widowControl/>
              <w:numPr>
                <w:ilvl w:val="0"/>
                <w:numId w:val="91"/>
              </w:numPr>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阻燃：不低于</w:t>
            </w:r>
            <w:r>
              <w:rPr>
                <w:rFonts w:cs="Times New Roman" w:asciiTheme="minorEastAsia" w:hAnsiTheme="minorEastAsia"/>
                <w:color w:val="auto"/>
                <w:szCs w:val="24"/>
                <w:highlight w:val="none"/>
                <w:lang w:eastAsia="zh-CN"/>
              </w:rPr>
              <w:t>B1</w:t>
            </w:r>
            <w:r>
              <w:rPr>
                <w:rFonts w:hint="eastAsia" w:cs="Times New Roman" w:asciiTheme="minorEastAsia" w:hAnsiTheme="minorEastAsia"/>
                <w:color w:val="auto"/>
                <w:szCs w:val="24"/>
                <w:highlight w:val="none"/>
                <w:lang w:eastAsia="zh-CN"/>
              </w:rPr>
              <w:t>级或</w:t>
            </w:r>
            <w:r>
              <w:rPr>
                <w:rFonts w:cs="Times New Roman" w:asciiTheme="minorEastAsia" w:hAnsiTheme="minorEastAsia"/>
                <w:color w:val="auto"/>
                <w:szCs w:val="24"/>
                <w:highlight w:val="none"/>
                <w:lang w:eastAsia="zh-CN"/>
              </w:rPr>
              <w:t>M3</w:t>
            </w:r>
            <w:r>
              <w:rPr>
                <w:rFonts w:hint="eastAsia" w:cs="Times New Roman" w:asciiTheme="minorEastAsia" w:hAnsiTheme="minorEastAsia"/>
                <w:color w:val="auto"/>
                <w:szCs w:val="24"/>
                <w:highlight w:val="none"/>
                <w:lang w:eastAsia="zh-CN"/>
              </w:rPr>
              <w:t>级；</w:t>
            </w:r>
          </w:p>
          <w:p>
            <w:pPr>
              <w:keepLines w:val="0"/>
              <w:widowControl/>
              <w:numPr>
                <w:ilvl w:val="0"/>
                <w:numId w:val="91"/>
              </w:numPr>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抗磨损性：大于或等于</w:t>
            </w:r>
            <w:r>
              <w:rPr>
                <w:rFonts w:cs="Times New Roman" w:asciiTheme="minorEastAsia" w:hAnsiTheme="minorEastAsia"/>
                <w:color w:val="auto"/>
                <w:szCs w:val="24"/>
                <w:highlight w:val="none"/>
                <w:lang w:eastAsia="zh-CN"/>
              </w:rPr>
              <w:t>0.3MM</w:t>
            </w:r>
            <w:r>
              <w:rPr>
                <w:rFonts w:hint="eastAsia" w:cs="Times New Roman" w:asciiTheme="minorEastAsia" w:hAnsiTheme="minorEastAsia"/>
                <w:color w:val="auto"/>
                <w:szCs w:val="24"/>
                <w:highlight w:val="none"/>
                <w:lang w:eastAsia="zh-CN"/>
              </w:rPr>
              <w:t>；抗磨等级不低于</w:t>
            </w:r>
            <w:r>
              <w:rPr>
                <w:rFonts w:cs="Times New Roman" w:asciiTheme="minorEastAsia" w:hAnsiTheme="minorEastAsia"/>
                <w:color w:val="auto"/>
                <w:szCs w:val="24"/>
                <w:highlight w:val="none"/>
                <w:lang w:eastAsia="zh-CN"/>
              </w:rPr>
              <w:t>M</w:t>
            </w:r>
            <w:r>
              <w:rPr>
                <w:rFonts w:hint="eastAsia" w:cs="Times New Roman" w:asciiTheme="minorEastAsia" w:hAnsiTheme="minorEastAsia"/>
                <w:color w:val="auto"/>
                <w:szCs w:val="24"/>
                <w:highlight w:val="none"/>
                <w:lang w:eastAsia="zh-CN"/>
              </w:rPr>
              <w:t>级；</w:t>
            </w:r>
          </w:p>
          <w:p>
            <w:pPr>
              <w:keepLines w:val="0"/>
              <w:widowControl/>
              <w:numPr>
                <w:ilvl w:val="0"/>
                <w:numId w:val="91"/>
              </w:numPr>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防老化、耐磨压，使用寿命可达</w:t>
            </w:r>
            <w:r>
              <w:rPr>
                <w:rFonts w:cs="Times New Roman" w:asciiTheme="minorEastAsia" w:hAnsiTheme="minorEastAsia"/>
                <w:color w:val="auto"/>
                <w:szCs w:val="24"/>
                <w:highlight w:val="none"/>
                <w:lang w:eastAsia="zh-CN"/>
              </w:rPr>
              <w:t>10</w:t>
            </w:r>
            <w:r>
              <w:rPr>
                <w:rFonts w:hint="eastAsia" w:cs="Times New Roman" w:asciiTheme="minorEastAsia" w:hAnsiTheme="minorEastAsia"/>
                <w:color w:val="auto"/>
                <w:szCs w:val="24"/>
                <w:highlight w:val="none"/>
                <w:lang w:eastAsia="zh-CN"/>
              </w:rPr>
              <w:t>年以上不变色、不变形。</w:t>
            </w:r>
          </w:p>
          <w:p>
            <w:pPr>
              <w:keepLines w:val="0"/>
              <w:widowControl/>
              <w:numPr>
                <w:ilvl w:val="0"/>
                <w:numId w:val="91"/>
              </w:numPr>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回弹性和标准吸振性应符合国家有关标准。</w:t>
            </w:r>
          </w:p>
          <w:p>
            <w:pPr>
              <w:keepLines w:val="0"/>
              <w:widowControl/>
              <w:numPr>
                <w:ilvl w:val="0"/>
                <w:numId w:val="91"/>
              </w:numPr>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粘贴、焊缝连接，地面与墙角的接缝要求不留空隙。</w:t>
            </w:r>
          </w:p>
          <w:p>
            <w:pPr>
              <w:keepLines w:val="0"/>
              <w:widowControl/>
              <w:numPr>
                <w:ilvl w:val="0"/>
                <w:numId w:val="91"/>
              </w:numPr>
              <w:rPr>
                <w:rFonts w:cs="Times New Roman" w:asciiTheme="minorEastAsia" w:hAnsiTheme="minorEastAsia"/>
                <w:color w:val="auto"/>
                <w:szCs w:val="24"/>
                <w:highlight w:val="none"/>
                <w:lang w:eastAsia="zh-CN"/>
              </w:rPr>
            </w:pPr>
            <w:r>
              <w:rPr>
                <w:rFonts w:cs="Times New Roman" w:asciiTheme="minorEastAsia" w:hAnsiTheme="minorEastAsia"/>
                <w:color w:val="auto"/>
                <w:szCs w:val="24"/>
                <w:highlight w:val="none"/>
                <w:lang w:eastAsia="zh-CN"/>
              </w:rPr>
              <w:t>7</w:t>
            </w:r>
            <w:r>
              <w:rPr>
                <w:rFonts w:hint="eastAsia" w:cs="Times New Roman" w:asciiTheme="minorEastAsia" w:hAnsiTheme="minorEastAsia"/>
                <w:color w:val="auto"/>
                <w:szCs w:val="24"/>
                <w:highlight w:val="none"/>
                <w:lang w:eastAsia="zh-CN"/>
              </w:rPr>
              <w:t>提供的同质透心</w:t>
            </w:r>
            <w:r>
              <w:rPr>
                <w:rFonts w:cs="Times New Roman" w:asciiTheme="minorEastAsia" w:hAnsiTheme="minorEastAsia"/>
                <w:color w:val="auto"/>
                <w:szCs w:val="24"/>
                <w:highlight w:val="none"/>
                <w:lang w:eastAsia="zh-CN"/>
              </w:rPr>
              <w:t>PVC</w:t>
            </w:r>
            <w:r>
              <w:rPr>
                <w:rFonts w:hint="eastAsia" w:cs="Times New Roman" w:asciiTheme="minorEastAsia" w:hAnsiTheme="minorEastAsia"/>
                <w:color w:val="auto"/>
                <w:szCs w:val="24"/>
                <w:highlight w:val="none"/>
                <w:lang w:eastAsia="zh-CN"/>
              </w:rPr>
              <w:t>卷材要求是原装正品，粘接剂必须是优质产品，绿色环保、无毒、无味，防水、防滑、防霉菌。</w:t>
            </w:r>
          </w:p>
          <w:p>
            <w:pPr>
              <w:keepLines w:val="0"/>
              <w:widowControl/>
              <w:numPr>
                <w:ilvl w:val="0"/>
                <w:numId w:val="91"/>
              </w:numPr>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符合品牌要求</w:t>
            </w:r>
          </w:p>
          <w:p>
            <w:pPr>
              <w:keepLines w:val="0"/>
              <w:widowControl/>
              <w:numPr>
                <w:ilvl w:val="0"/>
                <w:numId w:val="91"/>
              </w:numPr>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其他要求详见样板</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73" w:type="pct"/>
            <w:tcBorders>
              <w:top w:val="single" w:color="auto" w:sz="2" w:space="0"/>
              <w:left w:val="single" w:color="auto" w:sz="12" w:space="0"/>
              <w:bottom w:val="single" w:color="auto" w:sz="2" w:space="0"/>
              <w:right w:val="single" w:color="auto" w:sz="2" w:space="0"/>
            </w:tcBorders>
            <w:vAlign w:val="center"/>
          </w:tcPr>
          <w:p>
            <w:pPr>
              <w:keepLines w:val="0"/>
              <w:widowControl/>
              <w:jc w:val="center"/>
              <w:rPr>
                <w:rFonts w:cs="Times New Roman" w:asciiTheme="minorEastAsia" w:hAnsiTheme="minorEastAsia"/>
                <w:color w:val="auto"/>
                <w:szCs w:val="24"/>
                <w:highlight w:val="none"/>
              </w:rPr>
            </w:pPr>
            <w:r>
              <w:rPr>
                <w:rFonts w:cs="Times New Roman" w:asciiTheme="minorEastAsia" w:hAnsiTheme="minorEastAsia"/>
                <w:color w:val="auto"/>
                <w:szCs w:val="24"/>
                <w:highlight w:val="none"/>
                <w:lang w:eastAsia="zh-CN"/>
              </w:rPr>
              <w:t>12</w:t>
            </w:r>
          </w:p>
        </w:tc>
        <w:tc>
          <w:tcPr>
            <w:tcW w:w="705" w:type="pct"/>
            <w:tcBorders>
              <w:top w:val="single" w:color="auto" w:sz="2" w:space="0"/>
              <w:left w:val="single" w:color="auto" w:sz="2" w:space="0"/>
              <w:bottom w:val="single" w:color="auto" w:sz="2" w:space="0"/>
              <w:right w:val="single" w:color="auto" w:sz="2" w:space="0"/>
            </w:tcBorders>
            <w:vAlign w:val="center"/>
          </w:tcPr>
          <w:p>
            <w:pPr>
              <w:keepLines w:val="0"/>
              <w:widowControl/>
              <w:rPr>
                <w:rFonts w:cs="Times New Roman" w:asciiTheme="minorEastAsia" w:hAnsiTheme="minorEastAsia"/>
                <w:color w:val="auto"/>
                <w:szCs w:val="24"/>
                <w:highlight w:val="none"/>
              </w:rPr>
            </w:pPr>
            <w:r>
              <w:rPr>
                <w:rFonts w:hint="eastAsia" w:cs="Times New Roman" w:asciiTheme="minorEastAsia" w:hAnsiTheme="minorEastAsia"/>
                <w:color w:val="auto"/>
                <w:szCs w:val="24"/>
                <w:highlight w:val="none"/>
                <w:lang w:eastAsia="zh-CN"/>
              </w:rPr>
              <w:t>卫生间成品隔断</w:t>
            </w:r>
          </w:p>
        </w:tc>
        <w:tc>
          <w:tcPr>
            <w:tcW w:w="742" w:type="pct"/>
            <w:tcBorders>
              <w:top w:val="single" w:color="auto" w:sz="2" w:space="0"/>
              <w:left w:val="single" w:color="auto" w:sz="2" w:space="0"/>
              <w:bottom w:val="single" w:color="auto" w:sz="2" w:space="0"/>
              <w:right w:val="single" w:color="auto" w:sz="2" w:space="0"/>
            </w:tcBorders>
            <w:vAlign w:val="center"/>
          </w:tcPr>
          <w:p>
            <w:pPr>
              <w:keepLines w:val="0"/>
              <w:widowControl/>
              <w:rPr>
                <w:rFonts w:cs="Times New Roman" w:asciiTheme="minorEastAsia" w:hAnsiTheme="minorEastAsia"/>
                <w:color w:val="auto"/>
                <w:szCs w:val="24"/>
                <w:highlight w:val="none"/>
              </w:rPr>
            </w:pPr>
            <w:r>
              <w:rPr>
                <w:rFonts w:hint="eastAsia" w:cs="Times New Roman" w:asciiTheme="minorEastAsia" w:hAnsiTheme="minorEastAsia"/>
                <w:color w:val="auto"/>
                <w:szCs w:val="24"/>
                <w:highlight w:val="none"/>
                <w:lang w:eastAsia="zh-CN"/>
              </w:rPr>
              <w:t>卫生间</w:t>
            </w:r>
          </w:p>
        </w:tc>
        <w:tc>
          <w:tcPr>
            <w:tcW w:w="3080" w:type="pct"/>
            <w:tcBorders>
              <w:top w:val="single" w:color="auto" w:sz="2" w:space="0"/>
              <w:left w:val="single" w:color="auto" w:sz="2" w:space="0"/>
              <w:bottom w:val="single" w:color="auto" w:sz="2" w:space="0"/>
              <w:right w:val="single" w:color="auto" w:sz="12" w:space="0"/>
            </w:tcBorders>
          </w:tcPr>
          <w:p>
            <w:pPr>
              <w:keepLines w:val="0"/>
              <w:widowControl/>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符合设计要求及国家有关标准、规范、规定，并符合下列要求：</w:t>
            </w:r>
          </w:p>
          <w:p>
            <w:pPr>
              <w:keepLines w:val="0"/>
              <w:widowControl/>
              <w:numPr>
                <w:ilvl w:val="0"/>
                <w:numId w:val="92"/>
              </w:numPr>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板材为抗倍特板</w:t>
            </w:r>
            <w:r>
              <w:rPr>
                <w:rFonts w:cs="Times New Roman" w:asciiTheme="minorEastAsia" w:hAnsiTheme="minorEastAsia"/>
                <w:color w:val="auto"/>
                <w:szCs w:val="24"/>
                <w:highlight w:val="none"/>
                <w:lang w:eastAsia="zh-CN"/>
              </w:rPr>
              <w:t>,12mm</w:t>
            </w:r>
            <w:r>
              <w:rPr>
                <w:rFonts w:hint="eastAsia" w:cs="Times New Roman" w:asciiTheme="minorEastAsia" w:hAnsiTheme="minorEastAsia"/>
                <w:color w:val="auto"/>
                <w:szCs w:val="24"/>
                <w:highlight w:val="none"/>
                <w:lang w:eastAsia="zh-CN"/>
              </w:rPr>
              <w:t>厚，分隔与宽度根据设计要求，主要材料为热固型酚醛树脂。</w:t>
            </w:r>
          </w:p>
          <w:p>
            <w:pPr>
              <w:keepLines w:val="0"/>
              <w:widowControl/>
              <w:numPr>
                <w:ilvl w:val="0"/>
                <w:numId w:val="92"/>
              </w:numPr>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配件（底角、合页、门锁、把手、衣钩、拉杆）材质为尼龙材质。</w:t>
            </w:r>
          </w:p>
          <w:p>
            <w:pPr>
              <w:keepLines w:val="0"/>
              <w:widowControl/>
              <w:numPr>
                <w:ilvl w:val="0"/>
                <w:numId w:val="92"/>
              </w:numPr>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隔断支腿内必须加衬钢，衬钢需经热镀锌处理。</w:t>
            </w:r>
          </w:p>
          <w:p>
            <w:pPr>
              <w:keepLines w:val="0"/>
              <w:widowControl/>
              <w:numPr>
                <w:ilvl w:val="0"/>
                <w:numId w:val="92"/>
              </w:numPr>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隔断顶部拉接杆材质为铝合金。</w:t>
            </w:r>
          </w:p>
          <w:p>
            <w:pPr>
              <w:keepLines w:val="0"/>
              <w:widowControl/>
              <w:numPr>
                <w:ilvl w:val="0"/>
                <w:numId w:val="92"/>
              </w:numPr>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蹲位隔断和冲凉隔断均应合理布置支腿和吊件。</w:t>
            </w:r>
          </w:p>
          <w:p>
            <w:pPr>
              <w:keepLines w:val="0"/>
              <w:widowControl/>
              <w:numPr>
                <w:ilvl w:val="0"/>
                <w:numId w:val="92"/>
              </w:numPr>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防火要求：产品的燃烧性能必须达</w:t>
            </w:r>
            <w:r>
              <w:rPr>
                <w:rFonts w:cs="Times New Roman" w:asciiTheme="minorEastAsia" w:hAnsiTheme="minorEastAsia"/>
                <w:color w:val="auto"/>
                <w:szCs w:val="24"/>
                <w:highlight w:val="none"/>
                <w:lang w:eastAsia="zh-CN"/>
              </w:rPr>
              <w:t>B1</w:t>
            </w:r>
            <w:r>
              <w:rPr>
                <w:rFonts w:hint="eastAsia" w:cs="Times New Roman" w:asciiTheme="minorEastAsia" w:hAnsiTheme="minorEastAsia"/>
                <w:color w:val="auto"/>
                <w:szCs w:val="24"/>
                <w:highlight w:val="none"/>
                <w:lang w:eastAsia="zh-CN"/>
              </w:rPr>
              <w:t>级要求。</w:t>
            </w:r>
          </w:p>
          <w:p>
            <w:pPr>
              <w:keepLines w:val="0"/>
              <w:widowControl/>
              <w:numPr>
                <w:ilvl w:val="0"/>
                <w:numId w:val="92"/>
              </w:numPr>
              <w:rPr>
                <w:rFonts w:cs="Times New Roman" w:asciiTheme="minorEastAsia" w:hAnsiTheme="minorEastAsia"/>
                <w:color w:val="auto"/>
                <w:szCs w:val="24"/>
                <w:highlight w:val="none"/>
              </w:rPr>
            </w:pPr>
            <w:r>
              <w:rPr>
                <w:rFonts w:hint="eastAsia" w:cs="Times New Roman" w:asciiTheme="minorEastAsia" w:hAnsiTheme="minorEastAsia"/>
                <w:color w:val="auto"/>
                <w:szCs w:val="24"/>
                <w:highlight w:val="none"/>
                <w:lang w:eastAsia="zh-CN"/>
              </w:rPr>
              <w:t>其他要求详见样板。</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73" w:type="pct"/>
            <w:tcBorders>
              <w:top w:val="single" w:color="auto" w:sz="2" w:space="0"/>
              <w:left w:val="single" w:color="auto" w:sz="12" w:space="0"/>
              <w:bottom w:val="single" w:color="auto" w:sz="12" w:space="0"/>
              <w:right w:val="single" w:color="auto" w:sz="2" w:space="0"/>
            </w:tcBorders>
            <w:vAlign w:val="center"/>
          </w:tcPr>
          <w:p>
            <w:pPr>
              <w:keepLines w:val="0"/>
              <w:widowControl/>
              <w:jc w:val="center"/>
              <w:rPr>
                <w:rFonts w:cs="Times New Roman" w:asciiTheme="minorEastAsia" w:hAnsiTheme="minorEastAsia"/>
                <w:color w:val="auto"/>
                <w:szCs w:val="24"/>
                <w:highlight w:val="none"/>
              </w:rPr>
            </w:pPr>
            <w:r>
              <w:rPr>
                <w:rFonts w:cs="Times New Roman" w:asciiTheme="minorEastAsia" w:hAnsiTheme="minorEastAsia"/>
                <w:color w:val="auto"/>
                <w:szCs w:val="24"/>
                <w:highlight w:val="none"/>
                <w:lang w:eastAsia="zh-CN"/>
              </w:rPr>
              <w:t>13</w:t>
            </w:r>
          </w:p>
        </w:tc>
        <w:tc>
          <w:tcPr>
            <w:tcW w:w="705" w:type="pct"/>
            <w:tcBorders>
              <w:top w:val="single" w:color="auto" w:sz="2" w:space="0"/>
              <w:left w:val="single" w:color="auto" w:sz="2" w:space="0"/>
              <w:bottom w:val="single" w:color="auto" w:sz="12" w:space="0"/>
              <w:right w:val="single" w:color="auto" w:sz="2" w:space="0"/>
            </w:tcBorders>
            <w:vAlign w:val="center"/>
          </w:tcPr>
          <w:p>
            <w:pPr>
              <w:keepLines w:val="0"/>
              <w:widowControl/>
              <w:rPr>
                <w:rFonts w:cs="Times New Roman" w:asciiTheme="minorEastAsia" w:hAnsiTheme="minorEastAsia"/>
                <w:color w:val="auto"/>
                <w:szCs w:val="24"/>
                <w:highlight w:val="none"/>
              </w:rPr>
            </w:pPr>
            <w:r>
              <w:rPr>
                <w:rFonts w:hint="eastAsia" w:cs="Times New Roman" w:asciiTheme="minorEastAsia" w:hAnsiTheme="minorEastAsia"/>
                <w:color w:val="auto"/>
                <w:szCs w:val="24"/>
                <w:highlight w:val="none"/>
                <w:lang w:eastAsia="zh-CN"/>
              </w:rPr>
              <w:t>其他材料</w:t>
            </w:r>
          </w:p>
        </w:tc>
        <w:tc>
          <w:tcPr>
            <w:tcW w:w="742" w:type="pct"/>
            <w:tcBorders>
              <w:top w:val="single" w:color="auto" w:sz="2" w:space="0"/>
              <w:left w:val="single" w:color="auto" w:sz="2" w:space="0"/>
              <w:bottom w:val="single" w:color="auto" w:sz="12" w:space="0"/>
              <w:right w:val="single" w:color="auto" w:sz="2" w:space="0"/>
            </w:tcBorders>
            <w:vAlign w:val="center"/>
          </w:tcPr>
          <w:p>
            <w:pPr>
              <w:keepLines w:val="0"/>
              <w:widowControl/>
              <w:jc w:val="center"/>
              <w:rPr>
                <w:rFonts w:cs="Times New Roman" w:asciiTheme="minorEastAsia" w:hAnsiTheme="minorEastAsia"/>
                <w:color w:val="auto"/>
                <w:szCs w:val="24"/>
                <w:highlight w:val="none"/>
              </w:rPr>
            </w:pPr>
          </w:p>
        </w:tc>
        <w:tc>
          <w:tcPr>
            <w:tcW w:w="3080" w:type="pct"/>
            <w:tcBorders>
              <w:top w:val="single" w:color="auto" w:sz="2" w:space="0"/>
              <w:left w:val="single" w:color="auto" w:sz="2" w:space="0"/>
              <w:bottom w:val="single" w:color="auto" w:sz="12" w:space="0"/>
              <w:right w:val="single" w:color="auto" w:sz="12" w:space="0"/>
            </w:tcBorders>
          </w:tcPr>
          <w:p>
            <w:pPr>
              <w:keepLines w:val="0"/>
              <w:widowControl/>
              <w:numPr>
                <w:ilvl w:val="0"/>
                <w:numId w:val="93"/>
              </w:numPr>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所用材料的品种、规格和质量就符合设计要求和国家现行标准的规定。当设计无要求时应符合国家现行标准的规定，严禁使用国家明令淘汰的材料。</w:t>
            </w:r>
          </w:p>
          <w:p>
            <w:pPr>
              <w:keepLines w:val="0"/>
              <w:widowControl/>
              <w:numPr>
                <w:ilvl w:val="0"/>
                <w:numId w:val="93"/>
              </w:numPr>
              <w:rPr>
                <w:rFonts w:cs="Times New Roman" w:asciiTheme="minorEastAsia" w:hAnsiTheme="minorEastAsia"/>
                <w:strike/>
                <w:color w:val="auto"/>
                <w:szCs w:val="24"/>
                <w:highlight w:val="none"/>
                <w:lang w:eastAsia="zh-CN"/>
              </w:rPr>
            </w:pPr>
            <w:r>
              <w:rPr>
                <w:rFonts w:hint="eastAsia" w:cs="Times New Roman" w:asciiTheme="minorEastAsia" w:hAnsiTheme="minorEastAsia"/>
                <w:color w:val="auto"/>
                <w:szCs w:val="24"/>
                <w:highlight w:val="none"/>
                <w:lang w:eastAsia="zh-CN"/>
              </w:rPr>
              <w:t>所用材料的燃烧性应符合现行国家标准《建筑内部装修设计防火规范》（</w:t>
            </w:r>
            <w:r>
              <w:rPr>
                <w:rFonts w:cs="Times New Roman" w:asciiTheme="minorEastAsia" w:hAnsiTheme="minorEastAsia"/>
                <w:color w:val="auto"/>
                <w:szCs w:val="24"/>
                <w:highlight w:val="none"/>
                <w:lang w:eastAsia="zh-CN"/>
              </w:rPr>
              <w:t>GB50222-95</w:t>
            </w:r>
            <w:r>
              <w:rPr>
                <w:rFonts w:hint="eastAsia" w:cs="Times New Roman" w:asciiTheme="minorEastAsia" w:hAnsiTheme="minorEastAsia"/>
                <w:color w:val="auto"/>
                <w:szCs w:val="24"/>
                <w:highlight w:val="none"/>
                <w:lang w:eastAsia="zh-CN"/>
              </w:rPr>
              <w:t>）、《建筑设计防火规范》（</w:t>
            </w:r>
            <w:r>
              <w:rPr>
                <w:rFonts w:cs="Times New Roman" w:asciiTheme="minorEastAsia" w:hAnsiTheme="minorEastAsia"/>
                <w:color w:val="auto"/>
                <w:szCs w:val="24"/>
                <w:highlight w:val="none"/>
                <w:lang w:eastAsia="zh-CN"/>
              </w:rPr>
              <w:t>GBJ16-87</w:t>
            </w:r>
            <w:r>
              <w:rPr>
                <w:rFonts w:hint="eastAsia" w:cs="Times New Roman" w:asciiTheme="minorEastAsia" w:hAnsiTheme="minorEastAsia"/>
                <w:color w:val="auto"/>
                <w:szCs w:val="24"/>
                <w:highlight w:val="none"/>
                <w:lang w:eastAsia="zh-CN"/>
              </w:rPr>
              <w:t>）。</w:t>
            </w:r>
          </w:p>
          <w:p>
            <w:pPr>
              <w:keepLines w:val="0"/>
              <w:widowControl/>
              <w:numPr>
                <w:ilvl w:val="0"/>
                <w:numId w:val="93"/>
              </w:numPr>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所用材料应符合国家有关建筑装饰装修材料有害物质限量标准的规定；</w:t>
            </w:r>
          </w:p>
          <w:p>
            <w:pPr>
              <w:keepLines w:val="0"/>
              <w:widowControl/>
              <w:numPr>
                <w:ilvl w:val="0"/>
                <w:numId w:val="93"/>
              </w:numPr>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所有材料进场时应对品种、规格、外观和尺寸进行验收。材料包装应完好，应有产品合格证书、中文说明书及相关性能的检测报告；进口产品应按规定进行商品检验。</w:t>
            </w:r>
          </w:p>
          <w:p>
            <w:pPr>
              <w:keepLines w:val="0"/>
              <w:widowControl/>
              <w:numPr>
                <w:ilvl w:val="0"/>
                <w:numId w:val="93"/>
              </w:numPr>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进场后需进行复检的材料种类及项目应符合《建筑装饰装修工程质量验收规范》（</w:t>
            </w:r>
            <w:r>
              <w:rPr>
                <w:rFonts w:cs="Times New Roman" w:asciiTheme="minorEastAsia" w:hAnsiTheme="minorEastAsia"/>
                <w:color w:val="auto"/>
                <w:szCs w:val="24"/>
                <w:highlight w:val="none"/>
                <w:lang w:eastAsia="zh-CN"/>
              </w:rPr>
              <w:t>GB50210-2001</w:t>
            </w:r>
            <w:r>
              <w:rPr>
                <w:rFonts w:hint="eastAsia" w:cs="Times New Roman" w:asciiTheme="minorEastAsia" w:hAnsiTheme="minorEastAsia"/>
                <w:color w:val="auto"/>
                <w:szCs w:val="24"/>
                <w:highlight w:val="none"/>
                <w:lang w:eastAsia="zh-CN"/>
              </w:rPr>
              <w:t>）各章的规定。同一厂家生产的同一品种、同一类型的进场材料应至少抽取一组样品进行复检，当合同另有约定时应按合同执行。</w:t>
            </w:r>
          </w:p>
          <w:p>
            <w:pPr>
              <w:keepLines w:val="0"/>
              <w:widowControl/>
              <w:numPr>
                <w:ilvl w:val="0"/>
                <w:numId w:val="93"/>
              </w:numPr>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当国家规定或合同约定应对材料进行见证检测时，或对材料的质量发生争议时，应进行见证检测。</w:t>
            </w:r>
          </w:p>
          <w:p>
            <w:pPr>
              <w:keepLines w:val="0"/>
              <w:widowControl/>
              <w:numPr>
                <w:ilvl w:val="0"/>
                <w:numId w:val="93"/>
              </w:numPr>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承担建筑装饰装修材料检测的单位应具备相应的资质，并应建立质量管理体系。</w:t>
            </w:r>
          </w:p>
          <w:p>
            <w:pPr>
              <w:keepLines w:val="0"/>
              <w:widowControl/>
              <w:numPr>
                <w:ilvl w:val="0"/>
                <w:numId w:val="93"/>
              </w:numPr>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建筑装饰装修工程所使用的材料在运输、储存和施工过程中，必须采取有效措施防止损坏，变质和污染环境。</w:t>
            </w:r>
          </w:p>
          <w:p>
            <w:pPr>
              <w:keepLines w:val="0"/>
              <w:widowControl/>
              <w:numPr>
                <w:ilvl w:val="0"/>
                <w:numId w:val="93"/>
              </w:numPr>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建筑装饰装修工程所使用的材料应按设计要求进行防火、防腐和防虫处理。</w:t>
            </w:r>
          </w:p>
          <w:p>
            <w:pPr>
              <w:keepLines w:val="0"/>
              <w:widowControl/>
              <w:numPr>
                <w:ilvl w:val="0"/>
                <w:numId w:val="93"/>
              </w:numPr>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现场配制的材料如砂浆、胶粘剂等，应按设计要求或产品说明书配制。</w:t>
            </w:r>
          </w:p>
          <w:p>
            <w:pPr>
              <w:keepLines w:val="0"/>
              <w:widowControl/>
              <w:numPr>
                <w:ilvl w:val="0"/>
                <w:numId w:val="93"/>
              </w:numPr>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复层涂料采用一级品及以上产品。</w:t>
            </w:r>
          </w:p>
          <w:p>
            <w:pPr>
              <w:keepLines w:val="0"/>
              <w:widowControl/>
              <w:numPr>
                <w:ilvl w:val="0"/>
                <w:numId w:val="93"/>
              </w:numPr>
              <w:rPr>
                <w:rFonts w:cs="Times New Roman" w:asciiTheme="minorEastAsia" w:hAnsiTheme="minorEastAsia"/>
                <w:color w:val="auto"/>
                <w:szCs w:val="24"/>
                <w:highlight w:val="none"/>
                <w:lang w:eastAsia="zh-CN"/>
              </w:rPr>
            </w:pPr>
            <w:r>
              <w:rPr>
                <w:rFonts w:hint="eastAsia" w:cs="Times New Roman" w:asciiTheme="minorEastAsia" w:hAnsiTheme="minorEastAsia"/>
                <w:color w:val="auto"/>
                <w:szCs w:val="24"/>
                <w:highlight w:val="none"/>
                <w:lang w:eastAsia="zh-CN"/>
              </w:rPr>
              <w:t>人造石应符合国家有关标准、规范、规程，并且耐磨度＞Ⅱ级。</w:t>
            </w:r>
          </w:p>
        </w:tc>
      </w:tr>
    </w:tbl>
    <w:p>
      <w:pPr>
        <w:pStyle w:val="4"/>
        <w:rPr>
          <w:color w:val="auto"/>
          <w:highlight w:val="none"/>
        </w:rPr>
      </w:pPr>
      <w:bookmarkStart w:id="59" w:name="_Toc122371852"/>
      <w:r>
        <w:rPr>
          <w:rFonts w:hint="eastAsia"/>
          <w:color w:val="auto"/>
          <w:highlight w:val="none"/>
        </w:rPr>
        <w:t>安装工程技术要求</w:t>
      </w:r>
      <w:bookmarkEnd w:id="59"/>
      <w:r>
        <w:rPr>
          <w:color w:val="auto"/>
          <w:highlight w:val="none"/>
        </w:rPr>
        <w:t xml:space="preserve"> </w:t>
      </w:r>
    </w:p>
    <w:p>
      <w:pPr>
        <w:pStyle w:val="5"/>
        <w:rPr>
          <w:color w:val="auto"/>
          <w:highlight w:val="none"/>
        </w:rPr>
      </w:pPr>
      <w:r>
        <w:rPr>
          <w:color w:val="auto"/>
          <w:highlight w:val="none"/>
        </w:rPr>
        <w:t>预留预埋工程</w:t>
      </w:r>
    </w:p>
    <w:p>
      <w:pPr>
        <w:pStyle w:val="7"/>
        <w:rPr>
          <w:color w:val="auto"/>
          <w:highlight w:val="none"/>
        </w:rPr>
      </w:pPr>
      <w:r>
        <w:rPr>
          <w:color w:val="auto"/>
          <w:highlight w:val="none"/>
        </w:rPr>
        <w:t>结构预留孔洞要求</w:t>
      </w:r>
    </w:p>
    <w:p>
      <w:pPr>
        <w:pStyle w:val="8"/>
        <w:numPr>
          <w:ilvl w:val="3"/>
          <w:numId w:val="94"/>
        </w:numPr>
        <w:rPr>
          <w:color w:val="auto"/>
          <w:highlight w:val="none"/>
        </w:rPr>
      </w:pPr>
      <w:r>
        <w:rPr>
          <w:color w:val="auto"/>
          <w:highlight w:val="none"/>
        </w:rPr>
        <w:t>总承包人需根据图纸要求绘制相应结构留洞及套管综合图以及洞口、套管检查表供施工和检查使用，洞口、套管检查表宜采用消项管理。</w:t>
      </w:r>
    </w:p>
    <w:p>
      <w:pPr>
        <w:pStyle w:val="8"/>
        <w:numPr>
          <w:ilvl w:val="3"/>
          <w:numId w:val="94"/>
        </w:numPr>
        <w:rPr>
          <w:color w:val="auto"/>
          <w:highlight w:val="none"/>
        </w:rPr>
      </w:pPr>
      <w:r>
        <w:rPr>
          <w:color w:val="auto"/>
          <w:highlight w:val="none"/>
        </w:rPr>
        <w:t>总承包人应组织给排水、消防、暖通、电气等专业技术人员熟悉图纸，对本 专业管路和金属线槽、桥架等的走向形成立体的认识；审核预留洞有无冲突， 发现问题应及时通过监理人/发包人解决。</w:t>
      </w:r>
    </w:p>
    <w:p>
      <w:pPr>
        <w:pStyle w:val="8"/>
        <w:numPr>
          <w:ilvl w:val="3"/>
          <w:numId w:val="94"/>
        </w:numPr>
        <w:rPr>
          <w:color w:val="auto"/>
          <w:highlight w:val="none"/>
        </w:rPr>
      </w:pPr>
      <w:r>
        <w:rPr>
          <w:color w:val="auto"/>
          <w:highlight w:val="none"/>
        </w:rPr>
        <w:t>结构预留孔、洞、槽和预埋件</w:t>
      </w:r>
    </w:p>
    <w:p>
      <w:pPr>
        <w:pStyle w:val="9"/>
        <w:numPr>
          <w:ilvl w:val="1"/>
          <w:numId w:val="95"/>
        </w:numPr>
        <w:rPr>
          <w:color w:val="auto"/>
          <w:highlight w:val="none"/>
        </w:rPr>
      </w:pPr>
      <w:r>
        <w:rPr>
          <w:color w:val="auto"/>
          <w:highlight w:val="none"/>
        </w:rPr>
        <w:t>当管道穿墙壁、楼板及嵌墙暗敷时，应与土建施工配合预留孔、槽。</w:t>
      </w:r>
    </w:p>
    <w:p>
      <w:pPr>
        <w:pStyle w:val="9"/>
        <w:numPr>
          <w:ilvl w:val="1"/>
          <w:numId w:val="95"/>
        </w:numPr>
        <w:rPr>
          <w:color w:val="auto"/>
          <w:highlight w:val="none"/>
        </w:rPr>
      </w:pPr>
      <w:r>
        <w:rPr>
          <w:color w:val="auto"/>
          <w:highlight w:val="none"/>
        </w:rPr>
        <w:t>在混凝土楼板、梁、墙上预留孔、洞、槽和预埋件时，应有专人按设计图纸将管道及设备的位置、标高尺寸测定，标好孔洞的部位，将预制好的模盒、预埋铁件在绑扎钢筋前按标记固定牢，盒内堵塞，并经监理人/发包人验收合格后才可浇注混凝土。在混凝土浇筑过程中应有专人配合校对， 看管模盒、埋件，以免移位。</w:t>
      </w:r>
    </w:p>
    <w:p>
      <w:pPr>
        <w:pStyle w:val="9"/>
        <w:numPr>
          <w:ilvl w:val="1"/>
          <w:numId w:val="95"/>
        </w:numPr>
        <w:rPr>
          <w:color w:val="auto"/>
          <w:highlight w:val="none"/>
        </w:rPr>
      </w:pPr>
      <w:r>
        <w:rPr>
          <w:color w:val="auto"/>
          <w:highlight w:val="none"/>
        </w:rPr>
        <w:t>预制墙（楼）板需要剔孔洞时，必须在装修或抹灰前剔凿，孔洞直径与管外径的间隙不得超过 30mm。遇有剔混凝土空心楼板肋或断钢筋时，必须预先征得监理人/发包人的同意并采取相应的补救措施后，方可进行。</w:t>
      </w:r>
    </w:p>
    <w:p>
      <w:pPr>
        <w:pStyle w:val="9"/>
        <w:numPr>
          <w:ilvl w:val="1"/>
          <w:numId w:val="95"/>
        </w:numPr>
        <w:rPr>
          <w:color w:val="auto"/>
          <w:highlight w:val="none"/>
        </w:rPr>
      </w:pPr>
      <w:r>
        <w:rPr>
          <w:color w:val="auto"/>
          <w:highlight w:val="none"/>
        </w:rPr>
        <w:t>在配合施工中，机电专业人员必须随工程进度密切配合土建专业作好预留预埋工作。</w:t>
      </w:r>
    </w:p>
    <w:p>
      <w:pPr>
        <w:pStyle w:val="9"/>
        <w:numPr>
          <w:ilvl w:val="1"/>
          <w:numId w:val="95"/>
        </w:numPr>
        <w:rPr>
          <w:color w:val="auto"/>
          <w:highlight w:val="none"/>
        </w:rPr>
      </w:pPr>
      <w:r>
        <w:rPr>
          <w:color w:val="auto"/>
          <w:highlight w:val="none"/>
        </w:rPr>
        <w:t>为了避免遗漏和错留，在核对间距、尺寸和位置无误后，报监理人验收。</w:t>
      </w:r>
    </w:p>
    <w:p>
      <w:pPr>
        <w:pStyle w:val="7"/>
        <w:rPr>
          <w:color w:val="auto"/>
          <w:highlight w:val="none"/>
        </w:rPr>
      </w:pPr>
      <w:r>
        <w:rPr>
          <w:color w:val="auto"/>
          <w:highlight w:val="none"/>
        </w:rPr>
        <w:t>预留预埋套管的要求</w:t>
      </w:r>
    </w:p>
    <w:p>
      <w:pPr>
        <w:pStyle w:val="8"/>
        <w:numPr>
          <w:ilvl w:val="0"/>
          <w:numId w:val="96"/>
        </w:numPr>
        <w:rPr>
          <w:color w:val="auto"/>
          <w:highlight w:val="none"/>
        </w:rPr>
      </w:pPr>
      <w:r>
        <w:rPr>
          <w:color w:val="auto"/>
          <w:highlight w:val="none"/>
        </w:rPr>
        <w:t>套管设置</w:t>
      </w:r>
    </w:p>
    <w:p>
      <w:pPr>
        <w:pStyle w:val="8"/>
        <w:numPr>
          <w:ilvl w:val="0"/>
          <w:numId w:val="97"/>
        </w:numPr>
        <w:rPr>
          <w:color w:val="auto"/>
          <w:highlight w:val="none"/>
        </w:rPr>
      </w:pPr>
      <w:r>
        <w:rPr>
          <w:color w:val="auto"/>
          <w:highlight w:val="none"/>
        </w:rPr>
        <w:t>管道穿过楼板、梁、建筑外墙及隔墙、基础等处时，必须设置套管。安装在墙壁上的套管端头应与饰面相平，套管与管道之间填实。管道穿地下室、地下构筑物外墙、卫生间沉箱、屋面、外墙及其它管线穿越防水层时，应采用刚性防水套管。</w:t>
      </w:r>
    </w:p>
    <w:p>
      <w:pPr>
        <w:pStyle w:val="8"/>
        <w:numPr>
          <w:ilvl w:val="0"/>
          <w:numId w:val="97"/>
        </w:numPr>
        <w:rPr>
          <w:color w:val="auto"/>
          <w:highlight w:val="none"/>
        </w:rPr>
      </w:pPr>
      <w:r>
        <w:rPr>
          <w:color w:val="auto"/>
          <w:highlight w:val="none"/>
        </w:rPr>
        <w:t>套管安装</w:t>
      </w:r>
    </w:p>
    <w:p>
      <w:pPr>
        <w:pStyle w:val="8"/>
        <w:numPr>
          <w:ilvl w:val="0"/>
          <w:numId w:val="97"/>
        </w:numPr>
        <w:rPr>
          <w:color w:val="auto"/>
          <w:highlight w:val="none"/>
        </w:rPr>
      </w:pPr>
      <w:r>
        <w:rPr>
          <w:color w:val="auto"/>
          <w:highlight w:val="none"/>
        </w:rPr>
        <w:t>根据所穿构筑物的厚度及管径尺寸确定套管规格、长度，翼环及钢套管加工完成后刷防锈漆做防腐处理。套管安装时，必须随混凝土施工一次性浇固于墙（壁）内。楼板、隔墙和墙内的穿管孔隙在安完管道后进行堵塞封堵。预埋上下层套管时，中心线需垂直，套管不能直接和主筋焊接，应采取附加筋形式。</w:t>
      </w:r>
    </w:p>
    <w:p>
      <w:pPr>
        <w:pStyle w:val="8"/>
        <w:numPr>
          <w:ilvl w:val="0"/>
          <w:numId w:val="97"/>
        </w:numPr>
        <w:rPr>
          <w:color w:val="auto"/>
          <w:highlight w:val="none"/>
        </w:rPr>
      </w:pPr>
      <w:r>
        <w:rPr>
          <w:color w:val="auto"/>
          <w:highlight w:val="none"/>
        </w:rPr>
        <w:t>人防套管的预留预埋</w:t>
      </w:r>
    </w:p>
    <w:p>
      <w:pPr>
        <w:pStyle w:val="9"/>
        <w:numPr>
          <w:ilvl w:val="1"/>
          <w:numId w:val="98"/>
        </w:numPr>
        <w:rPr>
          <w:color w:val="auto"/>
          <w:highlight w:val="none"/>
        </w:rPr>
      </w:pPr>
      <w:r>
        <w:rPr>
          <w:color w:val="auto"/>
          <w:highlight w:val="none"/>
        </w:rPr>
        <w:t>给水管、压力排水管、电缆电线等密闭穿墙短管，应按设计要求制作。当设计无要求时，应采用壁厚大于 3mm 的短管。</w:t>
      </w:r>
    </w:p>
    <w:p>
      <w:pPr>
        <w:pStyle w:val="9"/>
        <w:numPr>
          <w:ilvl w:val="1"/>
          <w:numId w:val="98"/>
        </w:numPr>
        <w:rPr>
          <w:color w:val="auto"/>
          <w:highlight w:val="none"/>
        </w:rPr>
      </w:pPr>
      <w:r>
        <w:rPr>
          <w:color w:val="auto"/>
          <w:highlight w:val="none"/>
        </w:rPr>
        <w:t>通风管的密闭穿墙短管，应采用钢板焊接，钢板厚度不应小于 3mm，其焊缝应饱满、均匀、严密。</w:t>
      </w:r>
    </w:p>
    <w:p>
      <w:pPr>
        <w:pStyle w:val="9"/>
        <w:numPr>
          <w:ilvl w:val="1"/>
          <w:numId w:val="98"/>
        </w:numPr>
        <w:rPr>
          <w:color w:val="auto"/>
          <w:highlight w:val="none"/>
        </w:rPr>
      </w:pPr>
      <w:r>
        <w:rPr>
          <w:color w:val="auto"/>
          <w:highlight w:val="none"/>
        </w:rPr>
        <w:t>密闭翼环应采用厚度大于 3mm 的钢板制作，密闭翼环与密闭穿墙短管的结合部位应满焊。</w:t>
      </w:r>
    </w:p>
    <w:p>
      <w:pPr>
        <w:pStyle w:val="7"/>
        <w:rPr>
          <w:color w:val="auto"/>
          <w:highlight w:val="none"/>
        </w:rPr>
      </w:pPr>
      <w:r>
        <w:rPr>
          <w:color w:val="auto"/>
          <w:highlight w:val="none"/>
        </w:rPr>
        <w:t>电气导管、线盒预留预埋（包括剪力墙、现浇顶板、砌体）</w:t>
      </w:r>
    </w:p>
    <w:p>
      <w:pPr>
        <w:pStyle w:val="8"/>
        <w:numPr>
          <w:ilvl w:val="0"/>
          <w:numId w:val="99"/>
        </w:numPr>
        <w:rPr>
          <w:color w:val="auto"/>
          <w:highlight w:val="none"/>
        </w:rPr>
      </w:pPr>
      <w:r>
        <w:rPr>
          <w:color w:val="auto"/>
          <w:highlight w:val="none"/>
        </w:rPr>
        <w:t>材料准备的要求</w:t>
      </w:r>
    </w:p>
    <w:p>
      <w:pPr>
        <w:pStyle w:val="9"/>
        <w:numPr>
          <w:ilvl w:val="1"/>
          <w:numId w:val="100"/>
        </w:numPr>
        <w:rPr>
          <w:color w:val="auto"/>
          <w:highlight w:val="none"/>
        </w:rPr>
      </w:pPr>
      <w:r>
        <w:rPr>
          <w:color w:val="auto"/>
          <w:highlight w:val="none"/>
        </w:rPr>
        <w:t>PVC 盒的表面一定要光滑，材质要好。钢制接线盒外观应干净，无脏污， 无划伤，无毛刺锐边。</w:t>
      </w:r>
    </w:p>
    <w:p>
      <w:pPr>
        <w:pStyle w:val="9"/>
        <w:numPr>
          <w:ilvl w:val="1"/>
          <w:numId w:val="100"/>
        </w:numPr>
        <w:rPr>
          <w:color w:val="auto"/>
          <w:highlight w:val="none"/>
        </w:rPr>
      </w:pPr>
      <w:r>
        <w:rPr>
          <w:color w:val="auto"/>
          <w:highlight w:val="none"/>
        </w:rPr>
        <w:t>管件表面内壁一定要光滑，不应有裂痕，毛刺。厚度符合规范要求。</w:t>
      </w:r>
    </w:p>
    <w:p>
      <w:pPr>
        <w:pStyle w:val="9"/>
        <w:numPr>
          <w:ilvl w:val="1"/>
          <w:numId w:val="100"/>
        </w:numPr>
        <w:rPr>
          <w:color w:val="auto"/>
          <w:highlight w:val="none"/>
        </w:rPr>
      </w:pPr>
      <w:r>
        <w:rPr>
          <w:color w:val="auto"/>
          <w:highlight w:val="none"/>
        </w:rPr>
        <w:t>钢管直接头，厚度要符合验收质量标准，表面光滑，无毛刺，镀锌层完好。</w:t>
      </w:r>
    </w:p>
    <w:p>
      <w:pPr>
        <w:pStyle w:val="9"/>
        <w:numPr>
          <w:ilvl w:val="1"/>
          <w:numId w:val="100"/>
        </w:numPr>
        <w:rPr>
          <w:color w:val="auto"/>
          <w:highlight w:val="none"/>
        </w:rPr>
      </w:pPr>
      <w:r>
        <w:rPr>
          <w:color w:val="auto"/>
          <w:highlight w:val="none"/>
        </w:rPr>
        <w:t>接地线为软芯铜导线，接地管卡配套。</w:t>
      </w:r>
    </w:p>
    <w:p>
      <w:pPr>
        <w:pStyle w:val="8"/>
        <w:numPr>
          <w:ilvl w:val="0"/>
          <w:numId w:val="97"/>
        </w:numPr>
        <w:rPr>
          <w:color w:val="auto"/>
          <w:highlight w:val="none"/>
        </w:rPr>
      </w:pPr>
      <w:r>
        <w:rPr>
          <w:color w:val="auto"/>
          <w:highlight w:val="none"/>
        </w:rPr>
        <w:t>确定管、盒位置</w:t>
      </w:r>
    </w:p>
    <w:p>
      <w:pPr>
        <w:pStyle w:val="9"/>
        <w:numPr>
          <w:ilvl w:val="1"/>
          <w:numId w:val="101"/>
        </w:numPr>
        <w:rPr>
          <w:color w:val="auto"/>
          <w:highlight w:val="none"/>
        </w:rPr>
      </w:pPr>
      <w:r>
        <w:rPr>
          <w:color w:val="auto"/>
          <w:highlight w:val="none"/>
        </w:rPr>
        <w:t>顶板类在模板上画出线盒位置线。</w:t>
      </w:r>
    </w:p>
    <w:p>
      <w:pPr>
        <w:pStyle w:val="9"/>
        <w:numPr>
          <w:ilvl w:val="1"/>
          <w:numId w:val="101"/>
        </w:numPr>
        <w:rPr>
          <w:color w:val="auto"/>
          <w:highlight w:val="none"/>
        </w:rPr>
      </w:pPr>
      <w:r>
        <w:rPr>
          <w:color w:val="auto"/>
          <w:highlight w:val="none"/>
        </w:rPr>
        <w:t>墙面类用盒尺和水平仪确定线盒位置并在钢筋上标记（定位时考虑保护层厚度和建筑做法）。</w:t>
      </w:r>
    </w:p>
    <w:p>
      <w:pPr>
        <w:pStyle w:val="8"/>
        <w:numPr>
          <w:ilvl w:val="0"/>
          <w:numId w:val="97"/>
        </w:numPr>
        <w:rPr>
          <w:color w:val="auto"/>
          <w:highlight w:val="none"/>
        </w:rPr>
      </w:pPr>
      <w:r>
        <w:rPr>
          <w:color w:val="auto"/>
          <w:highlight w:val="none"/>
        </w:rPr>
        <w:t>固定线盒</w:t>
      </w:r>
    </w:p>
    <w:p>
      <w:pPr>
        <w:pStyle w:val="9"/>
        <w:numPr>
          <w:ilvl w:val="1"/>
          <w:numId w:val="102"/>
        </w:numPr>
        <w:rPr>
          <w:color w:val="auto"/>
          <w:highlight w:val="none"/>
        </w:rPr>
      </w:pPr>
      <w:r>
        <w:rPr>
          <w:color w:val="auto"/>
          <w:highlight w:val="none"/>
        </w:rPr>
        <w:t>固定线盒时须在堵盒前首先堵好管口。</w:t>
      </w:r>
    </w:p>
    <w:p>
      <w:pPr>
        <w:pStyle w:val="9"/>
        <w:numPr>
          <w:ilvl w:val="1"/>
          <w:numId w:val="102"/>
        </w:numPr>
        <w:rPr>
          <w:color w:val="auto"/>
          <w:highlight w:val="none"/>
        </w:rPr>
      </w:pPr>
      <w:r>
        <w:rPr>
          <w:color w:val="auto"/>
          <w:highlight w:val="none"/>
        </w:rPr>
        <w:t>为防止混凝土浇筑时线盒偏位，底盒绑扎时应加背筋。</w:t>
      </w:r>
    </w:p>
    <w:p>
      <w:pPr>
        <w:pStyle w:val="9"/>
        <w:numPr>
          <w:ilvl w:val="1"/>
          <w:numId w:val="102"/>
        </w:numPr>
        <w:rPr>
          <w:color w:val="auto"/>
          <w:highlight w:val="none"/>
        </w:rPr>
      </w:pPr>
      <w:r>
        <w:rPr>
          <w:color w:val="auto"/>
          <w:highlight w:val="none"/>
        </w:rPr>
        <w:t>灯盒应该安装在房间或功能分区的中心。</w:t>
      </w:r>
    </w:p>
    <w:p>
      <w:pPr>
        <w:pStyle w:val="9"/>
        <w:numPr>
          <w:ilvl w:val="1"/>
          <w:numId w:val="102"/>
        </w:numPr>
        <w:rPr>
          <w:color w:val="auto"/>
          <w:highlight w:val="none"/>
        </w:rPr>
      </w:pPr>
      <w:r>
        <w:rPr>
          <w:color w:val="auto"/>
          <w:highlight w:val="none"/>
        </w:rPr>
        <w:t>同一室内的底盒标高差≤3mm，并排插座开关面板高度差≤1mm。</w:t>
      </w:r>
    </w:p>
    <w:p>
      <w:pPr>
        <w:pStyle w:val="9"/>
        <w:numPr>
          <w:ilvl w:val="1"/>
          <w:numId w:val="102"/>
        </w:numPr>
        <w:rPr>
          <w:color w:val="auto"/>
          <w:highlight w:val="none"/>
        </w:rPr>
      </w:pPr>
      <w:r>
        <w:rPr>
          <w:color w:val="auto"/>
          <w:highlight w:val="none"/>
        </w:rPr>
        <w:t>固定钢筋不小于 ф8。</w:t>
      </w:r>
    </w:p>
    <w:p>
      <w:pPr>
        <w:pStyle w:val="8"/>
        <w:numPr>
          <w:ilvl w:val="0"/>
          <w:numId w:val="97"/>
        </w:numPr>
        <w:rPr>
          <w:color w:val="auto"/>
          <w:highlight w:val="none"/>
        </w:rPr>
      </w:pPr>
      <w:r>
        <w:rPr>
          <w:color w:val="auto"/>
          <w:highlight w:val="none"/>
        </w:rPr>
        <w:t>敷设管路</w:t>
      </w:r>
    </w:p>
    <w:p>
      <w:pPr>
        <w:pStyle w:val="9"/>
        <w:numPr>
          <w:ilvl w:val="1"/>
          <w:numId w:val="103"/>
        </w:numPr>
        <w:rPr>
          <w:color w:val="auto"/>
          <w:highlight w:val="none"/>
        </w:rPr>
      </w:pPr>
      <w:r>
        <w:rPr>
          <w:color w:val="auto"/>
          <w:highlight w:val="none"/>
        </w:rPr>
        <w:t>管路必须敷设在钢筋网内侧和上下层钢筋之间,与钢筋绑扎固定。管路宜沿最近的路线敷设并尽量减少弯曲和交叉。</w:t>
      </w:r>
    </w:p>
    <w:p>
      <w:pPr>
        <w:pStyle w:val="9"/>
        <w:numPr>
          <w:ilvl w:val="1"/>
          <w:numId w:val="103"/>
        </w:numPr>
        <w:rPr>
          <w:color w:val="auto"/>
          <w:highlight w:val="none"/>
        </w:rPr>
      </w:pPr>
      <w:r>
        <w:rPr>
          <w:color w:val="auto"/>
          <w:highlight w:val="none"/>
        </w:rPr>
        <w:t>布管完成后，用扎丝绑扎在钢筋的底板筋上。</w:t>
      </w:r>
    </w:p>
    <w:p>
      <w:pPr>
        <w:pStyle w:val="9"/>
        <w:numPr>
          <w:ilvl w:val="1"/>
          <w:numId w:val="103"/>
        </w:numPr>
        <w:rPr>
          <w:color w:val="auto"/>
          <w:highlight w:val="none"/>
        </w:rPr>
      </w:pPr>
      <w:r>
        <w:rPr>
          <w:color w:val="auto"/>
          <w:highlight w:val="none"/>
        </w:rPr>
        <w:t>管口必须封堵严密。</w:t>
      </w:r>
    </w:p>
    <w:p>
      <w:pPr>
        <w:pStyle w:val="9"/>
        <w:numPr>
          <w:ilvl w:val="1"/>
          <w:numId w:val="103"/>
        </w:numPr>
        <w:rPr>
          <w:color w:val="auto"/>
          <w:highlight w:val="none"/>
        </w:rPr>
      </w:pPr>
      <w:r>
        <w:rPr>
          <w:color w:val="auto"/>
          <w:highlight w:val="none"/>
        </w:rPr>
        <w:t>向上的管路在引出位置应用钢筋固定,用以固定位置和保护管路不受外力损伤折断。</w:t>
      </w:r>
    </w:p>
    <w:p>
      <w:pPr>
        <w:pStyle w:val="9"/>
        <w:numPr>
          <w:ilvl w:val="1"/>
          <w:numId w:val="103"/>
        </w:numPr>
        <w:rPr>
          <w:color w:val="auto"/>
          <w:highlight w:val="none"/>
        </w:rPr>
      </w:pPr>
      <w:r>
        <w:rPr>
          <w:color w:val="auto"/>
          <w:highlight w:val="none"/>
        </w:rPr>
        <w:t>弯曲半径不小于管外径的六倍，且弯曲后无裂缝或显著的凹瘪现象。</w:t>
      </w:r>
    </w:p>
    <w:p>
      <w:pPr>
        <w:pStyle w:val="9"/>
        <w:numPr>
          <w:ilvl w:val="1"/>
          <w:numId w:val="103"/>
        </w:numPr>
        <w:rPr>
          <w:color w:val="auto"/>
          <w:highlight w:val="none"/>
        </w:rPr>
      </w:pPr>
      <w:r>
        <w:rPr>
          <w:color w:val="auto"/>
          <w:highlight w:val="none"/>
        </w:rPr>
        <w:t>离表面的净距不小于 15mm，并列的管子间应留有间隙。</w:t>
      </w:r>
    </w:p>
    <w:p>
      <w:pPr>
        <w:pStyle w:val="9"/>
        <w:numPr>
          <w:ilvl w:val="1"/>
          <w:numId w:val="103"/>
        </w:numPr>
        <w:rPr>
          <w:color w:val="auto"/>
          <w:highlight w:val="none"/>
        </w:rPr>
      </w:pPr>
      <w:r>
        <w:rPr>
          <w:color w:val="auto"/>
          <w:highlight w:val="none"/>
        </w:rPr>
        <w:t>混凝土结构内电管暗敷出梁、楼面偏差≤30mm。</w:t>
      </w:r>
    </w:p>
    <w:p>
      <w:pPr>
        <w:pStyle w:val="9"/>
        <w:numPr>
          <w:ilvl w:val="1"/>
          <w:numId w:val="103"/>
        </w:numPr>
        <w:rPr>
          <w:color w:val="auto"/>
          <w:highlight w:val="none"/>
        </w:rPr>
      </w:pPr>
      <w:r>
        <w:rPr>
          <w:color w:val="auto"/>
          <w:highlight w:val="none"/>
        </w:rPr>
        <w:t>绑扎点距离应≤500mm，管的直接处与绑扎点间距应≤15mm。管与盒的接头处与绑扎点间距应≤10mm。</w:t>
      </w:r>
    </w:p>
    <w:p>
      <w:pPr>
        <w:pStyle w:val="8"/>
        <w:numPr>
          <w:ilvl w:val="0"/>
          <w:numId w:val="28"/>
        </w:numPr>
        <w:rPr>
          <w:color w:val="auto"/>
          <w:highlight w:val="none"/>
        </w:rPr>
      </w:pPr>
      <w:r>
        <w:rPr>
          <w:color w:val="auto"/>
          <w:highlight w:val="none"/>
        </w:rPr>
        <w:t>管路连接、切断、弯曲</w:t>
      </w:r>
    </w:p>
    <w:p>
      <w:pPr>
        <w:pStyle w:val="9"/>
        <w:numPr>
          <w:ilvl w:val="1"/>
          <w:numId w:val="104"/>
        </w:numPr>
        <w:rPr>
          <w:color w:val="auto"/>
          <w:highlight w:val="none"/>
        </w:rPr>
      </w:pPr>
      <w:r>
        <w:rPr>
          <w:color w:val="auto"/>
          <w:highlight w:val="none"/>
        </w:rPr>
        <w:t>管路与管路的连接：使用与管路配套的套管和专用粘接剂。</w:t>
      </w:r>
    </w:p>
    <w:p>
      <w:pPr>
        <w:pStyle w:val="9"/>
        <w:numPr>
          <w:ilvl w:val="1"/>
          <w:numId w:val="104"/>
        </w:numPr>
        <w:rPr>
          <w:color w:val="auto"/>
          <w:highlight w:val="none"/>
        </w:rPr>
      </w:pPr>
      <w:r>
        <w:rPr>
          <w:color w:val="auto"/>
          <w:highlight w:val="none"/>
        </w:rPr>
        <w:t>管路与箱盒的连接：使用配套的盒接头和胶粘剂，并用配套的锁母固定。</w:t>
      </w:r>
    </w:p>
    <w:p>
      <w:pPr>
        <w:pStyle w:val="9"/>
        <w:numPr>
          <w:ilvl w:val="1"/>
          <w:numId w:val="104"/>
        </w:numPr>
        <w:rPr>
          <w:color w:val="auto"/>
          <w:highlight w:val="none"/>
        </w:rPr>
      </w:pPr>
      <w:r>
        <w:rPr>
          <w:color w:val="auto"/>
          <w:highlight w:val="none"/>
        </w:rPr>
        <w:t>管路切断的过程中不能使切断的管口发生变形，钢管则必须用钢锉把管口内外的毛刺修整平齐，不能出现斜口。</w:t>
      </w:r>
    </w:p>
    <w:p>
      <w:pPr>
        <w:pStyle w:val="9"/>
        <w:numPr>
          <w:ilvl w:val="1"/>
          <w:numId w:val="104"/>
        </w:numPr>
        <w:rPr>
          <w:color w:val="auto"/>
          <w:highlight w:val="none"/>
        </w:rPr>
      </w:pPr>
      <w:r>
        <w:rPr>
          <w:color w:val="auto"/>
          <w:highlight w:val="none"/>
        </w:rPr>
        <w:t>直径在 32mm 以下的管路，使用配套的弯管弹簧，直径在 32mm 以上的管路使用热煨法。</w:t>
      </w:r>
    </w:p>
    <w:p>
      <w:pPr>
        <w:pStyle w:val="9"/>
        <w:numPr>
          <w:ilvl w:val="1"/>
          <w:numId w:val="104"/>
        </w:numPr>
        <w:rPr>
          <w:color w:val="auto"/>
          <w:highlight w:val="none"/>
        </w:rPr>
      </w:pPr>
      <w:r>
        <w:rPr>
          <w:color w:val="auto"/>
          <w:highlight w:val="none"/>
        </w:rPr>
        <w:t>管口锉光滑、平整，接头应牢固紧密。</w:t>
      </w:r>
    </w:p>
    <w:p>
      <w:pPr>
        <w:pStyle w:val="9"/>
        <w:numPr>
          <w:ilvl w:val="1"/>
          <w:numId w:val="104"/>
        </w:numPr>
        <w:rPr>
          <w:color w:val="auto"/>
          <w:highlight w:val="none"/>
        </w:rPr>
      </w:pPr>
      <w:r>
        <w:rPr>
          <w:color w:val="auto"/>
          <w:highlight w:val="none"/>
        </w:rPr>
        <w:t>弯曲半径不小于管外径的 6 倍，且弯曲后无裂缝或显著的凹瘪现象。</w:t>
      </w:r>
    </w:p>
    <w:p>
      <w:pPr>
        <w:pStyle w:val="9"/>
        <w:numPr>
          <w:ilvl w:val="1"/>
          <w:numId w:val="104"/>
        </w:numPr>
        <w:rPr>
          <w:color w:val="auto"/>
          <w:highlight w:val="none"/>
        </w:rPr>
      </w:pPr>
      <w:r>
        <w:rPr>
          <w:color w:val="auto"/>
          <w:highlight w:val="none"/>
        </w:rPr>
        <w:t>管路切断处切口平顺、无毛刺。</w:t>
      </w:r>
    </w:p>
    <w:p>
      <w:pPr>
        <w:pStyle w:val="9"/>
        <w:numPr>
          <w:ilvl w:val="1"/>
          <w:numId w:val="104"/>
        </w:numPr>
        <w:rPr>
          <w:color w:val="auto"/>
          <w:highlight w:val="none"/>
        </w:rPr>
      </w:pPr>
      <w:r>
        <w:rPr>
          <w:color w:val="auto"/>
          <w:highlight w:val="none"/>
        </w:rPr>
        <w:t>镀锌钢管连接处胶带缠绕圈数不少于 4 圈。</w:t>
      </w:r>
    </w:p>
    <w:p>
      <w:pPr>
        <w:pStyle w:val="8"/>
        <w:numPr>
          <w:ilvl w:val="0"/>
          <w:numId w:val="28"/>
        </w:numPr>
        <w:rPr>
          <w:color w:val="auto"/>
          <w:highlight w:val="none"/>
        </w:rPr>
      </w:pPr>
      <w:r>
        <w:rPr>
          <w:color w:val="auto"/>
          <w:highlight w:val="none"/>
        </w:rPr>
        <w:t>跨接地线</w:t>
      </w:r>
    </w:p>
    <w:p>
      <w:pPr>
        <w:pStyle w:val="9"/>
        <w:numPr>
          <w:ilvl w:val="1"/>
          <w:numId w:val="105"/>
        </w:numPr>
        <w:rPr>
          <w:color w:val="auto"/>
          <w:highlight w:val="none"/>
        </w:rPr>
      </w:pPr>
      <w:r>
        <w:rPr>
          <w:color w:val="auto"/>
          <w:highlight w:val="none"/>
        </w:rPr>
        <w:t>镀锌的钢导管、可挠性导管和金属线槽不得熔焊跨接接地线，以专用接地线卡跨接的两卡间连线为铜芯软导线。</w:t>
      </w:r>
    </w:p>
    <w:p>
      <w:pPr>
        <w:pStyle w:val="9"/>
        <w:numPr>
          <w:ilvl w:val="1"/>
          <w:numId w:val="105"/>
        </w:numPr>
        <w:rPr>
          <w:color w:val="auto"/>
          <w:highlight w:val="none"/>
        </w:rPr>
      </w:pPr>
      <w:r>
        <w:rPr>
          <w:color w:val="auto"/>
          <w:highlight w:val="none"/>
        </w:rPr>
        <w:t>导线截面积不小于 4mm²。</w:t>
      </w:r>
    </w:p>
    <w:p>
      <w:pPr>
        <w:pStyle w:val="9"/>
        <w:numPr>
          <w:ilvl w:val="1"/>
          <w:numId w:val="105"/>
        </w:numPr>
        <w:rPr>
          <w:color w:val="auto"/>
          <w:highlight w:val="none"/>
        </w:rPr>
      </w:pPr>
      <w:r>
        <w:rPr>
          <w:color w:val="auto"/>
          <w:highlight w:val="none"/>
        </w:rPr>
        <w:t>使用与镀锌钢管配套的专业接地线卡。</w:t>
      </w:r>
    </w:p>
    <w:p>
      <w:pPr>
        <w:pStyle w:val="8"/>
        <w:numPr>
          <w:ilvl w:val="0"/>
          <w:numId w:val="28"/>
        </w:numPr>
        <w:rPr>
          <w:color w:val="auto"/>
          <w:highlight w:val="none"/>
        </w:rPr>
      </w:pPr>
      <w:r>
        <w:rPr>
          <w:color w:val="auto"/>
          <w:highlight w:val="none"/>
        </w:rPr>
        <w:t>线管内应施工完成铝丝/钢丝/尼龙绳等导线穿线工作。</w:t>
      </w:r>
    </w:p>
    <w:p>
      <w:pPr>
        <w:pStyle w:val="7"/>
        <w:rPr>
          <w:color w:val="auto"/>
          <w:highlight w:val="none"/>
        </w:rPr>
      </w:pPr>
      <w:r>
        <w:rPr>
          <w:color w:val="auto"/>
          <w:highlight w:val="none"/>
        </w:rPr>
        <w:t>多媒体箱、配电箱预制件</w:t>
      </w:r>
    </w:p>
    <w:p>
      <w:pPr>
        <w:pStyle w:val="8"/>
        <w:numPr>
          <w:ilvl w:val="0"/>
          <w:numId w:val="106"/>
        </w:numPr>
        <w:rPr>
          <w:color w:val="auto"/>
          <w:highlight w:val="none"/>
        </w:rPr>
      </w:pPr>
      <w:r>
        <w:rPr>
          <w:color w:val="auto"/>
          <w:highlight w:val="none"/>
        </w:rPr>
        <w:t>制作模具</w:t>
      </w:r>
    </w:p>
    <w:p>
      <w:pPr>
        <w:pStyle w:val="34"/>
        <w:ind w:right="29" w:rightChars="12" w:firstLine="480"/>
        <w:rPr>
          <w:rFonts w:ascii="Times New Roman" w:hAnsi="Times New Roman" w:cs="Times New Roman"/>
          <w:color w:val="auto"/>
          <w:highlight w:val="none"/>
        </w:rPr>
      </w:pPr>
      <w:r>
        <w:rPr>
          <w:rFonts w:ascii="Times New Roman" w:hAnsi="Times New Roman" w:cs="Times New Roman"/>
          <w:color w:val="auto"/>
          <w:highlight w:val="none"/>
        </w:rPr>
        <w:t>根据电箱箱体尺寸、安装标高以及安装墙面砌筑砖匹数排版设计开模；定型模具应固定牢固，拆卸方便，采用钢模或木模都可，建议使用钢模；预制块不应太重，以施工人员能顺利搬运为宜，过大过高应设置成 2 块组合（内部配筋加强）；预制块凹槽净宽度宜为箱体宽度＋50mm（每边留 20-30mm 塞缝），凹槽深度为箱体底盒＋10mm；预制块厚度与砌块同；预制块开口尺寸超过300mm 或上部有斜顶砖处，其上部宜加 2 根钢筋带，托住上部砌块（钢筋位置需注意避开电线管开槽深度）。</w:t>
      </w:r>
    </w:p>
    <w:p>
      <w:pPr>
        <w:pStyle w:val="8"/>
        <w:numPr>
          <w:ilvl w:val="0"/>
          <w:numId w:val="97"/>
        </w:numPr>
        <w:rPr>
          <w:color w:val="auto"/>
          <w:highlight w:val="none"/>
        </w:rPr>
      </w:pPr>
      <w:r>
        <w:rPr>
          <w:color w:val="auto"/>
          <w:highlight w:val="none"/>
        </w:rPr>
        <w:t>墙体砌筑预制块安装：墙面砌筑时在电箱安装位将预制块预留墙体内。</w:t>
      </w:r>
    </w:p>
    <w:p>
      <w:pPr>
        <w:pStyle w:val="8"/>
        <w:numPr>
          <w:ilvl w:val="0"/>
          <w:numId w:val="97"/>
        </w:numPr>
        <w:rPr>
          <w:color w:val="auto"/>
          <w:highlight w:val="none"/>
        </w:rPr>
      </w:pPr>
      <w:r>
        <w:rPr>
          <w:color w:val="auto"/>
          <w:highlight w:val="none"/>
        </w:rPr>
        <w:t>安装电箱底盒：砌筑完成粉刷灰饼验收后，使用砂浆在预制块洞口处固定电箱底盒（电箱上下应将电线管洞预先开好）。</w:t>
      </w:r>
    </w:p>
    <w:p>
      <w:pPr>
        <w:pStyle w:val="8"/>
        <w:numPr>
          <w:ilvl w:val="0"/>
          <w:numId w:val="97"/>
        </w:numPr>
        <w:rPr>
          <w:color w:val="auto"/>
          <w:highlight w:val="none"/>
        </w:rPr>
      </w:pPr>
      <w:r>
        <w:rPr>
          <w:color w:val="auto"/>
          <w:highlight w:val="none"/>
        </w:rPr>
        <w:t>电箱底盒保护：线盒周边使用砂浆倒 45°坡口，箱体配管穿引线，下方管口堵口，箱体洞口用硬纸板(或塑料板)封闭。</w:t>
      </w:r>
    </w:p>
    <w:p>
      <w:pPr>
        <w:pStyle w:val="7"/>
        <w:rPr>
          <w:color w:val="auto"/>
          <w:highlight w:val="none"/>
        </w:rPr>
      </w:pPr>
      <w:r>
        <w:rPr>
          <w:color w:val="auto"/>
          <w:highlight w:val="none"/>
        </w:rPr>
        <w:t>砌体墙面、混凝土墙面管线暗埋、后开槽与混凝土留洞技术措施及注意事项：</w:t>
      </w:r>
    </w:p>
    <w:p>
      <w:pPr>
        <w:pStyle w:val="8"/>
        <w:numPr>
          <w:ilvl w:val="0"/>
          <w:numId w:val="107"/>
        </w:numPr>
        <w:rPr>
          <w:color w:val="auto"/>
          <w:highlight w:val="none"/>
        </w:rPr>
      </w:pPr>
      <w:r>
        <w:rPr>
          <w:color w:val="auto"/>
          <w:highlight w:val="none"/>
        </w:rPr>
        <w:t>线管管槽定位：根据精装图纸，确定线盒及配管位置、放线、画线；</w:t>
      </w:r>
    </w:p>
    <w:p>
      <w:pPr>
        <w:pStyle w:val="8"/>
        <w:numPr>
          <w:ilvl w:val="0"/>
          <w:numId w:val="107"/>
        </w:numPr>
        <w:rPr>
          <w:color w:val="auto"/>
          <w:highlight w:val="none"/>
        </w:rPr>
      </w:pPr>
      <w:r>
        <w:rPr>
          <w:color w:val="auto"/>
          <w:highlight w:val="none"/>
        </w:rPr>
        <w:t>切槽：使用多片切槽机切槽，用凿子剔出管槽里多余的砖渣,管槽宽度比管的外径大 10mm，槽深为 D+15mm。墙面水平开槽的长度不得大于 50cm；</w:t>
      </w:r>
    </w:p>
    <w:p>
      <w:pPr>
        <w:pStyle w:val="8"/>
        <w:numPr>
          <w:ilvl w:val="0"/>
          <w:numId w:val="107"/>
        </w:numPr>
        <w:rPr>
          <w:color w:val="auto"/>
          <w:highlight w:val="none"/>
        </w:rPr>
      </w:pPr>
      <w:r>
        <w:rPr>
          <w:color w:val="auto"/>
          <w:highlight w:val="none"/>
        </w:rPr>
        <w:t>敷设线管及固定线管：放入槽后，每隔 0.5m 须用铁钉固定。首先用水浇湿管槽，再用高一标号水泥砂浆修补（砂浆强度等级不低于 M10，两根管槽以下）；三根配管以上用细石混凝土补槽，并挂玻纤网（玻纤网宽度超过管道两边不小于 10cm）；最后由土建统一面层抹灰,并排管间距 h≥15mm，D 为线管直径。</w:t>
      </w:r>
    </w:p>
    <w:p>
      <w:pPr>
        <w:pStyle w:val="34"/>
        <w:ind w:right="29" w:rightChars="12" w:firstLine="480"/>
        <w:jc w:val="center"/>
        <w:rPr>
          <w:rFonts w:ascii="Times New Roman" w:hAnsi="Times New Roman" w:cs="Times New Roman"/>
          <w:color w:val="auto"/>
          <w:sz w:val="13"/>
          <w:highlight w:val="none"/>
        </w:rPr>
      </w:pPr>
      <w:r>
        <w:rPr>
          <w:rFonts w:ascii="Times New Roman" w:hAnsi="Times New Roman" w:cs="Times New Roman"/>
          <w:color w:val="auto"/>
          <w:highlight w:val="none"/>
        </w:rPr>
        <w:drawing>
          <wp:inline distT="0" distB="0" distL="0" distR="0">
            <wp:extent cx="4008120" cy="1816735"/>
            <wp:effectExtent l="0" t="0" r="0" b="0"/>
            <wp:docPr id="29"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3.png"/>
                    <pic:cNvPicPr>
                      <a:picLocks noChangeAspect="1"/>
                    </pic:cNvPicPr>
                  </pic:nvPicPr>
                  <pic:blipFill>
                    <a:blip r:embed="rId15" cstate="print"/>
                    <a:stretch>
                      <a:fillRect/>
                    </a:stretch>
                  </pic:blipFill>
                  <pic:spPr>
                    <a:xfrm>
                      <a:off x="0" y="0"/>
                      <a:ext cx="4008119" cy="1816607"/>
                    </a:xfrm>
                    <a:prstGeom prst="rect">
                      <a:avLst/>
                    </a:prstGeom>
                  </pic:spPr>
                </pic:pic>
              </a:graphicData>
            </a:graphic>
          </wp:inline>
        </w:drawing>
      </w:r>
    </w:p>
    <w:p>
      <w:pPr>
        <w:pStyle w:val="8"/>
        <w:numPr>
          <w:ilvl w:val="0"/>
          <w:numId w:val="107"/>
        </w:numPr>
        <w:rPr>
          <w:color w:val="auto"/>
          <w:highlight w:val="none"/>
        </w:rPr>
      </w:pPr>
      <w:r>
        <w:rPr>
          <w:color w:val="auto"/>
          <w:highlight w:val="none"/>
        </w:rPr>
        <w:t>注意事项</w:t>
      </w:r>
    </w:p>
    <w:p>
      <w:pPr>
        <w:pStyle w:val="9"/>
        <w:numPr>
          <w:ilvl w:val="1"/>
          <w:numId w:val="108"/>
        </w:numPr>
        <w:rPr>
          <w:color w:val="auto"/>
          <w:highlight w:val="none"/>
        </w:rPr>
      </w:pPr>
      <w:r>
        <w:rPr>
          <w:color w:val="auto"/>
          <w:highlight w:val="none"/>
        </w:rPr>
        <w:t>禁止现场抹灰墙面存在后开槽：在土建施工阶段加强与土建、精装修施工图纸复核，将精装修点位预留到位；加强现场施工工序的控制，管线开 槽、封堵应在砌筑阶段施工完成。</w:t>
      </w:r>
    </w:p>
    <w:p>
      <w:pPr>
        <w:pStyle w:val="9"/>
        <w:numPr>
          <w:ilvl w:val="1"/>
          <w:numId w:val="108"/>
        </w:numPr>
        <w:rPr>
          <w:color w:val="auto"/>
          <w:highlight w:val="none"/>
        </w:rPr>
      </w:pPr>
      <w:r>
        <w:rPr>
          <w:color w:val="auto"/>
          <w:highlight w:val="none"/>
        </w:rPr>
        <w:t>禁止混凝土墙面管线暗埋后开槽：在结构施工阶段，加强施工前的图纸会审，复核水电点位，将水电点位定位准确，合理布置管线，预留管槽，避免结构后开槽。</w:t>
      </w:r>
    </w:p>
    <w:p>
      <w:pPr>
        <w:pStyle w:val="9"/>
        <w:numPr>
          <w:ilvl w:val="1"/>
          <w:numId w:val="108"/>
        </w:numPr>
        <w:rPr>
          <w:color w:val="auto"/>
          <w:highlight w:val="none"/>
        </w:rPr>
      </w:pPr>
      <w:r>
        <w:rPr>
          <w:color w:val="auto"/>
          <w:highlight w:val="none"/>
        </w:rPr>
        <w:t>混凝土留洞：加强施工前的图纸会审，复核机电施工点位，将预留孔洞定位准确，避免结构后开洞、扩孔破坏钢筋，保证结构安全。</w:t>
      </w:r>
    </w:p>
    <w:p>
      <w:pPr>
        <w:pStyle w:val="5"/>
        <w:rPr>
          <w:color w:val="auto"/>
          <w:highlight w:val="none"/>
        </w:rPr>
      </w:pPr>
      <w:r>
        <w:rPr>
          <w:color w:val="auto"/>
          <w:highlight w:val="none"/>
        </w:rPr>
        <w:t>给排水工程</w:t>
      </w:r>
    </w:p>
    <w:p>
      <w:pPr>
        <w:pStyle w:val="34"/>
        <w:ind w:firstLine="480"/>
        <w:rPr>
          <w:color w:val="auto"/>
          <w:highlight w:val="none"/>
        </w:rPr>
      </w:pPr>
      <w:r>
        <w:rPr>
          <w:color w:val="auto"/>
          <w:highlight w:val="none"/>
        </w:rPr>
        <w:t>套管比立管大 2 个管号，套管间隙 10～20mm 为宜，套管高出装饰面层 20～</w:t>
      </w:r>
    </w:p>
    <w:p>
      <w:pPr>
        <w:pStyle w:val="34"/>
        <w:ind w:firstLine="480"/>
        <w:rPr>
          <w:color w:val="auto"/>
          <w:highlight w:val="none"/>
        </w:rPr>
      </w:pPr>
      <w:r>
        <w:rPr>
          <w:color w:val="auto"/>
          <w:highlight w:val="none"/>
        </w:rPr>
        <w:t>30mm，多水房间时应为 50mm，穿屋面应为 1000mm。套管安装前内外刷防锈漆。调整套管与管道的同心度，套管与板底平齐，管道安装就位后，用沥青油膏或膨胀水泥砂浆嵌缝。</w:t>
      </w:r>
    </w:p>
    <w:p>
      <w:pPr>
        <w:pStyle w:val="7"/>
        <w:rPr>
          <w:color w:val="auto"/>
          <w:highlight w:val="none"/>
        </w:rPr>
      </w:pPr>
      <w:r>
        <w:rPr>
          <w:color w:val="auto"/>
          <w:highlight w:val="none"/>
        </w:rPr>
        <w:t>给水系统–衬塑钢管安装</w:t>
      </w:r>
    </w:p>
    <w:p>
      <w:pPr>
        <w:pStyle w:val="34"/>
        <w:ind w:firstLine="480"/>
        <w:rPr>
          <w:color w:val="auto"/>
          <w:highlight w:val="none"/>
        </w:rPr>
      </w:pPr>
      <w:r>
        <w:rPr>
          <w:color w:val="auto"/>
          <w:highlight w:val="none"/>
        </w:rPr>
        <w:t>总承包人需审核施工图纸及其它技术文件是否齐全，图纸深度是否满足施 工要求；管道布置空间与建筑物及其它专业管道是否有交叉和矛盾，与设备、阀件相连接的口径、方位、坐标、标高是否相符；检查土建施工预留槽洞、 套管位置是否正确。</w:t>
      </w:r>
    </w:p>
    <w:p>
      <w:pPr>
        <w:pStyle w:val="8"/>
        <w:numPr>
          <w:ilvl w:val="0"/>
          <w:numId w:val="109"/>
        </w:numPr>
        <w:rPr>
          <w:color w:val="auto"/>
          <w:highlight w:val="none"/>
        </w:rPr>
      </w:pPr>
      <w:r>
        <w:rPr>
          <w:color w:val="auto"/>
          <w:highlight w:val="none"/>
        </w:rPr>
        <w:t>管材切割：应使用电动带锯、高速电动圆锯机等垂直切割，严防切管衬层变形、损坏。</w:t>
      </w:r>
    </w:p>
    <w:p>
      <w:pPr>
        <w:pStyle w:val="8"/>
        <w:numPr>
          <w:ilvl w:val="0"/>
          <w:numId w:val="107"/>
        </w:numPr>
        <w:rPr>
          <w:color w:val="auto"/>
          <w:highlight w:val="none"/>
        </w:rPr>
      </w:pPr>
      <w:r>
        <w:rPr>
          <w:color w:val="auto"/>
          <w:highlight w:val="none"/>
        </w:rPr>
        <w:t>加工管螺纹：准备加工螺纹的管段，外圆必须正常（不椭圆、无损伤），使 用套丝机或手工管子铰板加工螺纹。加工螺纹后，要用螺纹规鉴定是否标准。</w:t>
      </w:r>
    </w:p>
    <w:p>
      <w:pPr>
        <w:pStyle w:val="8"/>
        <w:numPr>
          <w:ilvl w:val="0"/>
          <w:numId w:val="107"/>
        </w:numPr>
        <w:rPr>
          <w:color w:val="auto"/>
          <w:highlight w:val="none"/>
        </w:rPr>
      </w:pPr>
      <w:r>
        <w:rPr>
          <w:color w:val="auto"/>
          <w:highlight w:val="none"/>
        </w:rPr>
        <w:t>里衬倒斜角：为了容易导入管件中的芯子夹层，用刮刀切去衬层厚度的一半； 倒角处必须保留衬层厚度的 1/2。</w:t>
      </w:r>
    </w:p>
    <w:p>
      <w:pPr>
        <w:pStyle w:val="8"/>
        <w:numPr>
          <w:ilvl w:val="0"/>
          <w:numId w:val="107"/>
        </w:numPr>
        <w:rPr>
          <w:color w:val="auto"/>
          <w:highlight w:val="none"/>
        </w:rPr>
      </w:pPr>
      <w:r>
        <w:rPr>
          <w:color w:val="auto"/>
          <w:highlight w:val="none"/>
        </w:rPr>
        <w:t>管道安装：用虎头钳子夹紧管子，装上管件，用手拧紧。</w:t>
      </w:r>
    </w:p>
    <w:p>
      <w:pPr>
        <w:pStyle w:val="8"/>
        <w:numPr>
          <w:ilvl w:val="0"/>
          <w:numId w:val="107"/>
        </w:numPr>
        <w:rPr>
          <w:color w:val="auto"/>
          <w:highlight w:val="none"/>
        </w:rPr>
      </w:pPr>
      <w:r>
        <w:rPr>
          <w:color w:val="auto"/>
          <w:highlight w:val="none"/>
        </w:rPr>
        <w:t>管道支吊架安装：所有管道支吊架应为钢制，制作完成后进行防锈刷漆处理。在阀门及大口径管道上需支撑的配/附件位置均应增设支吊架，以防止管道 受力过大。</w:t>
      </w:r>
    </w:p>
    <w:p>
      <w:pPr>
        <w:pStyle w:val="7"/>
        <w:rPr>
          <w:color w:val="auto"/>
          <w:highlight w:val="none"/>
        </w:rPr>
      </w:pPr>
      <w:r>
        <w:rPr>
          <w:color w:val="auto"/>
          <w:highlight w:val="none"/>
        </w:rPr>
        <w:t>给水系统–PPR 管道安装</w:t>
      </w:r>
    </w:p>
    <w:p>
      <w:pPr>
        <w:pStyle w:val="8"/>
        <w:numPr>
          <w:ilvl w:val="0"/>
          <w:numId w:val="110"/>
        </w:numPr>
        <w:rPr>
          <w:color w:val="auto"/>
          <w:highlight w:val="none"/>
        </w:rPr>
      </w:pPr>
      <w:r>
        <w:rPr>
          <w:color w:val="auto"/>
          <w:highlight w:val="none"/>
        </w:rPr>
        <w:t>材料验收</w:t>
      </w:r>
    </w:p>
    <w:p>
      <w:pPr>
        <w:pStyle w:val="9"/>
        <w:numPr>
          <w:ilvl w:val="1"/>
          <w:numId w:val="111"/>
        </w:numPr>
        <w:rPr>
          <w:color w:val="auto"/>
          <w:highlight w:val="none"/>
        </w:rPr>
      </w:pPr>
      <w:r>
        <w:rPr>
          <w:color w:val="auto"/>
          <w:highlight w:val="none"/>
        </w:rPr>
        <w:t>压力等级、外径、壁厚符合设计文件及规范要求，合格证等质量证明文件齐全。</w:t>
      </w:r>
    </w:p>
    <w:p>
      <w:pPr>
        <w:pStyle w:val="9"/>
        <w:numPr>
          <w:ilvl w:val="1"/>
          <w:numId w:val="111"/>
        </w:numPr>
        <w:rPr>
          <w:color w:val="auto"/>
          <w:highlight w:val="none"/>
        </w:rPr>
      </w:pPr>
      <w:r>
        <w:rPr>
          <w:color w:val="auto"/>
          <w:highlight w:val="none"/>
        </w:rPr>
        <w:t>管材和管件的内外壁应光滑平整，无气泡、裂纹、脱皮和明显的痕纹、凹陷，色泽应基本一致。</w:t>
      </w:r>
    </w:p>
    <w:p>
      <w:pPr>
        <w:pStyle w:val="9"/>
        <w:numPr>
          <w:ilvl w:val="1"/>
          <w:numId w:val="111"/>
        </w:numPr>
        <w:rPr>
          <w:color w:val="auto"/>
          <w:highlight w:val="none"/>
        </w:rPr>
      </w:pPr>
      <w:r>
        <w:rPr>
          <w:color w:val="auto"/>
          <w:highlight w:val="none"/>
        </w:rPr>
        <w:t>管材的断面应垂直于管材的轴线。管件应完整、无缺损、无变形。</w:t>
      </w:r>
    </w:p>
    <w:p>
      <w:pPr>
        <w:pStyle w:val="9"/>
        <w:numPr>
          <w:ilvl w:val="1"/>
          <w:numId w:val="111"/>
        </w:numPr>
        <w:rPr>
          <w:color w:val="auto"/>
          <w:highlight w:val="none"/>
        </w:rPr>
      </w:pPr>
      <w:r>
        <w:rPr>
          <w:color w:val="auto"/>
          <w:highlight w:val="none"/>
        </w:rPr>
        <w:t>搬运管材和管件时，应小心轻放，避免油污，严禁剧烈撞击，与尖锐物触碰和抛、摔、拖。</w:t>
      </w:r>
    </w:p>
    <w:p>
      <w:pPr>
        <w:pStyle w:val="9"/>
        <w:numPr>
          <w:ilvl w:val="1"/>
          <w:numId w:val="111"/>
        </w:numPr>
        <w:rPr>
          <w:color w:val="auto"/>
          <w:highlight w:val="none"/>
        </w:rPr>
      </w:pPr>
      <w:r>
        <w:rPr>
          <w:color w:val="auto"/>
          <w:highlight w:val="none"/>
        </w:rPr>
        <w:t>现场设置材料架，具有遮阳措施，管件和管材按标签平整堆放，堆放高度不可高于 1.5m。</w:t>
      </w:r>
    </w:p>
    <w:p>
      <w:pPr>
        <w:pStyle w:val="8"/>
        <w:numPr>
          <w:ilvl w:val="0"/>
          <w:numId w:val="107"/>
        </w:numPr>
        <w:rPr>
          <w:color w:val="auto"/>
          <w:highlight w:val="none"/>
        </w:rPr>
      </w:pPr>
      <w:r>
        <w:rPr>
          <w:color w:val="auto"/>
          <w:highlight w:val="none"/>
        </w:rPr>
        <w:t>支吊架施工</w:t>
      </w:r>
    </w:p>
    <w:p>
      <w:pPr>
        <w:pStyle w:val="9"/>
        <w:numPr>
          <w:ilvl w:val="1"/>
          <w:numId w:val="112"/>
        </w:numPr>
        <w:rPr>
          <w:color w:val="auto"/>
          <w:highlight w:val="none"/>
        </w:rPr>
      </w:pPr>
      <w:r>
        <w:rPr>
          <w:color w:val="auto"/>
          <w:highlight w:val="none"/>
        </w:rPr>
        <w:t>支架间距、型材规格符合相关规范、图集要求。</w:t>
      </w:r>
    </w:p>
    <w:p>
      <w:pPr>
        <w:pStyle w:val="9"/>
        <w:numPr>
          <w:ilvl w:val="1"/>
          <w:numId w:val="112"/>
        </w:numPr>
        <w:rPr>
          <w:color w:val="auto"/>
          <w:highlight w:val="none"/>
        </w:rPr>
      </w:pPr>
      <w:r>
        <w:rPr>
          <w:color w:val="auto"/>
          <w:highlight w:val="none"/>
        </w:rPr>
        <w:t>分支管采用专用管卡。</w:t>
      </w:r>
    </w:p>
    <w:p>
      <w:pPr>
        <w:pStyle w:val="9"/>
        <w:numPr>
          <w:ilvl w:val="1"/>
          <w:numId w:val="112"/>
        </w:numPr>
        <w:rPr>
          <w:color w:val="auto"/>
          <w:highlight w:val="none"/>
        </w:rPr>
      </w:pPr>
      <w:r>
        <w:rPr>
          <w:color w:val="auto"/>
          <w:highlight w:val="none"/>
        </w:rPr>
        <w:t>主干管（联合管道）采用型钢支架，支吊架除锈、刷漆；交付时支吊架漆面光洁、无锈蚀，型钢支吊架倒角。</w:t>
      </w:r>
    </w:p>
    <w:p>
      <w:pPr>
        <w:pStyle w:val="9"/>
        <w:numPr>
          <w:ilvl w:val="1"/>
          <w:numId w:val="112"/>
        </w:numPr>
        <w:rPr>
          <w:color w:val="auto"/>
          <w:highlight w:val="none"/>
        </w:rPr>
      </w:pPr>
      <w:r>
        <w:rPr>
          <w:color w:val="auto"/>
          <w:highlight w:val="none"/>
        </w:rPr>
        <w:t>采用金属管卡时，需加设橡胶垫片。</w:t>
      </w:r>
    </w:p>
    <w:p>
      <w:pPr>
        <w:pStyle w:val="9"/>
        <w:numPr>
          <w:ilvl w:val="1"/>
          <w:numId w:val="112"/>
        </w:numPr>
        <w:rPr>
          <w:color w:val="auto"/>
          <w:highlight w:val="none"/>
        </w:rPr>
      </w:pPr>
      <w:r>
        <w:rPr>
          <w:color w:val="auto"/>
          <w:highlight w:val="none"/>
        </w:rPr>
        <w:t>管道及管件安装</w:t>
      </w:r>
    </w:p>
    <w:p>
      <w:pPr>
        <w:pStyle w:val="9"/>
        <w:numPr>
          <w:ilvl w:val="1"/>
          <w:numId w:val="112"/>
        </w:numPr>
        <w:rPr>
          <w:color w:val="auto"/>
          <w:highlight w:val="none"/>
        </w:rPr>
      </w:pPr>
      <w:r>
        <w:rPr>
          <w:color w:val="auto"/>
          <w:highlight w:val="none"/>
        </w:rPr>
        <w:t>管道不得穿越电气设备间、风道、电梯井、排水设施。</w:t>
      </w:r>
    </w:p>
    <w:p>
      <w:pPr>
        <w:pStyle w:val="9"/>
        <w:numPr>
          <w:ilvl w:val="1"/>
          <w:numId w:val="112"/>
        </w:numPr>
        <w:rPr>
          <w:color w:val="auto"/>
          <w:highlight w:val="none"/>
        </w:rPr>
      </w:pPr>
      <w:r>
        <w:rPr>
          <w:color w:val="auto"/>
          <w:highlight w:val="none"/>
        </w:rPr>
        <w:t>横干管与墙、地沟净距≥100mm，与梁、柱≥50mm（无接头）。</w:t>
      </w:r>
    </w:p>
    <w:p>
      <w:pPr>
        <w:pStyle w:val="9"/>
        <w:numPr>
          <w:ilvl w:val="1"/>
          <w:numId w:val="112"/>
        </w:numPr>
        <w:rPr>
          <w:color w:val="auto"/>
          <w:highlight w:val="none"/>
        </w:rPr>
      </w:pPr>
      <w:r>
        <w:rPr>
          <w:color w:val="auto"/>
          <w:highlight w:val="none"/>
        </w:rPr>
        <w:t>立管管中心距柱≥50mm，根据管径大小距墙面 25mm～60mm。</w:t>
      </w:r>
    </w:p>
    <w:p>
      <w:pPr>
        <w:pStyle w:val="9"/>
        <w:numPr>
          <w:ilvl w:val="1"/>
          <w:numId w:val="112"/>
        </w:numPr>
        <w:rPr>
          <w:color w:val="auto"/>
          <w:highlight w:val="none"/>
        </w:rPr>
      </w:pPr>
      <w:r>
        <w:rPr>
          <w:color w:val="auto"/>
          <w:highlight w:val="none"/>
        </w:rPr>
        <w:t>管道平行安装时，冷水管位于热水管下方，连接器具时，冷水管位于热水管右侧。</w:t>
      </w:r>
    </w:p>
    <w:p>
      <w:pPr>
        <w:pStyle w:val="9"/>
        <w:numPr>
          <w:ilvl w:val="1"/>
          <w:numId w:val="112"/>
        </w:numPr>
        <w:rPr>
          <w:color w:val="auto"/>
          <w:highlight w:val="none"/>
        </w:rPr>
      </w:pPr>
      <w:r>
        <w:rPr>
          <w:color w:val="auto"/>
          <w:highlight w:val="none"/>
        </w:rPr>
        <w:t>管井内管道安装前，应深化图纸，保证安装及检修要求，合理排布。</w:t>
      </w:r>
    </w:p>
    <w:p>
      <w:pPr>
        <w:pStyle w:val="9"/>
        <w:numPr>
          <w:ilvl w:val="1"/>
          <w:numId w:val="112"/>
        </w:numPr>
        <w:rPr>
          <w:color w:val="auto"/>
          <w:highlight w:val="none"/>
        </w:rPr>
      </w:pPr>
      <w:r>
        <w:rPr>
          <w:color w:val="auto"/>
          <w:highlight w:val="none"/>
        </w:rPr>
        <w:t>与金属管连接时，采用丝扣或法兰连接。</w:t>
      </w:r>
    </w:p>
    <w:p>
      <w:pPr>
        <w:pStyle w:val="9"/>
        <w:numPr>
          <w:ilvl w:val="1"/>
          <w:numId w:val="112"/>
        </w:numPr>
        <w:rPr>
          <w:color w:val="auto"/>
          <w:highlight w:val="none"/>
        </w:rPr>
      </w:pPr>
      <w:r>
        <w:rPr>
          <w:color w:val="auto"/>
          <w:highlight w:val="none"/>
        </w:rPr>
        <w:t>给水引入管应有≥0.3%的坡度坡向室外。</w:t>
      </w:r>
    </w:p>
    <w:p>
      <w:pPr>
        <w:pStyle w:val="9"/>
        <w:numPr>
          <w:ilvl w:val="1"/>
          <w:numId w:val="112"/>
        </w:numPr>
        <w:rPr>
          <w:color w:val="auto"/>
          <w:highlight w:val="none"/>
        </w:rPr>
      </w:pPr>
      <w:r>
        <w:rPr>
          <w:color w:val="auto"/>
          <w:highlight w:val="none"/>
        </w:rPr>
        <w:t>热熔时，量出热熔深度，并做好标记，环境温度＜5</w:t>
      </w:r>
      <w:r>
        <w:rPr>
          <w:rFonts w:hint="eastAsia"/>
          <w:color w:val="auto"/>
          <w:highlight w:val="none"/>
        </w:rPr>
        <w:t>℃</w:t>
      </w:r>
      <w:r>
        <w:rPr>
          <w:color w:val="auto"/>
          <w:highlight w:val="none"/>
        </w:rPr>
        <w:t>时，加热时间延长</w:t>
      </w:r>
    </w:p>
    <w:p>
      <w:pPr>
        <w:pStyle w:val="9"/>
        <w:numPr>
          <w:ilvl w:val="1"/>
          <w:numId w:val="112"/>
        </w:numPr>
        <w:rPr>
          <w:color w:val="auto"/>
          <w:highlight w:val="none"/>
        </w:rPr>
      </w:pPr>
      <w:r>
        <w:rPr>
          <w:color w:val="auto"/>
          <w:highlight w:val="none"/>
        </w:rPr>
        <w:t>50%。</w:t>
      </w:r>
    </w:p>
    <w:p>
      <w:pPr>
        <w:pStyle w:val="9"/>
        <w:numPr>
          <w:ilvl w:val="1"/>
          <w:numId w:val="112"/>
        </w:numPr>
        <w:rPr>
          <w:color w:val="auto"/>
          <w:highlight w:val="none"/>
        </w:rPr>
      </w:pPr>
      <w:r>
        <w:rPr>
          <w:color w:val="auto"/>
          <w:highlight w:val="none"/>
        </w:rPr>
        <w:t>法兰盘压力等级相同，法兰垂直于管轴线，表面相互平行，橡胶垫无毒、抗老化；螺栓规格相同，方向一致，螺栓应露出螺母 2～3 扣丝。</w:t>
      </w:r>
    </w:p>
    <w:p>
      <w:pPr>
        <w:pStyle w:val="8"/>
        <w:numPr>
          <w:ilvl w:val="0"/>
          <w:numId w:val="107"/>
        </w:numPr>
        <w:rPr>
          <w:color w:val="auto"/>
          <w:highlight w:val="none"/>
        </w:rPr>
      </w:pPr>
      <w:r>
        <w:rPr>
          <w:color w:val="auto"/>
          <w:highlight w:val="none"/>
        </w:rPr>
        <w:t>管道试压及冲洗</w:t>
      </w:r>
    </w:p>
    <w:p>
      <w:pPr>
        <w:pStyle w:val="9"/>
        <w:numPr>
          <w:ilvl w:val="1"/>
          <w:numId w:val="113"/>
        </w:numPr>
        <w:rPr>
          <w:color w:val="auto"/>
          <w:highlight w:val="none"/>
        </w:rPr>
      </w:pPr>
      <w:r>
        <w:rPr>
          <w:color w:val="auto"/>
          <w:highlight w:val="none"/>
        </w:rPr>
        <w:t>压力试压前，系统管道中阀门位于开启状态，水表采用短支管替代。</w:t>
      </w:r>
    </w:p>
    <w:p>
      <w:pPr>
        <w:pStyle w:val="9"/>
        <w:numPr>
          <w:ilvl w:val="1"/>
          <w:numId w:val="113"/>
        </w:numPr>
        <w:rPr>
          <w:color w:val="auto"/>
          <w:highlight w:val="none"/>
        </w:rPr>
      </w:pPr>
      <w:r>
        <w:rPr>
          <w:color w:val="auto"/>
          <w:highlight w:val="none"/>
        </w:rPr>
        <w:t>热连接的管道，水压试验的时间应在连接完成 24h 后进行。</w:t>
      </w:r>
    </w:p>
    <w:p>
      <w:pPr>
        <w:pStyle w:val="9"/>
        <w:numPr>
          <w:ilvl w:val="1"/>
          <w:numId w:val="113"/>
        </w:numPr>
        <w:rPr>
          <w:color w:val="auto"/>
          <w:highlight w:val="none"/>
        </w:rPr>
      </w:pPr>
      <w:r>
        <w:rPr>
          <w:color w:val="auto"/>
          <w:highlight w:val="none"/>
        </w:rPr>
        <w:t>水压试验前，试压管道应固定，但接头部位应明露。</w:t>
      </w:r>
    </w:p>
    <w:p>
      <w:pPr>
        <w:pStyle w:val="9"/>
        <w:numPr>
          <w:ilvl w:val="1"/>
          <w:numId w:val="113"/>
        </w:numPr>
        <w:rPr>
          <w:color w:val="auto"/>
          <w:highlight w:val="none"/>
        </w:rPr>
      </w:pPr>
      <w:r>
        <w:rPr>
          <w:color w:val="auto"/>
          <w:highlight w:val="none"/>
        </w:rPr>
        <w:t>管道压力试验合格后，管道余水应采用有组织排放。</w:t>
      </w:r>
    </w:p>
    <w:p>
      <w:pPr>
        <w:pStyle w:val="9"/>
        <w:numPr>
          <w:ilvl w:val="1"/>
          <w:numId w:val="113"/>
        </w:numPr>
        <w:rPr>
          <w:color w:val="auto"/>
          <w:highlight w:val="none"/>
        </w:rPr>
      </w:pPr>
      <w:r>
        <w:rPr>
          <w:color w:val="auto"/>
          <w:highlight w:val="none"/>
        </w:rPr>
        <w:t>在竣工验收前进行冲洗、消毒，冲洗水采用生活饮用水，流速≥1.0m/s。</w:t>
      </w:r>
    </w:p>
    <w:p>
      <w:pPr>
        <w:pStyle w:val="9"/>
        <w:numPr>
          <w:ilvl w:val="1"/>
          <w:numId w:val="113"/>
        </w:numPr>
        <w:rPr>
          <w:color w:val="auto"/>
          <w:highlight w:val="none"/>
        </w:rPr>
      </w:pPr>
      <w:r>
        <w:rPr>
          <w:color w:val="auto"/>
          <w:highlight w:val="none"/>
        </w:rPr>
        <w:t>管道的各配水点、受力点以及穿墙支管节点处，使用专用墙装弯头及管卡固定。</w:t>
      </w:r>
    </w:p>
    <w:p>
      <w:pPr>
        <w:pStyle w:val="8"/>
        <w:numPr>
          <w:ilvl w:val="0"/>
          <w:numId w:val="107"/>
        </w:numPr>
        <w:rPr>
          <w:color w:val="auto"/>
          <w:highlight w:val="none"/>
        </w:rPr>
      </w:pPr>
      <w:r>
        <w:rPr>
          <w:color w:val="auto"/>
          <w:highlight w:val="none"/>
        </w:rPr>
        <w:t>给水 PPR 的补偿措施：</w:t>
      </w:r>
    </w:p>
    <w:p>
      <w:pPr>
        <w:pStyle w:val="34"/>
        <w:ind w:right="29" w:rightChars="12" w:firstLine="480"/>
        <w:rPr>
          <w:rFonts w:ascii="Times New Roman" w:hAnsi="Times New Roman" w:cs="Times New Roman"/>
          <w:color w:val="auto"/>
          <w:highlight w:val="none"/>
        </w:rPr>
      </w:pPr>
      <w:r>
        <w:rPr>
          <w:rFonts w:ascii="Times New Roman" w:hAnsi="Times New Roman" w:cs="Times New Roman"/>
          <w:color w:val="auto"/>
          <w:highlight w:val="none"/>
        </w:rPr>
        <w:t>当条件具备时，横管或立管充分利用建筑空间，以Ω形管道作变形补偿， 条件不具备时应设置补偿器。</w:t>
      </w:r>
    </w:p>
    <w:p>
      <w:pPr>
        <w:pStyle w:val="7"/>
        <w:rPr>
          <w:color w:val="auto"/>
          <w:highlight w:val="none"/>
        </w:rPr>
      </w:pPr>
      <w:r>
        <w:rPr>
          <w:color w:val="auto"/>
          <w:highlight w:val="none"/>
        </w:rPr>
        <w:t>给水系统–不锈钢管安装</w:t>
      </w:r>
    </w:p>
    <w:p>
      <w:pPr>
        <w:pStyle w:val="8"/>
        <w:numPr>
          <w:ilvl w:val="0"/>
          <w:numId w:val="114"/>
        </w:numPr>
        <w:rPr>
          <w:color w:val="auto"/>
          <w:highlight w:val="none"/>
        </w:rPr>
      </w:pPr>
      <w:r>
        <w:rPr>
          <w:color w:val="auto"/>
          <w:highlight w:val="none"/>
        </w:rPr>
        <w:t>管道不得浇注在钢筋混凝土结构层中。</w:t>
      </w:r>
    </w:p>
    <w:p>
      <w:pPr>
        <w:pStyle w:val="8"/>
        <w:numPr>
          <w:ilvl w:val="0"/>
          <w:numId w:val="107"/>
        </w:numPr>
        <w:rPr>
          <w:color w:val="auto"/>
          <w:highlight w:val="none"/>
        </w:rPr>
      </w:pPr>
      <w:r>
        <w:rPr>
          <w:color w:val="auto"/>
          <w:highlight w:val="none"/>
        </w:rPr>
        <w:t>不锈钢管材和管件不宜与水泥、水泥砂浆、混凝土直接接触。为防止氯化物对管道腐蚀，可在管外套塑料膜或缠绕防腐胶带保护。</w:t>
      </w:r>
    </w:p>
    <w:p>
      <w:pPr>
        <w:pStyle w:val="8"/>
        <w:numPr>
          <w:ilvl w:val="0"/>
          <w:numId w:val="107"/>
        </w:numPr>
        <w:rPr>
          <w:color w:val="auto"/>
          <w:highlight w:val="none"/>
        </w:rPr>
      </w:pPr>
      <w:r>
        <w:rPr>
          <w:color w:val="auto"/>
          <w:highlight w:val="none"/>
        </w:rPr>
        <w:t>埋地宜选用覆塑不锈钢管，可避免土壤对管外壁的酸碱腐蚀和硬质杂物对 管材表面的损伤。亦可采用其他包扎材料作防腐措施，如外缠两层聚乙烯带， 包扎两层沥青漆（或环氧树脂）玻璃纤维塑胶布防腐。</w:t>
      </w:r>
    </w:p>
    <w:p>
      <w:pPr>
        <w:pStyle w:val="8"/>
        <w:numPr>
          <w:ilvl w:val="0"/>
          <w:numId w:val="107"/>
        </w:numPr>
        <w:rPr>
          <w:color w:val="auto"/>
          <w:highlight w:val="none"/>
        </w:rPr>
      </w:pPr>
      <w:r>
        <w:rPr>
          <w:color w:val="auto"/>
          <w:highlight w:val="none"/>
        </w:rPr>
        <w:t>室内不锈钢管宜距楼底面、墙面净距离 10～15mm 明敷，结合装饰成暗敷， 即敷设在顶棚内、吊顶内、装饰板内。</w:t>
      </w:r>
    </w:p>
    <w:p>
      <w:pPr>
        <w:pStyle w:val="8"/>
        <w:numPr>
          <w:ilvl w:val="0"/>
          <w:numId w:val="107"/>
        </w:numPr>
        <w:rPr>
          <w:color w:val="auto"/>
          <w:highlight w:val="none"/>
        </w:rPr>
      </w:pPr>
      <w:r>
        <w:rPr>
          <w:color w:val="auto"/>
          <w:highlight w:val="none"/>
        </w:rPr>
        <w:t>嵌墙敷设的不锈钢管，管线应水平或垂直布置在预留或开槽的凹槽内，槽内不锈钢管应采用管卡固定。在管线转折处，应预留 5～10mm 净空，补偿管路因热胀冷缩引起的伸缩变化值。</w:t>
      </w:r>
    </w:p>
    <w:p>
      <w:pPr>
        <w:pStyle w:val="8"/>
        <w:numPr>
          <w:ilvl w:val="0"/>
          <w:numId w:val="107"/>
        </w:numPr>
        <w:rPr>
          <w:color w:val="auto"/>
          <w:highlight w:val="none"/>
        </w:rPr>
      </w:pPr>
      <w:r>
        <w:rPr>
          <w:color w:val="auto"/>
          <w:highlight w:val="none"/>
        </w:rPr>
        <w:t>明装不锈钢管，其外壁距装饰墙面的距离：公称直径10～25mm 时应小于30mm； 公称直径 32～50mm 时宜小于 40mm。明装立管应靠近用水器具的墙角、柱旁或管道井内。</w:t>
      </w:r>
    </w:p>
    <w:p>
      <w:pPr>
        <w:pStyle w:val="8"/>
        <w:numPr>
          <w:ilvl w:val="0"/>
          <w:numId w:val="107"/>
        </w:numPr>
        <w:rPr>
          <w:color w:val="auto"/>
          <w:highlight w:val="none"/>
        </w:rPr>
      </w:pPr>
      <w:r>
        <w:rPr>
          <w:color w:val="auto"/>
          <w:highlight w:val="none"/>
        </w:rPr>
        <w:t>不锈钢管不宜穿越建筑物的沉降缝、伸缩缝和变形缝。当不可避免时，应采取防止管道被破坏的技术措施。</w:t>
      </w:r>
    </w:p>
    <w:p>
      <w:pPr>
        <w:pStyle w:val="8"/>
        <w:numPr>
          <w:ilvl w:val="0"/>
          <w:numId w:val="107"/>
        </w:numPr>
        <w:rPr>
          <w:color w:val="auto"/>
          <w:highlight w:val="none"/>
        </w:rPr>
      </w:pPr>
      <w:r>
        <w:rPr>
          <w:color w:val="auto"/>
          <w:highlight w:val="none"/>
        </w:rPr>
        <w:t>管道不得敷设在配电间、强弱电管道井、烟道、风道内和排水沟内，管道不宜穿越卧式、储藏室、橱窗、壁柜等处。</w:t>
      </w:r>
    </w:p>
    <w:p>
      <w:pPr>
        <w:pStyle w:val="8"/>
        <w:numPr>
          <w:ilvl w:val="0"/>
          <w:numId w:val="107"/>
        </w:numPr>
        <w:rPr>
          <w:color w:val="auto"/>
          <w:highlight w:val="none"/>
        </w:rPr>
      </w:pPr>
      <w:r>
        <w:rPr>
          <w:color w:val="auto"/>
          <w:highlight w:val="none"/>
        </w:rPr>
        <w:t>敷设水平干管宜具有 0.2%～0.3%的坡度，坡向泄水装置。在引入管、折角进户管件、支管接出和仪表接口处，应采用螺纹转换接头或法兰连接。</w:t>
      </w:r>
    </w:p>
    <w:p>
      <w:pPr>
        <w:pStyle w:val="8"/>
        <w:numPr>
          <w:ilvl w:val="0"/>
          <w:numId w:val="107"/>
        </w:numPr>
        <w:rPr>
          <w:color w:val="auto"/>
          <w:highlight w:val="none"/>
        </w:rPr>
      </w:pPr>
      <w:r>
        <w:rPr>
          <w:color w:val="auto"/>
          <w:highlight w:val="none"/>
        </w:rPr>
        <w:t>不锈钢管</w:t>
      </w:r>
      <w:r>
        <w:rPr>
          <w:rFonts w:hint="eastAsia"/>
          <w:color w:val="auto"/>
          <w:highlight w:val="none"/>
        </w:rPr>
        <w:t>按设计要求</w:t>
      </w:r>
      <w:r>
        <w:rPr>
          <w:color w:val="auto"/>
          <w:highlight w:val="none"/>
        </w:rPr>
        <w:t>处理。</w:t>
      </w:r>
    </w:p>
    <w:p>
      <w:pPr>
        <w:pStyle w:val="8"/>
        <w:numPr>
          <w:ilvl w:val="0"/>
          <w:numId w:val="107"/>
        </w:numPr>
        <w:rPr>
          <w:color w:val="auto"/>
          <w:highlight w:val="none"/>
        </w:rPr>
      </w:pPr>
      <w:r>
        <w:rPr>
          <w:color w:val="auto"/>
          <w:highlight w:val="none"/>
        </w:rPr>
        <w:t>薄壁不锈钢管安装注意事项</w:t>
      </w:r>
    </w:p>
    <w:p>
      <w:pPr>
        <w:pStyle w:val="9"/>
        <w:numPr>
          <w:ilvl w:val="1"/>
          <w:numId w:val="115"/>
        </w:numPr>
        <w:rPr>
          <w:color w:val="auto"/>
          <w:highlight w:val="none"/>
        </w:rPr>
      </w:pPr>
      <w:r>
        <w:rPr>
          <w:color w:val="auto"/>
          <w:highlight w:val="none"/>
        </w:rPr>
        <w:t>不锈钢材料吊运，不能与其他金属直接接触，应加垫木板或橡胶板等非金属材料。</w:t>
      </w:r>
    </w:p>
    <w:p>
      <w:pPr>
        <w:pStyle w:val="9"/>
        <w:numPr>
          <w:ilvl w:val="1"/>
          <w:numId w:val="115"/>
        </w:numPr>
        <w:rPr>
          <w:color w:val="auto"/>
          <w:highlight w:val="none"/>
        </w:rPr>
      </w:pPr>
      <w:r>
        <w:rPr>
          <w:color w:val="auto"/>
          <w:highlight w:val="none"/>
        </w:rPr>
        <w:t>管子切割不允许用普通砂轮片切割，应采用不锈钢专用砂轮片或等离子切割。</w:t>
      </w:r>
    </w:p>
    <w:p>
      <w:pPr>
        <w:pStyle w:val="9"/>
        <w:numPr>
          <w:ilvl w:val="1"/>
          <w:numId w:val="115"/>
        </w:numPr>
        <w:rPr>
          <w:color w:val="auto"/>
          <w:highlight w:val="none"/>
        </w:rPr>
      </w:pPr>
      <w:r>
        <w:rPr>
          <w:color w:val="auto"/>
          <w:highlight w:val="none"/>
        </w:rPr>
        <w:t>不锈钢管材及管件定位焊时焊缝内侧应进行充氩保护。</w:t>
      </w:r>
    </w:p>
    <w:p>
      <w:pPr>
        <w:pStyle w:val="9"/>
        <w:numPr>
          <w:ilvl w:val="1"/>
          <w:numId w:val="115"/>
        </w:numPr>
        <w:rPr>
          <w:color w:val="auto"/>
          <w:highlight w:val="none"/>
        </w:rPr>
      </w:pPr>
      <w:r>
        <w:rPr>
          <w:color w:val="auto"/>
          <w:highlight w:val="none"/>
        </w:rPr>
        <w:t>起弧与收弧：起弧采用回焊法，收弧应填满弧坑，起弧必须在坡口内完成,禁止在管道、管件母材表面打弧与起弧。若起弧与收弧处发现气孔、裂纹应及时处理。</w:t>
      </w:r>
    </w:p>
    <w:p>
      <w:pPr>
        <w:pStyle w:val="9"/>
        <w:numPr>
          <w:ilvl w:val="1"/>
          <w:numId w:val="115"/>
        </w:numPr>
        <w:rPr>
          <w:color w:val="auto"/>
          <w:highlight w:val="none"/>
        </w:rPr>
      </w:pPr>
      <w:r>
        <w:rPr>
          <w:color w:val="auto"/>
          <w:highlight w:val="none"/>
        </w:rPr>
        <w:t>不锈钢管道、管件以及不锈钢管道、管件与非不锈钢材质管道、管件的连接，焊接的对接接头打底焊接前管内及空腔内应充满氩气保护，才能进行钨极氩弧焊。</w:t>
      </w:r>
    </w:p>
    <w:p>
      <w:pPr>
        <w:pStyle w:val="9"/>
        <w:numPr>
          <w:ilvl w:val="1"/>
          <w:numId w:val="115"/>
        </w:numPr>
        <w:rPr>
          <w:color w:val="auto"/>
          <w:highlight w:val="none"/>
        </w:rPr>
      </w:pPr>
      <w:r>
        <w:rPr>
          <w:color w:val="auto"/>
          <w:highlight w:val="none"/>
        </w:rPr>
        <w:t>多道多层焊的起弧、收弧处应相互错开。</w:t>
      </w:r>
    </w:p>
    <w:p>
      <w:pPr>
        <w:pStyle w:val="9"/>
        <w:numPr>
          <w:ilvl w:val="1"/>
          <w:numId w:val="115"/>
        </w:numPr>
        <w:rPr>
          <w:color w:val="auto"/>
          <w:highlight w:val="none"/>
        </w:rPr>
      </w:pPr>
      <w:r>
        <w:rPr>
          <w:color w:val="auto"/>
          <w:highlight w:val="none"/>
        </w:rPr>
        <w:t>不锈钢材料连续焊接时，其层间温度不超过 60</w:t>
      </w:r>
      <w:r>
        <w:rPr>
          <w:rFonts w:hint="eastAsia"/>
          <w:color w:val="auto"/>
          <w:highlight w:val="none"/>
        </w:rPr>
        <w:t>℃</w:t>
      </w:r>
      <w:r>
        <w:rPr>
          <w:color w:val="auto"/>
          <w:highlight w:val="none"/>
        </w:rPr>
        <w:t>。</w:t>
      </w:r>
    </w:p>
    <w:p>
      <w:pPr>
        <w:pStyle w:val="9"/>
        <w:numPr>
          <w:ilvl w:val="1"/>
          <w:numId w:val="115"/>
        </w:numPr>
        <w:rPr>
          <w:color w:val="auto"/>
          <w:highlight w:val="none"/>
        </w:rPr>
      </w:pPr>
      <w:r>
        <w:rPr>
          <w:color w:val="auto"/>
          <w:highlight w:val="none"/>
        </w:rPr>
        <w:t>管道连接的焊口焊接前后要进行酸洗和钝化处理。</w:t>
      </w:r>
    </w:p>
    <w:p>
      <w:pPr>
        <w:pStyle w:val="7"/>
        <w:rPr>
          <w:color w:val="auto"/>
          <w:highlight w:val="none"/>
        </w:rPr>
      </w:pPr>
      <w:r>
        <w:rPr>
          <w:color w:val="auto"/>
          <w:highlight w:val="none"/>
        </w:rPr>
        <w:t>给水系统–铜管安装</w:t>
      </w:r>
    </w:p>
    <w:p>
      <w:pPr>
        <w:pStyle w:val="8"/>
        <w:numPr>
          <w:ilvl w:val="0"/>
          <w:numId w:val="116"/>
        </w:numPr>
        <w:rPr>
          <w:color w:val="auto"/>
          <w:highlight w:val="none"/>
        </w:rPr>
      </w:pPr>
      <w:r>
        <w:rPr>
          <w:color w:val="auto"/>
          <w:highlight w:val="none"/>
        </w:rPr>
        <w:t>给水系统使用的铜管，管材规格按设计要求确定。</w:t>
      </w:r>
    </w:p>
    <w:p>
      <w:pPr>
        <w:pStyle w:val="8"/>
        <w:numPr>
          <w:ilvl w:val="0"/>
          <w:numId w:val="107"/>
        </w:numPr>
        <w:rPr>
          <w:color w:val="auto"/>
          <w:highlight w:val="none"/>
        </w:rPr>
      </w:pPr>
      <w:r>
        <w:rPr>
          <w:color w:val="auto"/>
          <w:highlight w:val="none"/>
        </w:rPr>
        <w:t>建筑给水铜管管系统宜采用铜制管件，铜管与钢制设备连接时，应采用铜合金配件。</w:t>
      </w:r>
    </w:p>
    <w:p>
      <w:pPr>
        <w:pStyle w:val="8"/>
        <w:numPr>
          <w:ilvl w:val="0"/>
          <w:numId w:val="107"/>
        </w:numPr>
        <w:rPr>
          <w:color w:val="auto"/>
          <w:highlight w:val="none"/>
        </w:rPr>
      </w:pPr>
      <w:r>
        <w:rPr>
          <w:color w:val="auto"/>
          <w:highlight w:val="none"/>
        </w:rPr>
        <w:t>铜管可敷设在管沟内。埋地铜管宜有防腐措施。</w:t>
      </w:r>
    </w:p>
    <w:p>
      <w:pPr>
        <w:pStyle w:val="8"/>
        <w:numPr>
          <w:ilvl w:val="0"/>
          <w:numId w:val="107"/>
        </w:numPr>
        <w:rPr>
          <w:color w:val="auto"/>
          <w:highlight w:val="none"/>
        </w:rPr>
      </w:pPr>
      <w:r>
        <w:rPr>
          <w:color w:val="auto"/>
          <w:highlight w:val="none"/>
        </w:rPr>
        <w:t>建筑给水支管宜敷设在吊顶、地面垫层或墙壁内。高层建筑给水立管宜敷设在管道井内。管道不得浇注在钢筋混凝土内。</w:t>
      </w:r>
    </w:p>
    <w:p>
      <w:pPr>
        <w:pStyle w:val="8"/>
        <w:numPr>
          <w:ilvl w:val="0"/>
          <w:numId w:val="107"/>
        </w:numPr>
        <w:rPr>
          <w:color w:val="auto"/>
          <w:highlight w:val="none"/>
        </w:rPr>
      </w:pPr>
      <w:r>
        <w:rPr>
          <w:color w:val="auto"/>
          <w:highlight w:val="none"/>
        </w:rPr>
        <w:t>引入管穿过地下室外墙或地下构筑物墙壁时，应预留孔洞或敷设套管，并应考虑建筑物沉降等不利因素。管道不得穿建筑物的沉降缝、伸缩缝。如必须穿越时，应设置管道伸缩和剪切变形的补偿装置。</w:t>
      </w:r>
    </w:p>
    <w:p>
      <w:pPr>
        <w:pStyle w:val="8"/>
        <w:numPr>
          <w:ilvl w:val="0"/>
          <w:numId w:val="107"/>
        </w:numPr>
        <w:rPr>
          <w:color w:val="auto"/>
          <w:highlight w:val="none"/>
        </w:rPr>
      </w:pPr>
      <w:r>
        <w:rPr>
          <w:color w:val="auto"/>
          <w:highlight w:val="none"/>
        </w:rPr>
        <w:t>管道穿越楼板、承重墙时，应设钢制套管。穿楼板套管上端应高出室内地坪50mm，下端应与楼板底齐平。穿越承重墙时套管应与两墙面平齐。管道穿越地下防水墙、顶板时，应设防水套管。</w:t>
      </w:r>
    </w:p>
    <w:p>
      <w:pPr>
        <w:pStyle w:val="8"/>
        <w:numPr>
          <w:ilvl w:val="0"/>
          <w:numId w:val="107"/>
        </w:numPr>
        <w:rPr>
          <w:color w:val="auto"/>
          <w:highlight w:val="none"/>
        </w:rPr>
      </w:pPr>
      <w:r>
        <w:rPr>
          <w:color w:val="auto"/>
          <w:highlight w:val="none"/>
        </w:rPr>
        <w:t>敷设在垫层或墙槽内的铜管可采用覆塑铜管，外径不宜大于 28mm,管线宜水平或垂直布置在预留或开凿的凹槽内，槽内铜管应设置管卡固定。</w:t>
      </w:r>
    </w:p>
    <w:p>
      <w:pPr>
        <w:pStyle w:val="8"/>
        <w:numPr>
          <w:ilvl w:val="0"/>
          <w:numId w:val="107"/>
        </w:numPr>
        <w:rPr>
          <w:color w:val="auto"/>
          <w:highlight w:val="none"/>
        </w:rPr>
      </w:pPr>
      <w:r>
        <w:rPr>
          <w:color w:val="auto"/>
          <w:highlight w:val="none"/>
        </w:rPr>
        <w:t>管道不得敷设在卧室，贮藏室及烟道和风道内。</w:t>
      </w:r>
    </w:p>
    <w:p>
      <w:pPr>
        <w:pStyle w:val="8"/>
        <w:numPr>
          <w:ilvl w:val="0"/>
          <w:numId w:val="107"/>
        </w:numPr>
        <w:rPr>
          <w:color w:val="auto"/>
          <w:highlight w:val="none"/>
        </w:rPr>
      </w:pPr>
      <w:r>
        <w:rPr>
          <w:color w:val="auto"/>
          <w:highlight w:val="none"/>
        </w:rPr>
        <w:t>横管敷设宜不小于 0.2%～0.5%的放空坡度。</w:t>
      </w:r>
    </w:p>
    <w:p>
      <w:pPr>
        <w:pStyle w:val="8"/>
        <w:numPr>
          <w:ilvl w:val="0"/>
          <w:numId w:val="107"/>
        </w:numPr>
        <w:rPr>
          <w:color w:val="auto"/>
          <w:highlight w:val="none"/>
        </w:rPr>
      </w:pPr>
      <w:r>
        <w:rPr>
          <w:color w:val="auto"/>
          <w:highlight w:val="none"/>
        </w:rPr>
        <w:t>铜管的连接方式应符合以下规定：</w:t>
      </w:r>
    </w:p>
    <w:p>
      <w:pPr>
        <w:pStyle w:val="9"/>
        <w:numPr>
          <w:ilvl w:val="1"/>
          <w:numId w:val="117"/>
        </w:numPr>
        <w:rPr>
          <w:color w:val="auto"/>
          <w:highlight w:val="none"/>
        </w:rPr>
      </w:pPr>
      <w:r>
        <w:rPr>
          <w:color w:val="auto"/>
          <w:highlight w:val="none"/>
        </w:rPr>
        <w:t>引入管、支管接出及水表接口处应采用便于检修拆卸的连接件。</w:t>
      </w:r>
    </w:p>
    <w:p>
      <w:pPr>
        <w:pStyle w:val="9"/>
        <w:numPr>
          <w:ilvl w:val="1"/>
          <w:numId w:val="75"/>
        </w:numPr>
        <w:rPr>
          <w:color w:val="auto"/>
          <w:highlight w:val="none"/>
        </w:rPr>
      </w:pPr>
      <w:r>
        <w:rPr>
          <w:color w:val="auto"/>
          <w:highlight w:val="none"/>
        </w:rPr>
        <w:t>埋地、敷设在垫层或墙槽内的铜管采用硬钎焊接。</w:t>
      </w:r>
    </w:p>
    <w:p>
      <w:pPr>
        <w:pStyle w:val="9"/>
        <w:numPr>
          <w:ilvl w:val="1"/>
          <w:numId w:val="75"/>
        </w:numPr>
        <w:rPr>
          <w:color w:val="auto"/>
          <w:highlight w:val="none"/>
        </w:rPr>
      </w:pPr>
      <w:r>
        <w:rPr>
          <w:color w:val="auto"/>
          <w:highlight w:val="none"/>
        </w:rPr>
        <w:t>外径小于 28mm 的明支管可采用软钎焊接、机械式连接(卡套、冷压接)。</w:t>
      </w:r>
    </w:p>
    <w:p>
      <w:pPr>
        <w:pStyle w:val="9"/>
        <w:numPr>
          <w:ilvl w:val="1"/>
          <w:numId w:val="75"/>
        </w:numPr>
        <w:rPr>
          <w:color w:val="auto"/>
          <w:highlight w:val="none"/>
        </w:rPr>
      </w:pPr>
      <w:r>
        <w:rPr>
          <w:color w:val="auto"/>
          <w:highlight w:val="none"/>
        </w:rPr>
        <w:t>铜管与供水设备连接时，宜采用带螺纹端口连接或法兰连接。</w:t>
      </w:r>
    </w:p>
    <w:p>
      <w:pPr>
        <w:pStyle w:val="9"/>
        <w:numPr>
          <w:ilvl w:val="1"/>
          <w:numId w:val="75"/>
        </w:numPr>
        <w:rPr>
          <w:color w:val="auto"/>
          <w:highlight w:val="none"/>
        </w:rPr>
      </w:pPr>
      <w:r>
        <w:rPr>
          <w:color w:val="auto"/>
          <w:highlight w:val="none"/>
        </w:rPr>
        <w:t>当热水铜管直线管段超过 10m 时，应有管道热伸长的措施。管道伸缩量宜根据实际温差进行计算。</w:t>
      </w:r>
    </w:p>
    <w:p>
      <w:pPr>
        <w:pStyle w:val="9"/>
        <w:numPr>
          <w:ilvl w:val="1"/>
          <w:numId w:val="75"/>
        </w:numPr>
        <w:rPr>
          <w:color w:val="auto"/>
          <w:highlight w:val="none"/>
        </w:rPr>
      </w:pPr>
      <w:r>
        <w:rPr>
          <w:color w:val="auto"/>
          <w:highlight w:val="none"/>
        </w:rPr>
        <w:t>连接水箱等设备进出口处的铜管，应做局部加强处理。</w:t>
      </w:r>
    </w:p>
    <w:p>
      <w:pPr>
        <w:pStyle w:val="9"/>
        <w:numPr>
          <w:ilvl w:val="1"/>
          <w:numId w:val="75"/>
        </w:numPr>
        <w:rPr>
          <w:color w:val="auto"/>
          <w:highlight w:val="none"/>
        </w:rPr>
      </w:pPr>
      <w:r>
        <w:rPr>
          <w:color w:val="auto"/>
          <w:highlight w:val="none"/>
        </w:rPr>
        <w:t>室内明装给水铜管应做防结露处理，热水铜管应做保温处理。</w:t>
      </w:r>
    </w:p>
    <w:p>
      <w:pPr>
        <w:pStyle w:val="9"/>
        <w:numPr>
          <w:ilvl w:val="1"/>
          <w:numId w:val="75"/>
        </w:numPr>
        <w:rPr>
          <w:color w:val="auto"/>
          <w:highlight w:val="none"/>
        </w:rPr>
      </w:pPr>
      <w:r>
        <w:rPr>
          <w:color w:val="auto"/>
          <w:highlight w:val="none"/>
        </w:rPr>
        <w:t>铜管焊接不得使用含铅钎料、含氨焊剂。</w:t>
      </w:r>
    </w:p>
    <w:p>
      <w:pPr>
        <w:pStyle w:val="8"/>
        <w:numPr>
          <w:ilvl w:val="0"/>
          <w:numId w:val="107"/>
        </w:numPr>
        <w:rPr>
          <w:color w:val="auto"/>
          <w:highlight w:val="none"/>
        </w:rPr>
      </w:pPr>
      <w:r>
        <w:rPr>
          <w:color w:val="auto"/>
          <w:highlight w:val="none"/>
        </w:rPr>
        <w:t>管道安装施工的注意事项</w:t>
      </w:r>
    </w:p>
    <w:p>
      <w:pPr>
        <w:pStyle w:val="9"/>
        <w:numPr>
          <w:ilvl w:val="1"/>
          <w:numId w:val="118"/>
        </w:numPr>
        <w:rPr>
          <w:color w:val="auto"/>
          <w:highlight w:val="none"/>
        </w:rPr>
      </w:pPr>
      <w:r>
        <w:rPr>
          <w:color w:val="auto"/>
          <w:highlight w:val="none"/>
        </w:rPr>
        <w:t>施工过程中应防止与酸、碱等对铜管有腐蚀按设计要求核对无误。</w:t>
      </w:r>
    </w:p>
    <w:p>
      <w:pPr>
        <w:pStyle w:val="9"/>
        <w:numPr>
          <w:ilvl w:val="1"/>
          <w:numId w:val="75"/>
        </w:numPr>
        <w:rPr>
          <w:color w:val="auto"/>
          <w:highlight w:val="none"/>
        </w:rPr>
      </w:pPr>
      <w:r>
        <w:rPr>
          <w:color w:val="auto"/>
          <w:highlight w:val="none"/>
        </w:rPr>
        <w:t>管道在安装前应检查其外观和管口，有明显伤痕的管道不得使用，变形管口应用专用工具整圆。受污染的管材、管件内外污垢及杂物应清理干净。</w:t>
      </w:r>
    </w:p>
    <w:p>
      <w:pPr>
        <w:pStyle w:val="9"/>
        <w:numPr>
          <w:ilvl w:val="1"/>
          <w:numId w:val="75"/>
        </w:numPr>
        <w:rPr>
          <w:color w:val="auto"/>
          <w:highlight w:val="none"/>
        </w:rPr>
      </w:pPr>
      <w:r>
        <w:rPr>
          <w:color w:val="auto"/>
          <w:highlight w:val="none"/>
        </w:rPr>
        <w:t>弯曲的管道调直时，外径小于等于108mm 管道可采用冷调法，外径大于108mm 的管道可采用热调法。调直后不应有凹陷、破损现象。采用胀口或翻边连接的管子，施工前应每批抽 1%且不少于两根进行胀口或翻边试验。如有裂纹， 需要退火、试验处理，应重做试验。如仍有裂纹，则该批管子须逐根退火、试验，不合格的不得使用。</w:t>
      </w:r>
    </w:p>
    <w:p>
      <w:pPr>
        <w:pStyle w:val="7"/>
        <w:rPr>
          <w:color w:val="auto"/>
          <w:highlight w:val="none"/>
        </w:rPr>
      </w:pPr>
      <w:r>
        <w:rPr>
          <w:color w:val="auto"/>
          <w:highlight w:val="none"/>
        </w:rPr>
        <w:t>排水系统–UPVC 安装</w:t>
      </w:r>
    </w:p>
    <w:p>
      <w:pPr>
        <w:pStyle w:val="8"/>
        <w:numPr>
          <w:ilvl w:val="0"/>
          <w:numId w:val="119"/>
        </w:numPr>
        <w:rPr>
          <w:color w:val="auto"/>
          <w:highlight w:val="none"/>
        </w:rPr>
      </w:pPr>
      <w:r>
        <w:rPr>
          <w:color w:val="auto"/>
          <w:highlight w:val="none"/>
        </w:rPr>
        <w:t>预留洞</w:t>
      </w:r>
    </w:p>
    <w:p>
      <w:pPr>
        <w:pStyle w:val="9"/>
        <w:numPr>
          <w:ilvl w:val="1"/>
          <w:numId w:val="120"/>
        </w:numPr>
        <w:rPr>
          <w:color w:val="auto"/>
          <w:highlight w:val="none"/>
        </w:rPr>
      </w:pPr>
      <w:r>
        <w:rPr>
          <w:color w:val="auto"/>
          <w:highlight w:val="none"/>
        </w:rPr>
        <w:t>预留洞或套管尺寸比待安装的排水管管径大两号，标准层预留洞距墙尺寸统一，预留洞用的钢管应固定牢固。</w:t>
      </w:r>
    </w:p>
    <w:p>
      <w:pPr>
        <w:pStyle w:val="9"/>
        <w:numPr>
          <w:ilvl w:val="1"/>
          <w:numId w:val="120"/>
        </w:numPr>
        <w:rPr>
          <w:color w:val="auto"/>
          <w:highlight w:val="none"/>
        </w:rPr>
      </w:pPr>
      <w:r>
        <w:rPr>
          <w:color w:val="auto"/>
          <w:highlight w:val="none"/>
        </w:rPr>
        <w:t>如采用积水处理器、止水节等成品预埋件，则应根据设计要求及产品安装要求预埋。</w:t>
      </w:r>
    </w:p>
    <w:p>
      <w:pPr>
        <w:pStyle w:val="8"/>
        <w:numPr>
          <w:ilvl w:val="0"/>
          <w:numId w:val="107"/>
        </w:numPr>
        <w:rPr>
          <w:color w:val="auto"/>
          <w:highlight w:val="none"/>
        </w:rPr>
      </w:pPr>
      <w:r>
        <w:rPr>
          <w:color w:val="auto"/>
          <w:highlight w:val="none"/>
        </w:rPr>
        <w:t>立管安装</w:t>
      </w:r>
    </w:p>
    <w:p>
      <w:pPr>
        <w:pStyle w:val="9"/>
        <w:numPr>
          <w:ilvl w:val="1"/>
          <w:numId w:val="121"/>
        </w:numPr>
        <w:rPr>
          <w:color w:val="auto"/>
          <w:highlight w:val="none"/>
        </w:rPr>
      </w:pPr>
      <w:r>
        <w:rPr>
          <w:color w:val="auto"/>
          <w:highlight w:val="none"/>
        </w:rPr>
        <w:t>立管垂直度允许偏差 3mm/m，全长（5m 以上）≤15mm。检查口距地高度统一， 朝向便于检修。</w:t>
      </w:r>
    </w:p>
    <w:p>
      <w:pPr>
        <w:pStyle w:val="9"/>
        <w:numPr>
          <w:ilvl w:val="1"/>
          <w:numId w:val="121"/>
        </w:numPr>
        <w:rPr>
          <w:color w:val="auto"/>
          <w:highlight w:val="none"/>
        </w:rPr>
      </w:pPr>
      <w:r>
        <w:rPr>
          <w:color w:val="auto"/>
          <w:highlight w:val="none"/>
        </w:rPr>
        <w:t>阻火圈：高层建筑内公称外径大于或等于 110mm 的明设排水立管，在穿越楼层处应采取设置阻火圈或防火套管等防止火灾贯穿的措施。</w:t>
      </w:r>
    </w:p>
    <w:p>
      <w:pPr>
        <w:pStyle w:val="9"/>
        <w:numPr>
          <w:ilvl w:val="1"/>
          <w:numId w:val="121"/>
        </w:numPr>
        <w:rPr>
          <w:color w:val="auto"/>
          <w:highlight w:val="none"/>
        </w:rPr>
      </w:pPr>
      <w:r>
        <w:rPr>
          <w:color w:val="auto"/>
          <w:highlight w:val="none"/>
        </w:rPr>
        <w:t>立管伸缩节：当层高≤4m 时，立管上应每层设置一个伸缩节；当层高&gt;4m 时， 根据设计计算设置伸缩节；楼层内有横管接入的，汇合管件设置在楼板上部靠近地坪时，应在汇合管件上方设伸缩节；汇合管件设置在楼板下部时，在汇合管件下部设伸缩节；伸缩节的承口方向应迎水流方向。</w:t>
      </w:r>
    </w:p>
    <w:p>
      <w:pPr>
        <w:pStyle w:val="8"/>
        <w:numPr>
          <w:ilvl w:val="0"/>
          <w:numId w:val="107"/>
        </w:numPr>
        <w:rPr>
          <w:color w:val="auto"/>
          <w:highlight w:val="none"/>
        </w:rPr>
      </w:pPr>
      <w:r>
        <w:rPr>
          <w:color w:val="auto"/>
          <w:highlight w:val="none"/>
        </w:rPr>
        <w:t>水平支管安装</w:t>
      </w:r>
    </w:p>
    <w:p>
      <w:pPr>
        <w:pStyle w:val="9"/>
        <w:numPr>
          <w:ilvl w:val="1"/>
          <w:numId w:val="122"/>
        </w:numPr>
        <w:rPr>
          <w:color w:val="auto"/>
          <w:highlight w:val="none"/>
        </w:rPr>
      </w:pPr>
      <w:r>
        <w:rPr>
          <w:color w:val="auto"/>
          <w:highlight w:val="none"/>
        </w:rPr>
        <w:t>坡度和吊架间距满足规范要求。</w:t>
      </w:r>
    </w:p>
    <w:p>
      <w:pPr>
        <w:pStyle w:val="9"/>
        <w:numPr>
          <w:ilvl w:val="1"/>
          <w:numId w:val="36"/>
        </w:numPr>
        <w:rPr>
          <w:color w:val="auto"/>
          <w:highlight w:val="none"/>
        </w:rPr>
      </w:pPr>
      <w:r>
        <w:rPr>
          <w:color w:val="auto"/>
          <w:highlight w:val="none"/>
        </w:rPr>
        <w:t>采用金属卡或吊架时，金属管卡与管道之间应采用塑料带或橡胶等软物隔垫。</w:t>
      </w:r>
    </w:p>
    <w:p>
      <w:pPr>
        <w:pStyle w:val="9"/>
        <w:numPr>
          <w:ilvl w:val="1"/>
          <w:numId w:val="36"/>
        </w:numPr>
        <w:rPr>
          <w:color w:val="auto"/>
          <w:highlight w:val="none"/>
        </w:rPr>
      </w:pPr>
      <w:r>
        <w:rPr>
          <w:color w:val="auto"/>
          <w:highlight w:val="none"/>
        </w:rPr>
        <w:t>横管伸缩节：横支管、横干管无汇合管道接入，且与立管相连管段的长度大于 2.2m 时，在靠近汇合管件的横管侧设置伸缩节；横管上伸缩节间距不宜超过 4m，超过 4m 时，应根据设计计算设置伸缩节；伸缩节的承口方向应迎水流方向。</w:t>
      </w:r>
    </w:p>
    <w:p>
      <w:pPr>
        <w:pStyle w:val="9"/>
        <w:numPr>
          <w:ilvl w:val="1"/>
          <w:numId w:val="36"/>
        </w:numPr>
        <w:rPr>
          <w:color w:val="auto"/>
          <w:highlight w:val="none"/>
        </w:rPr>
      </w:pPr>
      <w:r>
        <w:rPr>
          <w:color w:val="auto"/>
          <w:highlight w:val="none"/>
        </w:rPr>
        <w:t>管道变径：当水平支管由上游小管汇入下游大管时，应采用偏心补心，顶平连接。</w:t>
      </w:r>
    </w:p>
    <w:p>
      <w:pPr>
        <w:pStyle w:val="9"/>
        <w:numPr>
          <w:ilvl w:val="1"/>
          <w:numId w:val="36"/>
        </w:numPr>
        <w:rPr>
          <w:color w:val="auto"/>
          <w:highlight w:val="none"/>
        </w:rPr>
      </w:pPr>
      <w:r>
        <w:rPr>
          <w:color w:val="auto"/>
          <w:highlight w:val="none"/>
        </w:rPr>
        <w:t>水平管道末端转换：UPVC 水平排水支管与柔性排水铸铁立管应采用卡箍橡胶圈接口。</w:t>
      </w:r>
    </w:p>
    <w:p>
      <w:pPr>
        <w:pStyle w:val="8"/>
        <w:numPr>
          <w:ilvl w:val="0"/>
          <w:numId w:val="107"/>
        </w:numPr>
        <w:rPr>
          <w:color w:val="auto"/>
          <w:highlight w:val="none"/>
        </w:rPr>
      </w:pPr>
      <w:r>
        <w:rPr>
          <w:color w:val="auto"/>
          <w:highlight w:val="none"/>
        </w:rPr>
        <w:t>成品保护</w:t>
      </w:r>
    </w:p>
    <w:p>
      <w:pPr>
        <w:pStyle w:val="34"/>
        <w:ind w:right="29" w:rightChars="12" w:firstLine="480"/>
        <w:jc w:val="both"/>
        <w:rPr>
          <w:rFonts w:ascii="Times New Roman" w:hAnsi="Times New Roman" w:cs="Times New Roman"/>
          <w:color w:val="auto"/>
          <w:highlight w:val="none"/>
        </w:rPr>
      </w:pPr>
      <w:r>
        <w:rPr>
          <w:rFonts w:ascii="Times New Roman" w:hAnsi="Times New Roman" w:cs="Times New Roman"/>
          <w:color w:val="auto"/>
          <w:highlight w:val="none"/>
        </w:rPr>
        <w:t>对已施工完的 UPVC 排水管做有效的成品保护：所有预留管口封闭严密，管道应采用塑料布等材料包裹。对同层排水预埋件，在现浇楼板完成后须将产品保护盖上的多余水泥浆清理干净，保证盖中心排水孔洞的通畅。</w:t>
      </w:r>
    </w:p>
    <w:p>
      <w:pPr>
        <w:pStyle w:val="7"/>
        <w:rPr>
          <w:color w:val="auto"/>
          <w:highlight w:val="none"/>
        </w:rPr>
      </w:pPr>
      <w:r>
        <w:rPr>
          <w:color w:val="auto"/>
          <w:highlight w:val="none"/>
        </w:rPr>
        <w:t>排水系统–铸铁管安装</w:t>
      </w:r>
    </w:p>
    <w:p>
      <w:pPr>
        <w:pStyle w:val="8"/>
        <w:numPr>
          <w:ilvl w:val="0"/>
          <w:numId w:val="123"/>
        </w:numPr>
        <w:rPr>
          <w:color w:val="auto"/>
          <w:highlight w:val="none"/>
        </w:rPr>
      </w:pPr>
      <w:r>
        <w:rPr>
          <w:color w:val="auto"/>
          <w:highlight w:val="none"/>
        </w:rPr>
        <w:t>柔性机制铸铁管承插连接：</w:t>
      </w:r>
    </w:p>
    <w:p>
      <w:pPr>
        <w:pStyle w:val="9"/>
        <w:numPr>
          <w:ilvl w:val="1"/>
          <w:numId w:val="124"/>
        </w:numPr>
        <w:rPr>
          <w:color w:val="auto"/>
          <w:highlight w:val="none"/>
        </w:rPr>
      </w:pPr>
      <w:r>
        <w:rPr>
          <w:color w:val="auto"/>
          <w:highlight w:val="none"/>
        </w:rPr>
        <w:t>承口、插口及法兰压盖工作面上不得有泥沙及制作毛刺。</w:t>
      </w:r>
    </w:p>
    <w:p>
      <w:pPr>
        <w:pStyle w:val="9"/>
        <w:numPr>
          <w:ilvl w:val="1"/>
          <w:numId w:val="75"/>
        </w:numPr>
        <w:rPr>
          <w:color w:val="auto"/>
          <w:highlight w:val="none"/>
        </w:rPr>
      </w:pPr>
      <w:r>
        <w:rPr>
          <w:color w:val="auto"/>
          <w:highlight w:val="none"/>
        </w:rPr>
        <w:t>安装所在的平面应与管的轴线垂直。</w:t>
      </w:r>
    </w:p>
    <w:p>
      <w:pPr>
        <w:pStyle w:val="9"/>
        <w:numPr>
          <w:ilvl w:val="1"/>
          <w:numId w:val="75"/>
        </w:numPr>
        <w:rPr>
          <w:color w:val="auto"/>
          <w:highlight w:val="none"/>
        </w:rPr>
      </w:pPr>
      <w:r>
        <w:rPr>
          <w:color w:val="auto"/>
          <w:highlight w:val="none"/>
        </w:rPr>
        <w:t>胶圈边缘与上、下端对齐。</w:t>
      </w:r>
    </w:p>
    <w:p>
      <w:pPr>
        <w:pStyle w:val="9"/>
        <w:numPr>
          <w:ilvl w:val="1"/>
          <w:numId w:val="75"/>
        </w:numPr>
        <w:rPr>
          <w:color w:val="auto"/>
          <w:highlight w:val="none"/>
        </w:rPr>
      </w:pPr>
      <w:r>
        <w:rPr>
          <w:color w:val="auto"/>
          <w:highlight w:val="none"/>
        </w:rPr>
        <w:t>插口端插入承口内，为保持橡胶圈在承口深度四周相同，在插进中要保证插入管的轴线与承口管的轴线在同一直线上。</w:t>
      </w:r>
    </w:p>
    <w:p>
      <w:pPr>
        <w:pStyle w:val="9"/>
        <w:numPr>
          <w:ilvl w:val="1"/>
          <w:numId w:val="75"/>
        </w:numPr>
        <w:rPr>
          <w:color w:val="auto"/>
          <w:highlight w:val="none"/>
        </w:rPr>
      </w:pPr>
      <w:r>
        <w:rPr>
          <w:color w:val="auto"/>
          <w:highlight w:val="none"/>
        </w:rPr>
        <w:t>拧紧螺栓时，要使密封圈均匀受力，不得一次拧紧，应逐个逐次拧紧到位。</w:t>
      </w:r>
    </w:p>
    <w:p>
      <w:pPr>
        <w:pStyle w:val="9"/>
        <w:numPr>
          <w:ilvl w:val="1"/>
          <w:numId w:val="75"/>
        </w:numPr>
        <w:rPr>
          <w:color w:val="auto"/>
          <w:highlight w:val="none"/>
        </w:rPr>
      </w:pPr>
      <w:r>
        <w:rPr>
          <w:color w:val="auto"/>
          <w:highlight w:val="none"/>
        </w:rPr>
        <w:t>安装立管时，每个接口处，要用管箍固定在建筑物上。</w:t>
      </w:r>
    </w:p>
    <w:p>
      <w:pPr>
        <w:pStyle w:val="8"/>
        <w:numPr>
          <w:ilvl w:val="0"/>
          <w:numId w:val="107"/>
        </w:numPr>
        <w:rPr>
          <w:color w:val="auto"/>
          <w:highlight w:val="none"/>
        </w:rPr>
      </w:pPr>
      <w:r>
        <w:rPr>
          <w:color w:val="auto"/>
          <w:highlight w:val="none"/>
        </w:rPr>
        <w:t>卡箍连接</w:t>
      </w:r>
    </w:p>
    <w:p>
      <w:pPr>
        <w:pStyle w:val="9"/>
        <w:numPr>
          <w:ilvl w:val="1"/>
          <w:numId w:val="125"/>
        </w:numPr>
        <w:rPr>
          <w:color w:val="auto"/>
          <w:highlight w:val="none"/>
        </w:rPr>
      </w:pPr>
      <w:r>
        <w:rPr>
          <w:color w:val="auto"/>
          <w:highlight w:val="none"/>
        </w:rPr>
        <w:t>沟槽式卡箍连接：管接头与管体相连，确保管体和管件之间不会轴向脱开，在密封圈的包裹下确保接头处无渗漏。</w:t>
      </w:r>
    </w:p>
    <w:p>
      <w:pPr>
        <w:pStyle w:val="9"/>
        <w:numPr>
          <w:ilvl w:val="1"/>
          <w:numId w:val="75"/>
        </w:numPr>
        <w:rPr>
          <w:color w:val="auto"/>
          <w:highlight w:val="none"/>
        </w:rPr>
      </w:pPr>
      <w:r>
        <w:rPr>
          <w:color w:val="auto"/>
          <w:highlight w:val="none"/>
        </w:rPr>
        <w:t>柔性机制铸铁管卡箍连接：排水坡度符合设计要求。管道断口平整、光 滑、无毛刺、台阶、裂缝。橡胶密封圈应均匀平整地套在相连接的两管道上，相连接管道平直度应符合规范要求。</w:t>
      </w:r>
    </w:p>
    <w:p>
      <w:pPr>
        <w:pStyle w:val="9"/>
        <w:numPr>
          <w:ilvl w:val="1"/>
          <w:numId w:val="75"/>
        </w:numPr>
        <w:rPr>
          <w:color w:val="auto"/>
          <w:highlight w:val="none"/>
        </w:rPr>
      </w:pPr>
      <w:r>
        <w:rPr>
          <w:color w:val="auto"/>
          <w:highlight w:val="none"/>
        </w:rPr>
        <w:t>加强卡箍：柔性机制铸铁排水干管和立管使用加强卡箍连接。</w:t>
      </w:r>
    </w:p>
    <w:p>
      <w:pPr>
        <w:pStyle w:val="8"/>
        <w:numPr>
          <w:ilvl w:val="0"/>
          <w:numId w:val="107"/>
        </w:numPr>
        <w:rPr>
          <w:color w:val="auto"/>
          <w:highlight w:val="none"/>
        </w:rPr>
      </w:pPr>
      <w:r>
        <w:rPr>
          <w:color w:val="auto"/>
          <w:highlight w:val="none"/>
        </w:rPr>
        <w:t>排水立管应每层设置支架固定，支架间距不宜大于 1.5m，层高小于或等于3m 时，可只设一个支架。</w:t>
      </w:r>
    </w:p>
    <w:p>
      <w:pPr>
        <w:pStyle w:val="8"/>
        <w:numPr>
          <w:ilvl w:val="0"/>
          <w:numId w:val="107"/>
        </w:numPr>
        <w:rPr>
          <w:color w:val="auto"/>
          <w:highlight w:val="none"/>
        </w:rPr>
      </w:pPr>
      <w:r>
        <w:rPr>
          <w:color w:val="auto"/>
          <w:highlight w:val="none"/>
        </w:rPr>
        <w:t>铸铁管水平管段按规范要求增加清扫口。</w:t>
      </w:r>
    </w:p>
    <w:p>
      <w:pPr>
        <w:pStyle w:val="7"/>
        <w:rPr>
          <w:color w:val="auto"/>
          <w:highlight w:val="none"/>
        </w:rPr>
      </w:pPr>
      <w:r>
        <w:rPr>
          <w:color w:val="auto"/>
          <w:highlight w:val="none"/>
        </w:rPr>
        <w:t>排水系统–镀锌钢管安装（雨水系统）</w:t>
      </w:r>
    </w:p>
    <w:p>
      <w:pPr>
        <w:pStyle w:val="8"/>
        <w:numPr>
          <w:ilvl w:val="0"/>
          <w:numId w:val="126"/>
        </w:numPr>
        <w:rPr>
          <w:color w:val="auto"/>
          <w:highlight w:val="none"/>
        </w:rPr>
      </w:pPr>
      <w:r>
        <w:rPr>
          <w:color w:val="auto"/>
          <w:highlight w:val="none"/>
        </w:rPr>
        <w:t>锌钢管应符合现行国家标准《低压流体输送用焊接钢管》（GB/T3091）的有关规定。</w:t>
      </w:r>
    </w:p>
    <w:p>
      <w:pPr>
        <w:pStyle w:val="8"/>
        <w:numPr>
          <w:ilvl w:val="0"/>
          <w:numId w:val="107"/>
        </w:numPr>
        <w:rPr>
          <w:color w:val="auto"/>
          <w:highlight w:val="none"/>
        </w:rPr>
      </w:pPr>
      <w:r>
        <w:rPr>
          <w:color w:val="auto"/>
          <w:highlight w:val="none"/>
        </w:rPr>
        <w:t>管材、管件的材质、规格、管径应符合设计要求，并应有质量合格证明文件。</w:t>
      </w:r>
    </w:p>
    <w:p>
      <w:pPr>
        <w:pStyle w:val="8"/>
        <w:numPr>
          <w:ilvl w:val="0"/>
          <w:numId w:val="107"/>
        </w:numPr>
        <w:rPr>
          <w:color w:val="auto"/>
          <w:highlight w:val="none"/>
        </w:rPr>
      </w:pPr>
      <w:r>
        <w:rPr>
          <w:color w:val="auto"/>
          <w:highlight w:val="none"/>
        </w:rPr>
        <w:t>管材、管件等材料的表面应完好无损，钢管和管件表面应无裂纹、夹渣、重皮等缺陷。</w:t>
      </w:r>
    </w:p>
    <w:p>
      <w:pPr>
        <w:pStyle w:val="8"/>
        <w:numPr>
          <w:ilvl w:val="0"/>
          <w:numId w:val="107"/>
        </w:numPr>
        <w:rPr>
          <w:color w:val="auto"/>
          <w:highlight w:val="none"/>
        </w:rPr>
      </w:pPr>
      <w:r>
        <w:rPr>
          <w:color w:val="auto"/>
          <w:highlight w:val="none"/>
        </w:rPr>
        <w:t>管道切割应采用机械切割，切口表面应平整，并应与管道中心线垂直。</w:t>
      </w:r>
    </w:p>
    <w:p>
      <w:pPr>
        <w:pStyle w:val="8"/>
        <w:numPr>
          <w:ilvl w:val="0"/>
          <w:numId w:val="107"/>
        </w:numPr>
        <w:rPr>
          <w:color w:val="auto"/>
          <w:highlight w:val="none"/>
        </w:rPr>
      </w:pPr>
      <w:r>
        <w:rPr>
          <w:color w:val="auto"/>
          <w:highlight w:val="none"/>
        </w:rPr>
        <w:t>管道的连接应符合设计要求及国家现行有关标准规定，采用螺纹、法兰或沟槽连接件等方式。</w:t>
      </w:r>
    </w:p>
    <w:p>
      <w:pPr>
        <w:pStyle w:val="8"/>
        <w:numPr>
          <w:ilvl w:val="0"/>
          <w:numId w:val="107"/>
        </w:numPr>
        <w:rPr>
          <w:color w:val="auto"/>
          <w:highlight w:val="none"/>
        </w:rPr>
      </w:pPr>
      <w:r>
        <w:rPr>
          <w:color w:val="auto"/>
          <w:highlight w:val="none"/>
        </w:rPr>
        <w:t>当采用法兰连接时，法兰应垂直于管道中心线，两个法兰的表面应相互平行， 紧固螺纹部分应做防腐处理。</w:t>
      </w:r>
    </w:p>
    <w:p>
      <w:pPr>
        <w:pStyle w:val="8"/>
        <w:numPr>
          <w:ilvl w:val="0"/>
          <w:numId w:val="107"/>
        </w:numPr>
        <w:rPr>
          <w:color w:val="auto"/>
          <w:highlight w:val="none"/>
        </w:rPr>
      </w:pPr>
      <w:r>
        <w:rPr>
          <w:color w:val="auto"/>
          <w:highlight w:val="none"/>
        </w:rPr>
        <w:t>管道支、吊架应固定在承重结构上，位置应正确，埋设应牢固。</w:t>
      </w:r>
    </w:p>
    <w:p>
      <w:pPr>
        <w:pStyle w:val="8"/>
        <w:numPr>
          <w:ilvl w:val="0"/>
          <w:numId w:val="107"/>
        </w:numPr>
        <w:rPr>
          <w:color w:val="auto"/>
          <w:highlight w:val="none"/>
        </w:rPr>
      </w:pPr>
      <w:r>
        <w:rPr>
          <w:color w:val="auto"/>
          <w:highlight w:val="none"/>
        </w:rPr>
        <w:t>管道金属固定件的内、外层应采取防腐处理措施。</w:t>
      </w:r>
    </w:p>
    <w:p>
      <w:pPr>
        <w:pStyle w:val="8"/>
        <w:numPr>
          <w:ilvl w:val="0"/>
          <w:numId w:val="107"/>
        </w:numPr>
        <w:rPr>
          <w:color w:val="auto"/>
          <w:highlight w:val="none"/>
        </w:rPr>
      </w:pPr>
      <w:r>
        <w:rPr>
          <w:color w:val="auto"/>
          <w:highlight w:val="none"/>
        </w:rPr>
        <w:t>管道穿过墙壁及楼板时，应设置套管。</w:t>
      </w:r>
    </w:p>
    <w:p>
      <w:pPr>
        <w:pStyle w:val="7"/>
        <w:rPr>
          <w:color w:val="auto"/>
          <w:highlight w:val="none"/>
        </w:rPr>
      </w:pPr>
      <w:r>
        <w:rPr>
          <w:color w:val="auto"/>
          <w:highlight w:val="none"/>
        </w:rPr>
        <w:t>水泵安装</w:t>
      </w:r>
    </w:p>
    <w:p>
      <w:pPr>
        <w:pStyle w:val="8"/>
        <w:numPr>
          <w:ilvl w:val="0"/>
          <w:numId w:val="127"/>
        </w:numPr>
        <w:rPr>
          <w:color w:val="auto"/>
          <w:highlight w:val="none"/>
        </w:rPr>
      </w:pPr>
      <w:r>
        <w:rPr>
          <w:color w:val="auto"/>
          <w:highlight w:val="none"/>
        </w:rPr>
        <w:t>水泵运输到指定位置后，进行设备吊装安装，准确就位于已经做好的设备惯性台座上，所有水泵用漏斗盛接由密封垫所渗漏的水，并由管道排放到最近排水点。</w:t>
      </w:r>
    </w:p>
    <w:p>
      <w:pPr>
        <w:pStyle w:val="8"/>
        <w:numPr>
          <w:ilvl w:val="0"/>
          <w:numId w:val="107"/>
        </w:numPr>
        <w:rPr>
          <w:color w:val="auto"/>
          <w:highlight w:val="none"/>
        </w:rPr>
      </w:pPr>
      <w:r>
        <w:rPr>
          <w:color w:val="auto"/>
          <w:highlight w:val="none"/>
        </w:rPr>
        <w:t>水泵就位前的基础混凝土强度，坐标、标高、尺寸和螺栓孔位置必须符合深化设计详图的要求，安装时地脚螺栓应垂直、拧紧，且与设备底座接触紧密。</w:t>
      </w:r>
    </w:p>
    <w:p>
      <w:pPr>
        <w:pStyle w:val="8"/>
        <w:numPr>
          <w:ilvl w:val="0"/>
          <w:numId w:val="107"/>
        </w:numPr>
        <w:rPr>
          <w:color w:val="auto"/>
          <w:highlight w:val="none"/>
        </w:rPr>
      </w:pPr>
      <w:r>
        <w:rPr>
          <w:color w:val="auto"/>
          <w:highlight w:val="none"/>
        </w:rPr>
        <w:t>水泵垫铁组放置位置正确，平稳，接触紧密，每组不超过 3 块。</w:t>
      </w:r>
    </w:p>
    <w:p>
      <w:pPr>
        <w:pStyle w:val="8"/>
        <w:numPr>
          <w:ilvl w:val="0"/>
          <w:numId w:val="107"/>
        </w:numPr>
        <w:rPr>
          <w:color w:val="auto"/>
          <w:highlight w:val="none"/>
        </w:rPr>
      </w:pPr>
      <w:r>
        <w:rPr>
          <w:color w:val="auto"/>
          <w:highlight w:val="none"/>
        </w:rPr>
        <w:t>在水泵附近的管道上安装支架，使泵壳上没有重量附着。</w:t>
      </w:r>
    </w:p>
    <w:p>
      <w:pPr>
        <w:pStyle w:val="8"/>
        <w:numPr>
          <w:ilvl w:val="0"/>
          <w:numId w:val="107"/>
        </w:numPr>
        <w:rPr>
          <w:color w:val="auto"/>
          <w:highlight w:val="none"/>
        </w:rPr>
      </w:pPr>
      <w:r>
        <w:rPr>
          <w:color w:val="auto"/>
          <w:highlight w:val="none"/>
        </w:rPr>
        <w:t>每台泵的进出水口两端应设有排气阀，排水口和压力表接头，进出水口应配有法兰供管道连接。</w:t>
      </w:r>
    </w:p>
    <w:p>
      <w:pPr>
        <w:pStyle w:val="8"/>
        <w:numPr>
          <w:ilvl w:val="0"/>
          <w:numId w:val="107"/>
        </w:numPr>
        <w:rPr>
          <w:color w:val="auto"/>
          <w:highlight w:val="none"/>
        </w:rPr>
      </w:pPr>
      <w:r>
        <w:rPr>
          <w:color w:val="auto"/>
          <w:highlight w:val="none"/>
        </w:rPr>
        <w:t>潜污泵：地下室集水坑内潜污泵安装方式有两种：固定式自动耦合安装系统和移动式自由安装系统，应根据设计要求满足验收规范。</w:t>
      </w:r>
    </w:p>
    <w:p>
      <w:pPr>
        <w:pStyle w:val="8"/>
        <w:numPr>
          <w:ilvl w:val="0"/>
          <w:numId w:val="107"/>
        </w:numPr>
        <w:rPr>
          <w:color w:val="auto"/>
          <w:highlight w:val="none"/>
        </w:rPr>
      </w:pPr>
      <w:r>
        <w:rPr>
          <w:color w:val="auto"/>
          <w:highlight w:val="none"/>
        </w:rPr>
        <w:t>立式给水泵：水泵吸入口处应有不小于两倍管径的直管段，吸入口不应直接安装弯头；水泵吸入管变径时，应做偏心变径管，管顶上平。水泵吸入管与泵体连接处，应设置可挠曲软接头，不宜采用金属软管。软接头应有限位装置。</w:t>
      </w:r>
    </w:p>
    <w:p>
      <w:pPr>
        <w:pStyle w:val="8"/>
        <w:numPr>
          <w:ilvl w:val="0"/>
          <w:numId w:val="107"/>
        </w:numPr>
        <w:rPr>
          <w:color w:val="auto"/>
          <w:highlight w:val="none"/>
        </w:rPr>
      </w:pPr>
      <w:r>
        <w:rPr>
          <w:color w:val="auto"/>
          <w:highlight w:val="none"/>
        </w:rPr>
        <w:t>卧式给水泵：出水管段安装顺序应依次为变径管、可挠曲软接头、短管、缓闭消声低阻止回阀、闸阀（蝶阀）。吸入管水平段上严禁因避让其他管道安装向上或向下的弯管；水泵就位时，水泵纵向中心轴线应于基础中心线重合对齐，并找平找正。减震装置应成对放置，弹簧减震器安装时，应有限制位移措施。</w:t>
      </w:r>
    </w:p>
    <w:p>
      <w:pPr>
        <w:pStyle w:val="8"/>
        <w:numPr>
          <w:ilvl w:val="0"/>
          <w:numId w:val="107"/>
        </w:numPr>
        <w:rPr>
          <w:color w:val="auto"/>
          <w:highlight w:val="none"/>
        </w:rPr>
      </w:pPr>
      <w:r>
        <w:rPr>
          <w:color w:val="auto"/>
          <w:highlight w:val="none"/>
        </w:rPr>
        <w:t>水泵在安装时，应注意各水泵的位置，同一排的水泵，应使每一台水泵的中心轴线相互平行，并且应使水泵的出水口或进水口的中心线在一条直线上。</w:t>
      </w:r>
    </w:p>
    <w:p>
      <w:pPr>
        <w:pStyle w:val="8"/>
        <w:numPr>
          <w:ilvl w:val="0"/>
          <w:numId w:val="107"/>
        </w:numPr>
        <w:rPr>
          <w:color w:val="auto"/>
          <w:highlight w:val="none"/>
        </w:rPr>
      </w:pPr>
      <w:r>
        <w:rPr>
          <w:color w:val="auto"/>
          <w:highlight w:val="none"/>
        </w:rPr>
        <w:t>水泵机组的基础应设置减震装置，且不被水泥砂浆封固失效。泵减震板可采用型钢制作或采用钢筋混凝土浇筑。多台水泵成排安装时，应排列整齐；水泵减震装置应安装在水泵减震板下面。</w:t>
      </w:r>
    </w:p>
    <w:p>
      <w:pPr>
        <w:pStyle w:val="8"/>
        <w:numPr>
          <w:ilvl w:val="0"/>
          <w:numId w:val="107"/>
        </w:numPr>
        <w:rPr>
          <w:color w:val="auto"/>
          <w:highlight w:val="none"/>
        </w:rPr>
      </w:pPr>
      <w:r>
        <w:rPr>
          <w:color w:val="auto"/>
          <w:highlight w:val="none"/>
        </w:rPr>
        <w:t>水泵试运转，在设计负荷下连续运转不应少于 2h，并符合下列规定：</w:t>
      </w:r>
    </w:p>
    <w:p>
      <w:pPr>
        <w:pStyle w:val="9"/>
        <w:numPr>
          <w:ilvl w:val="1"/>
          <w:numId w:val="128"/>
        </w:numPr>
        <w:rPr>
          <w:color w:val="auto"/>
          <w:highlight w:val="none"/>
        </w:rPr>
      </w:pPr>
      <w:r>
        <w:rPr>
          <w:color w:val="auto"/>
          <w:highlight w:val="none"/>
        </w:rPr>
        <w:t>运转中不应有异常振动和声响，各密封处不得泄漏，紧固加接部位不应松动。</w:t>
      </w:r>
    </w:p>
    <w:p>
      <w:pPr>
        <w:pStyle w:val="9"/>
        <w:numPr>
          <w:ilvl w:val="1"/>
          <w:numId w:val="75"/>
        </w:numPr>
        <w:rPr>
          <w:color w:val="auto"/>
          <w:highlight w:val="none"/>
        </w:rPr>
      </w:pPr>
      <w:r>
        <w:rPr>
          <w:color w:val="auto"/>
          <w:highlight w:val="none"/>
        </w:rPr>
        <w:t>轴承温升必须符合设备说明书的规定，滑动轴承的最高温度不得超过 70 度，滚动轴承的最高温度不得起过 75 度。</w:t>
      </w:r>
    </w:p>
    <w:p>
      <w:pPr>
        <w:pStyle w:val="9"/>
        <w:numPr>
          <w:ilvl w:val="1"/>
          <w:numId w:val="75"/>
        </w:numPr>
        <w:rPr>
          <w:color w:val="auto"/>
          <w:highlight w:val="none"/>
        </w:rPr>
      </w:pPr>
      <w:r>
        <w:rPr>
          <w:color w:val="auto"/>
          <w:highlight w:val="none"/>
        </w:rPr>
        <w:t>轴封填料的温升应正常，在无特殊要求的情况下，普通填料泄漏量不得大于 35-60ml/h，机械密封的泄漏量不得大于 10ml/h。</w:t>
      </w:r>
    </w:p>
    <w:p>
      <w:pPr>
        <w:pStyle w:val="9"/>
        <w:numPr>
          <w:ilvl w:val="1"/>
          <w:numId w:val="75"/>
        </w:numPr>
        <w:rPr>
          <w:color w:val="auto"/>
          <w:highlight w:val="none"/>
        </w:rPr>
      </w:pPr>
      <w:r>
        <w:rPr>
          <w:color w:val="auto"/>
          <w:highlight w:val="none"/>
        </w:rPr>
        <w:t>电动机的电流和功率不应超过额定值。</w:t>
      </w:r>
    </w:p>
    <w:p>
      <w:pPr>
        <w:pStyle w:val="7"/>
        <w:rPr>
          <w:color w:val="auto"/>
          <w:highlight w:val="none"/>
        </w:rPr>
      </w:pPr>
      <w:r>
        <w:rPr>
          <w:color w:val="auto"/>
          <w:highlight w:val="none"/>
        </w:rPr>
        <w:t>同层排水立管集水器安装</w:t>
      </w:r>
    </w:p>
    <w:p>
      <w:pPr>
        <w:pStyle w:val="8"/>
        <w:numPr>
          <w:ilvl w:val="0"/>
          <w:numId w:val="129"/>
        </w:numPr>
        <w:rPr>
          <w:color w:val="auto"/>
          <w:highlight w:val="none"/>
        </w:rPr>
      </w:pPr>
      <w:r>
        <w:rPr>
          <w:color w:val="auto"/>
          <w:highlight w:val="none"/>
        </w:rPr>
        <w:t>用混凝土将沉降地面同集水器找平，以防水保护圈为最低点做泻水坡，确保集水器最低，以便渗水尽快流走。</w:t>
      </w:r>
    </w:p>
    <w:p>
      <w:pPr>
        <w:pStyle w:val="8"/>
        <w:numPr>
          <w:ilvl w:val="0"/>
          <w:numId w:val="107"/>
        </w:numPr>
        <w:rPr>
          <w:color w:val="auto"/>
          <w:highlight w:val="none"/>
        </w:rPr>
      </w:pPr>
      <w:r>
        <w:rPr>
          <w:color w:val="auto"/>
          <w:highlight w:val="none"/>
        </w:rPr>
        <w:t>防水工序符合建筑施工相关规范，防水材料应做到防水保护圈上，蓄水验收正常后，将防水保护圈除去。</w:t>
      </w:r>
    </w:p>
    <w:p>
      <w:pPr>
        <w:pStyle w:val="8"/>
        <w:numPr>
          <w:ilvl w:val="0"/>
          <w:numId w:val="107"/>
        </w:numPr>
        <w:rPr>
          <w:color w:val="auto"/>
          <w:highlight w:val="none"/>
        </w:rPr>
      </w:pPr>
      <w:r>
        <w:rPr>
          <w:color w:val="auto"/>
          <w:highlight w:val="none"/>
        </w:rPr>
        <w:t>在排水孔的周围堆放直径大于 20mm 的砾石覆盖(堆放高于 50mm 为宜），确定具有一定厚度再回填炉渣。</w:t>
      </w:r>
    </w:p>
    <w:p>
      <w:pPr>
        <w:pStyle w:val="7"/>
        <w:rPr>
          <w:color w:val="auto"/>
          <w:highlight w:val="none"/>
        </w:rPr>
      </w:pPr>
      <w:r>
        <w:rPr>
          <w:color w:val="auto"/>
          <w:highlight w:val="none"/>
        </w:rPr>
        <w:t>预埋式地漏安装</w:t>
      </w:r>
    </w:p>
    <w:p>
      <w:pPr>
        <w:pStyle w:val="8"/>
        <w:numPr>
          <w:ilvl w:val="0"/>
          <w:numId w:val="130"/>
        </w:numPr>
        <w:rPr>
          <w:color w:val="auto"/>
          <w:highlight w:val="none"/>
        </w:rPr>
      </w:pPr>
      <w:r>
        <w:rPr>
          <w:color w:val="auto"/>
          <w:highlight w:val="none"/>
        </w:rPr>
        <w:t>按照图纸，确定排水管道离墙尺寸，确定预留 PVC 地漏的位置。根据位移情况适当调整地漏的位置，控制好上下层地漏的垂直度。</w:t>
      </w:r>
    </w:p>
    <w:p>
      <w:pPr>
        <w:pStyle w:val="8"/>
        <w:numPr>
          <w:ilvl w:val="0"/>
          <w:numId w:val="107"/>
        </w:numPr>
        <w:rPr>
          <w:color w:val="auto"/>
          <w:highlight w:val="none"/>
        </w:rPr>
      </w:pPr>
      <w:r>
        <w:rPr>
          <w:color w:val="auto"/>
          <w:highlight w:val="none"/>
        </w:rPr>
        <w:t>固定 PVC 地漏：用铁锤和钢钉将止水节固定在模板上。</w:t>
      </w:r>
    </w:p>
    <w:p>
      <w:pPr>
        <w:pStyle w:val="8"/>
        <w:numPr>
          <w:ilvl w:val="0"/>
          <w:numId w:val="107"/>
        </w:numPr>
        <w:rPr>
          <w:color w:val="auto"/>
          <w:highlight w:val="none"/>
        </w:rPr>
      </w:pPr>
      <w:r>
        <w:rPr>
          <w:color w:val="auto"/>
          <w:highlight w:val="none"/>
        </w:rPr>
        <w:t>排水管安装时将地漏内壁及承口清理干净，将立管及支管的插口外壁清理干净；将胶粘剂分别涂于承口内壁及插口外壁，胶粘剂涂刷应快速均匀。</w:t>
      </w:r>
    </w:p>
    <w:p>
      <w:pPr>
        <w:pStyle w:val="7"/>
        <w:rPr>
          <w:color w:val="auto"/>
          <w:highlight w:val="none"/>
        </w:rPr>
      </w:pPr>
      <w:r>
        <w:rPr>
          <w:color w:val="auto"/>
          <w:highlight w:val="none"/>
        </w:rPr>
        <w:t>虹吸雨水斗安装</w:t>
      </w:r>
    </w:p>
    <w:p>
      <w:pPr>
        <w:pStyle w:val="8"/>
        <w:numPr>
          <w:ilvl w:val="0"/>
          <w:numId w:val="131"/>
        </w:numPr>
        <w:rPr>
          <w:color w:val="auto"/>
          <w:highlight w:val="none"/>
        </w:rPr>
      </w:pPr>
      <w:r>
        <w:rPr>
          <w:color w:val="auto"/>
          <w:highlight w:val="none"/>
        </w:rPr>
        <w:t>雨水斗的进水口应水平安装，其高度应保证天沟内的雨水能通过雨水斗排净。</w:t>
      </w:r>
    </w:p>
    <w:p>
      <w:pPr>
        <w:pStyle w:val="8"/>
        <w:numPr>
          <w:ilvl w:val="0"/>
          <w:numId w:val="107"/>
        </w:numPr>
        <w:rPr>
          <w:color w:val="auto"/>
          <w:highlight w:val="none"/>
        </w:rPr>
      </w:pPr>
      <w:r>
        <w:rPr>
          <w:color w:val="auto"/>
          <w:highlight w:val="none"/>
        </w:rPr>
        <w:t>雨水斗安装时，应在屋面防水施工完成、确认雨水管道畅通、清除流入短管内的密封膏后，再安装整流器、导流罩等部件。</w:t>
      </w:r>
    </w:p>
    <w:p>
      <w:pPr>
        <w:pStyle w:val="8"/>
        <w:numPr>
          <w:ilvl w:val="0"/>
          <w:numId w:val="107"/>
        </w:numPr>
        <w:rPr>
          <w:color w:val="auto"/>
          <w:highlight w:val="none"/>
        </w:rPr>
      </w:pPr>
      <w:r>
        <w:rPr>
          <w:color w:val="auto"/>
          <w:highlight w:val="none"/>
        </w:rPr>
        <w:t>雨水斗安装后，其边缘与屋面相连处应严密不漏。</w:t>
      </w:r>
    </w:p>
    <w:p>
      <w:pPr>
        <w:pStyle w:val="7"/>
        <w:rPr>
          <w:color w:val="auto"/>
          <w:highlight w:val="none"/>
        </w:rPr>
      </w:pPr>
      <w:r>
        <w:rPr>
          <w:color w:val="auto"/>
          <w:highlight w:val="none"/>
        </w:rPr>
        <w:t>预埋止水节安装</w:t>
      </w:r>
    </w:p>
    <w:p>
      <w:pPr>
        <w:pStyle w:val="8"/>
        <w:numPr>
          <w:ilvl w:val="0"/>
          <w:numId w:val="132"/>
        </w:numPr>
        <w:rPr>
          <w:color w:val="auto"/>
          <w:highlight w:val="none"/>
        </w:rPr>
      </w:pPr>
      <w:r>
        <w:rPr>
          <w:color w:val="auto"/>
          <w:highlight w:val="none"/>
        </w:rPr>
        <w:t>按照图纸，确定排水管道离墙尺寸，确定预留 PVC 止水节的位置。根据位移情况适当调整止水节的位置，控制好上下层止水节的垂直度。</w:t>
      </w:r>
    </w:p>
    <w:p>
      <w:pPr>
        <w:pStyle w:val="8"/>
        <w:numPr>
          <w:ilvl w:val="0"/>
          <w:numId w:val="107"/>
        </w:numPr>
        <w:rPr>
          <w:color w:val="auto"/>
          <w:highlight w:val="none"/>
        </w:rPr>
      </w:pPr>
      <w:r>
        <w:rPr>
          <w:color w:val="auto"/>
          <w:highlight w:val="none"/>
        </w:rPr>
        <w:t>固定 PVC 止水节：用铁锤和钢钉将止水节固定在模板上。</w:t>
      </w:r>
    </w:p>
    <w:p>
      <w:pPr>
        <w:pStyle w:val="8"/>
        <w:numPr>
          <w:ilvl w:val="0"/>
          <w:numId w:val="107"/>
        </w:numPr>
        <w:rPr>
          <w:color w:val="auto"/>
          <w:highlight w:val="none"/>
        </w:rPr>
      </w:pPr>
      <w:r>
        <w:rPr>
          <w:color w:val="auto"/>
          <w:highlight w:val="none"/>
        </w:rPr>
        <w:t>排水管安装时将止水节内壁及承口清理干净，将立管及支管的插口外壁清理干净；将胶粘剂分别涂于承口内壁及插口外壁，胶粘剂涂刷应快速均匀。</w:t>
      </w:r>
    </w:p>
    <w:p>
      <w:pPr>
        <w:pStyle w:val="7"/>
        <w:rPr>
          <w:color w:val="auto"/>
          <w:highlight w:val="none"/>
        </w:rPr>
      </w:pPr>
      <w:r>
        <w:rPr>
          <w:color w:val="auto"/>
          <w:highlight w:val="none"/>
        </w:rPr>
        <w:t>水平管道支架安装</w:t>
      </w:r>
    </w:p>
    <w:p>
      <w:pPr>
        <w:pStyle w:val="8"/>
        <w:numPr>
          <w:ilvl w:val="0"/>
          <w:numId w:val="133"/>
        </w:numPr>
        <w:rPr>
          <w:color w:val="auto"/>
          <w:highlight w:val="none"/>
        </w:rPr>
      </w:pPr>
      <w:r>
        <w:rPr>
          <w:color w:val="auto"/>
          <w:highlight w:val="none"/>
        </w:rPr>
        <w:t>支架安装应平整、牢固，与管子接触紧密。</w:t>
      </w:r>
    </w:p>
    <w:p>
      <w:pPr>
        <w:pStyle w:val="8"/>
        <w:numPr>
          <w:ilvl w:val="0"/>
          <w:numId w:val="107"/>
        </w:numPr>
        <w:rPr>
          <w:color w:val="auto"/>
          <w:highlight w:val="none"/>
        </w:rPr>
      </w:pPr>
      <w:r>
        <w:rPr>
          <w:color w:val="auto"/>
          <w:highlight w:val="none"/>
        </w:rPr>
        <w:t>支、托、吊架上不允许有管道焊缝、管件。</w:t>
      </w:r>
    </w:p>
    <w:p>
      <w:pPr>
        <w:pStyle w:val="8"/>
        <w:numPr>
          <w:ilvl w:val="0"/>
          <w:numId w:val="107"/>
        </w:numPr>
        <w:rPr>
          <w:color w:val="auto"/>
          <w:highlight w:val="none"/>
        </w:rPr>
      </w:pPr>
      <w:r>
        <w:rPr>
          <w:color w:val="auto"/>
          <w:highlight w:val="none"/>
        </w:rPr>
        <w:t>支架标高应正确，对有坡度要求的管道，支架的标高应满足坡度要求。</w:t>
      </w:r>
    </w:p>
    <w:p>
      <w:pPr>
        <w:pStyle w:val="8"/>
        <w:numPr>
          <w:ilvl w:val="0"/>
          <w:numId w:val="107"/>
        </w:numPr>
        <w:rPr>
          <w:color w:val="auto"/>
          <w:highlight w:val="none"/>
        </w:rPr>
      </w:pPr>
      <w:r>
        <w:rPr>
          <w:color w:val="auto"/>
          <w:highlight w:val="none"/>
        </w:rPr>
        <w:t>支架间距及材质必须符合相关规范要求。</w:t>
      </w:r>
    </w:p>
    <w:p>
      <w:pPr>
        <w:pStyle w:val="7"/>
        <w:rPr>
          <w:color w:val="auto"/>
          <w:highlight w:val="none"/>
        </w:rPr>
      </w:pPr>
      <w:r>
        <w:rPr>
          <w:color w:val="auto"/>
          <w:highlight w:val="none"/>
        </w:rPr>
        <w:t>垂直管道支架安装</w:t>
      </w:r>
    </w:p>
    <w:p>
      <w:pPr>
        <w:pStyle w:val="8"/>
        <w:numPr>
          <w:ilvl w:val="0"/>
          <w:numId w:val="134"/>
        </w:numPr>
        <w:rPr>
          <w:color w:val="auto"/>
          <w:highlight w:val="none"/>
        </w:rPr>
      </w:pPr>
      <w:r>
        <w:rPr>
          <w:color w:val="auto"/>
          <w:highlight w:val="none"/>
        </w:rPr>
        <w:t>管道安装时必须按不同管径和要求设置管卡或吊架，位置应准确，管卡与管道接触应紧密，不得损伤管道表面。</w:t>
      </w:r>
    </w:p>
    <w:p>
      <w:pPr>
        <w:pStyle w:val="8"/>
        <w:numPr>
          <w:ilvl w:val="0"/>
          <w:numId w:val="107"/>
        </w:numPr>
        <w:rPr>
          <w:color w:val="auto"/>
          <w:highlight w:val="none"/>
        </w:rPr>
      </w:pPr>
      <w:r>
        <w:rPr>
          <w:color w:val="auto"/>
          <w:highlight w:val="none"/>
        </w:rPr>
        <w:t>采用金属卡或吊架时，金属管卡与管道之间应采用塑料带或橡胶等软物隔垫。</w:t>
      </w:r>
    </w:p>
    <w:p>
      <w:pPr>
        <w:pStyle w:val="8"/>
        <w:numPr>
          <w:ilvl w:val="0"/>
          <w:numId w:val="107"/>
        </w:numPr>
        <w:rPr>
          <w:color w:val="auto"/>
          <w:highlight w:val="none"/>
        </w:rPr>
      </w:pPr>
      <w:r>
        <w:rPr>
          <w:color w:val="auto"/>
          <w:highlight w:val="none"/>
        </w:rPr>
        <w:t>支架间距及材质必须符合相关规范要求。</w:t>
      </w:r>
    </w:p>
    <w:p>
      <w:pPr>
        <w:pStyle w:val="7"/>
        <w:rPr>
          <w:color w:val="auto"/>
          <w:highlight w:val="none"/>
        </w:rPr>
      </w:pPr>
      <w:r>
        <w:rPr>
          <w:color w:val="auto"/>
          <w:highlight w:val="none"/>
        </w:rPr>
        <w:t>对承包人综合支吊架的深化及安装要求</w:t>
      </w:r>
    </w:p>
    <w:p>
      <w:pPr>
        <w:pStyle w:val="8"/>
        <w:numPr>
          <w:ilvl w:val="0"/>
          <w:numId w:val="135"/>
        </w:numPr>
        <w:rPr>
          <w:color w:val="auto"/>
          <w:highlight w:val="none"/>
        </w:rPr>
      </w:pPr>
      <w:r>
        <w:rPr>
          <w:color w:val="auto"/>
          <w:highlight w:val="none"/>
        </w:rPr>
        <w:t>综合支吊架的设计范围为：地下室机电管线集中区域（空调通风、给排水、消防、桥架等）由承包人负责管线综合深化和联合支吊架的深化，并负责供应和安装施工。综合支吊架深化设计后需满足以下要求：</w:t>
      </w:r>
    </w:p>
    <w:p>
      <w:pPr>
        <w:pStyle w:val="9"/>
        <w:numPr>
          <w:ilvl w:val="1"/>
          <w:numId w:val="136"/>
        </w:numPr>
        <w:rPr>
          <w:color w:val="auto"/>
          <w:highlight w:val="none"/>
        </w:rPr>
      </w:pPr>
      <w:r>
        <w:rPr>
          <w:color w:val="auto"/>
          <w:highlight w:val="none"/>
        </w:rPr>
        <w:t>满足设计净高，检修要求。</w:t>
      </w:r>
    </w:p>
    <w:p>
      <w:pPr>
        <w:pStyle w:val="9"/>
        <w:numPr>
          <w:ilvl w:val="1"/>
          <w:numId w:val="75"/>
        </w:numPr>
        <w:rPr>
          <w:color w:val="auto"/>
          <w:highlight w:val="none"/>
        </w:rPr>
      </w:pPr>
      <w:r>
        <w:rPr>
          <w:color w:val="auto"/>
          <w:highlight w:val="none"/>
        </w:rPr>
        <w:t>梁板结构地下室最不利机电综合占用层高尽可能不应大于 600mm；大板结构地下室最不利机电综合占用层高不应大于 750mm。</w:t>
      </w:r>
    </w:p>
    <w:p>
      <w:pPr>
        <w:pStyle w:val="9"/>
        <w:numPr>
          <w:ilvl w:val="1"/>
          <w:numId w:val="75"/>
        </w:numPr>
        <w:rPr>
          <w:color w:val="auto"/>
          <w:highlight w:val="none"/>
        </w:rPr>
      </w:pPr>
      <w:r>
        <w:rPr>
          <w:color w:val="auto"/>
          <w:highlight w:val="none"/>
        </w:rPr>
        <w:t>机电末端成排成线，满足美观要求。</w:t>
      </w:r>
    </w:p>
    <w:p>
      <w:pPr>
        <w:pStyle w:val="8"/>
        <w:numPr>
          <w:ilvl w:val="0"/>
          <w:numId w:val="107"/>
        </w:numPr>
        <w:rPr>
          <w:color w:val="auto"/>
          <w:highlight w:val="none"/>
        </w:rPr>
      </w:pPr>
      <w:r>
        <w:rPr>
          <w:color w:val="auto"/>
          <w:highlight w:val="none"/>
        </w:rPr>
        <w:t>抗震支吊架设计涉及多种复杂荷载形式的计算和配件的选用计算，必须由制造商的技术人员完成抗震支架的深化设计并指导安装。</w:t>
      </w:r>
    </w:p>
    <w:p>
      <w:pPr>
        <w:pStyle w:val="8"/>
        <w:numPr>
          <w:ilvl w:val="0"/>
          <w:numId w:val="107"/>
        </w:numPr>
        <w:rPr>
          <w:color w:val="auto"/>
          <w:highlight w:val="none"/>
        </w:rPr>
      </w:pPr>
      <w:r>
        <w:rPr>
          <w:color w:val="auto"/>
          <w:highlight w:val="none"/>
        </w:rPr>
        <w:t>抗震支吊架的设计必须满足《建筑机电抗震设计规范》的要求， 选用的产品必须满足《建筑机电设备抗震支吊架通用技术条件》的要求； 抗震支吊架的施工必须满足《抗震支吊架安装及验收规程》的要求。</w:t>
      </w:r>
    </w:p>
    <w:p>
      <w:pPr>
        <w:pStyle w:val="8"/>
        <w:numPr>
          <w:ilvl w:val="0"/>
          <w:numId w:val="107"/>
        </w:numPr>
        <w:rPr>
          <w:color w:val="auto"/>
          <w:highlight w:val="none"/>
        </w:rPr>
      </w:pPr>
      <w:r>
        <w:rPr>
          <w:color w:val="auto"/>
          <w:highlight w:val="none"/>
        </w:rPr>
        <w:t>综合支吊架的深化设计图应由总承包人联合有相应资质及能力的深化设计单位共同完成，深化设计成果报监理人/发包人批准后方可实施。</w:t>
      </w:r>
    </w:p>
    <w:p>
      <w:pPr>
        <w:pStyle w:val="8"/>
        <w:numPr>
          <w:ilvl w:val="0"/>
          <w:numId w:val="107"/>
        </w:numPr>
        <w:rPr>
          <w:color w:val="auto"/>
          <w:highlight w:val="none"/>
        </w:rPr>
      </w:pPr>
      <w:r>
        <w:rPr>
          <w:color w:val="auto"/>
          <w:highlight w:val="none"/>
        </w:rPr>
        <w:t>选用的抗震支吊架产品必须满足以下要求：</w:t>
      </w:r>
    </w:p>
    <w:p>
      <w:pPr>
        <w:pStyle w:val="9"/>
        <w:numPr>
          <w:ilvl w:val="1"/>
          <w:numId w:val="137"/>
        </w:numPr>
        <w:rPr>
          <w:color w:val="auto"/>
          <w:highlight w:val="none"/>
        </w:rPr>
      </w:pPr>
      <w:r>
        <w:rPr>
          <w:color w:val="auto"/>
          <w:highlight w:val="none"/>
        </w:rPr>
        <w:t>抗震支吊架系统应依据《建筑机电设备抗震支吊架通用技术条件》进行测试，并提供国家级检测机构的检测报告。</w:t>
      </w:r>
    </w:p>
    <w:p>
      <w:pPr>
        <w:pStyle w:val="9"/>
        <w:numPr>
          <w:ilvl w:val="1"/>
          <w:numId w:val="75"/>
        </w:numPr>
        <w:rPr>
          <w:color w:val="auto"/>
          <w:highlight w:val="none"/>
        </w:rPr>
      </w:pPr>
      <w:r>
        <w:rPr>
          <w:color w:val="auto"/>
          <w:highlight w:val="none"/>
        </w:rPr>
        <w:t>抗震支架系统的斜向支撑 C 型槽钢应使用冷弯薄壁成品支架槽钢,其壁厚不小于 2.5mm。</w:t>
      </w:r>
    </w:p>
    <w:p>
      <w:pPr>
        <w:pStyle w:val="9"/>
        <w:numPr>
          <w:ilvl w:val="1"/>
          <w:numId w:val="75"/>
        </w:numPr>
        <w:rPr>
          <w:color w:val="auto"/>
          <w:highlight w:val="none"/>
        </w:rPr>
      </w:pPr>
      <w:r>
        <w:rPr>
          <w:color w:val="auto"/>
          <w:highlight w:val="none"/>
        </w:rPr>
        <w:t>抗震支吊系统使用的 C 型槽钢采用热浸镀锌，其镀锌层厚度必须≥55 微米，并提供相关镀锌层厚度测试报告。</w:t>
      </w:r>
    </w:p>
    <w:p>
      <w:pPr>
        <w:pStyle w:val="9"/>
        <w:numPr>
          <w:ilvl w:val="1"/>
          <w:numId w:val="75"/>
        </w:numPr>
        <w:rPr>
          <w:color w:val="auto"/>
          <w:highlight w:val="none"/>
        </w:rPr>
      </w:pPr>
      <w:r>
        <w:rPr>
          <w:color w:val="auto"/>
          <w:highlight w:val="none"/>
        </w:rPr>
        <w:t>如果门型抗震支架系统由于受力计算要求需要使用双面拼接 C 型槽钢时， 为确保双面槽钢的整体受力性能，要求其拼接工艺应采用背孔冲压连接及一体激光焊接工艺，不得使用点焊连接。</w:t>
      </w:r>
    </w:p>
    <w:p>
      <w:pPr>
        <w:pStyle w:val="9"/>
        <w:numPr>
          <w:ilvl w:val="1"/>
          <w:numId w:val="75"/>
        </w:numPr>
        <w:rPr>
          <w:color w:val="auto"/>
          <w:highlight w:val="none"/>
        </w:rPr>
      </w:pPr>
      <w:r>
        <w:rPr>
          <w:color w:val="auto"/>
          <w:highlight w:val="none"/>
        </w:rPr>
        <w:t>抗震支架使用的 C 型槽钢其卷边内沿必须带有深度不小于 1.0mm 的齿牙， 同时与之配合的连接扣件也应带有相同深度的齿坑，以保证咬合连接模式在遇到较大水平荷载的时，连接能实现延性破坏。</w:t>
      </w:r>
    </w:p>
    <w:p>
      <w:pPr>
        <w:pStyle w:val="9"/>
        <w:numPr>
          <w:ilvl w:val="1"/>
          <w:numId w:val="75"/>
        </w:numPr>
        <w:rPr>
          <w:color w:val="auto"/>
          <w:highlight w:val="none"/>
        </w:rPr>
      </w:pPr>
      <w:r>
        <w:rPr>
          <w:color w:val="auto"/>
          <w:highlight w:val="none"/>
        </w:rPr>
        <w:t>配套安装金属管道的管卡内需配惰性橡胶内衬垫，以达到绝缘，减振，降噪的效果。</w:t>
      </w:r>
    </w:p>
    <w:p>
      <w:pPr>
        <w:pStyle w:val="9"/>
        <w:numPr>
          <w:ilvl w:val="1"/>
          <w:numId w:val="75"/>
        </w:numPr>
        <w:rPr>
          <w:color w:val="auto"/>
          <w:highlight w:val="none"/>
        </w:rPr>
      </w:pPr>
      <w:r>
        <w:rPr>
          <w:color w:val="auto"/>
          <w:highlight w:val="none"/>
        </w:rPr>
        <w:t>抗震支架系统采用应采用具有机械锁键效应的后扩底锚栓，必须符合国家标准《混凝土结构后锚固技术规程》，并提供国内权威机构的测试报告。</w:t>
      </w:r>
    </w:p>
    <w:p>
      <w:pPr>
        <w:pStyle w:val="5"/>
        <w:rPr>
          <w:color w:val="auto"/>
          <w:highlight w:val="none"/>
        </w:rPr>
      </w:pPr>
      <w:r>
        <w:rPr>
          <w:color w:val="auto"/>
          <w:highlight w:val="none"/>
        </w:rPr>
        <w:t>电气工程</w:t>
      </w:r>
    </w:p>
    <w:p>
      <w:pPr>
        <w:pStyle w:val="7"/>
        <w:rPr>
          <w:color w:val="auto"/>
          <w:highlight w:val="none"/>
        </w:rPr>
      </w:pPr>
      <w:r>
        <w:rPr>
          <w:color w:val="auto"/>
          <w:highlight w:val="none"/>
        </w:rPr>
        <w:t>防雷与接地</w:t>
      </w:r>
    </w:p>
    <w:p>
      <w:pPr>
        <w:pStyle w:val="8"/>
        <w:numPr>
          <w:ilvl w:val="0"/>
          <w:numId w:val="138"/>
        </w:numPr>
        <w:rPr>
          <w:color w:val="auto"/>
          <w:highlight w:val="none"/>
        </w:rPr>
      </w:pPr>
      <w:r>
        <w:rPr>
          <w:color w:val="auto"/>
          <w:highlight w:val="none"/>
        </w:rPr>
        <w:t>接地装置</w:t>
      </w:r>
    </w:p>
    <w:p>
      <w:pPr>
        <w:pStyle w:val="9"/>
        <w:numPr>
          <w:ilvl w:val="1"/>
          <w:numId w:val="139"/>
        </w:numPr>
        <w:rPr>
          <w:color w:val="auto"/>
          <w:highlight w:val="none"/>
        </w:rPr>
      </w:pPr>
      <w:r>
        <w:rPr>
          <w:color w:val="auto"/>
          <w:highlight w:val="none"/>
        </w:rPr>
        <w:t>人工接地体应选用角钢或圆钢，长度不小于 2.5m，相互之间间距不应小于5m，其顶部应作成尖角；埋设时应挖深为 0.8</w:t>
      </w:r>
      <w:r>
        <w:rPr>
          <w:rFonts w:eastAsia="Arial"/>
          <w:color w:val="auto"/>
          <w:highlight w:val="none"/>
        </w:rPr>
        <w:t>~</w:t>
      </w:r>
      <w:r>
        <w:rPr>
          <w:color w:val="auto"/>
          <w:highlight w:val="none"/>
        </w:rPr>
        <w:t>1m，宽为 0.5m 的沟，沟上宽下窄，打桩时，应采取措施，防止接地角钢或圆钢打劈。接地体应垂直设置，避免打偏，其顶部离地高度为 600mm；接地体之间用镀锌扁钢焊接连接，扁钢应侧放，与接地体连接的位置距接地体顶部 100mm，焊接达到上条要求， 并留有足够长的连接长度；接地体埋设位置距建筑物不宜小于 1.5m，遇有垃圾灰渣等时，应换土并分层夯实；当接地装置必须埋设在建筑物出人口或人行道小于 3m 时，应采用均压带做法或接地装置上敷设 50</w:t>
      </w:r>
      <w:r>
        <w:rPr>
          <w:rFonts w:eastAsia="Arial"/>
          <w:color w:val="auto"/>
          <w:highlight w:val="none"/>
        </w:rPr>
        <w:t>~</w:t>
      </w:r>
      <w:r>
        <w:rPr>
          <w:color w:val="auto"/>
          <w:highlight w:val="none"/>
        </w:rPr>
        <w:t>90mm 沥青层， 其宽度应超过接地装置 2m。</w:t>
      </w:r>
    </w:p>
    <w:p>
      <w:pPr>
        <w:pStyle w:val="9"/>
        <w:numPr>
          <w:ilvl w:val="1"/>
          <w:numId w:val="75"/>
        </w:numPr>
        <w:rPr>
          <w:color w:val="auto"/>
          <w:highlight w:val="none"/>
        </w:rPr>
      </w:pPr>
      <w:r>
        <w:rPr>
          <w:color w:val="auto"/>
          <w:highlight w:val="none"/>
        </w:rPr>
        <w:t>自然接地体利用无防水底板钢筋或深基础做接地体，应按设计要求，将底板钢筋搭接焊好；将柱内两根相临或对角的钢筋与底板钢筋绑扎或搭接焊好，并将柱内主筋用色标作好标记。</w:t>
      </w:r>
    </w:p>
    <w:p>
      <w:pPr>
        <w:pStyle w:val="8"/>
        <w:numPr>
          <w:ilvl w:val="0"/>
          <w:numId w:val="107"/>
        </w:numPr>
        <w:rPr>
          <w:color w:val="auto"/>
          <w:highlight w:val="none"/>
        </w:rPr>
      </w:pPr>
      <w:r>
        <w:rPr>
          <w:color w:val="auto"/>
          <w:highlight w:val="none"/>
        </w:rPr>
        <w:t>接地干线安装</w:t>
      </w:r>
    </w:p>
    <w:p>
      <w:pPr>
        <w:pStyle w:val="9"/>
        <w:numPr>
          <w:ilvl w:val="1"/>
          <w:numId w:val="140"/>
        </w:numPr>
        <w:rPr>
          <w:color w:val="auto"/>
          <w:highlight w:val="none"/>
        </w:rPr>
      </w:pPr>
      <w:r>
        <w:rPr>
          <w:color w:val="auto"/>
          <w:highlight w:val="none"/>
        </w:rPr>
        <w:t>室外接地干线一般敷设在沟内，回填土应压实但不需打夯，末端露出地面</w:t>
      </w:r>
    </w:p>
    <w:p>
      <w:pPr>
        <w:pStyle w:val="9"/>
        <w:numPr>
          <w:ilvl w:val="1"/>
          <w:numId w:val="75"/>
        </w:numPr>
        <w:rPr>
          <w:color w:val="auto"/>
          <w:highlight w:val="none"/>
        </w:rPr>
      </w:pPr>
      <w:r>
        <w:rPr>
          <w:color w:val="auto"/>
          <w:highlight w:val="none"/>
        </w:rPr>
        <w:t>500mm，以便接引线；</w:t>
      </w:r>
    </w:p>
    <w:p>
      <w:pPr>
        <w:pStyle w:val="9"/>
        <w:numPr>
          <w:ilvl w:val="1"/>
          <w:numId w:val="75"/>
        </w:numPr>
        <w:rPr>
          <w:color w:val="auto"/>
          <w:highlight w:val="none"/>
        </w:rPr>
      </w:pPr>
      <w:r>
        <w:rPr>
          <w:color w:val="auto"/>
          <w:highlight w:val="none"/>
        </w:rPr>
        <w:t>室内接地干线多为明敷设，但部分设备连接的支线需经地面也可埋在混凝土内；</w:t>
      </w:r>
    </w:p>
    <w:p>
      <w:pPr>
        <w:pStyle w:val="9"/>
        <w:numPr>
          <w:ilvl w:val="1"/>
          <w:numId w:val="75"/>
        </w:numPr>
        <w:rPr>
          <w:color w:val="auto"/>
          <w:highlight w:val="none"/>
        </w:rPr>
      </w:pPr>
      <w:r>
        <w:rPr>
          <w:color w:val="auto"/>
          <w:highlight w:val="none"/>
        </w:rPr>
        <w:t>明敷设接地线不应妨碍设备的拆除与检修；</w:t>
      </w:r>
    </w:p>
    <w:p>
      <w:pPr>
        <w:pStyle w:val="9"/>
        <w:numPr>
          <w:ilvl w:val="1"/>
          <w:numId w:val="75"/>
        </w:numPr>
        <w:rPr>
          <w:color w:val="auto"/>
          <w:highlight w:val="none"/>
        </w:rPr>
      </w:pPr>
      <w:r>
        <w:rPr>
          <w:color w:val="auto"/>
          <w:highlight w:val="none"/>
        </w:rPr>
        <w:t>接地线应水平或垂直敷设，也可沿建筑物表面平行敷设，不应有高低起伏及弯曲情况；</w:t>
      </w:r>
    </w:p>
    <w:p>
      <w:pPr>
        <w:pStyle w:val="9"/>
        <w:numPr>
          <w:ilvl w:val="1"/>
          <w:numId w:val="75"/>
        </w:numPr>
        <w:rPr>
          <w:color w:val="auto"/>
          <w:highlight w:val="none"/>
        </w:rPr>
      </w:pPr>
      <w:r>
        <w:rPr>
          <w:color w:val="auto"/>
          <w:highlight w:val="none"/>
        </w:rPr>
        <w:t>接地线沿建筑物墙壁敷设时，接地干线距地面应不小于 200mm，距墙面不小于 10mm，支持件间的水平直线距离一般为 1m，垂直部分为 1.5m，转弯部分为 0.5m；</w:t>
      </w:r>
    </w:p>
    <w:p>
      <w:pPr>
        <w:pStyle w:val="9"/>
        <w:numPr>
          <w:ilvl w:val="1"/>
          <w:numId w:val="75"/>
        </w:numPr>
        <w:rPr>
          <w:color w:val="auto"/>
          <w:highlight w:val="none"/>
        </w:rPr>
      </w:pPr>
      <w:r>
        <w:rPr>
          <w:color w:val="auto"/>
          <w:highlight w:val="none"/>
        </w:rPr>
        <w:t>接地干线敷设应平直，水平度及垂直度允许偏差 2/1000，但全长避免超过</w:t>
      </w:r>
    </w:p>
    <w:p>
      <w:pPr>
        <w:pStyle w:val="9"/>
        <w:numPr>
          <w:ilvl w:val="1"/>
          <w:numId w:val="75"/>
        </w:numPr>
        <w:rPr>
          <w:color w:val="auto"/>
          <w:highlight w:val="none"/>
        </w:rPr>
      </w:pPr>
      <w:r>
        <w:rPr>
          <w:color w:val="auto"/>
          <w:highlight w:val="none"/>
        </w:rPr>
        <w:t>10m；转角处接地干线弯曲半径避免小于扁钢宽度的２倍；</w:t>
      </w:r>
    </w:p>
    <w:p>
      <w:pPr>
        <w:pStyle w:val="9"/>
        <w:numPr>
          <w:ilvl w:val="1"/>
          <w:numId w:val="75"/>
        </w:numPr>
        <w:rPr>
          <w:color w:val="auto"/>
          <w:highlight w:val="none"/>
        </w:rPr>
      </w:pPr>
      <w:r>
        <w:rPr>
          <w:color w:val="auto"/>
          <w:highlight w:val="none"/>
        </w:rPr>
        <w:t>明敷设的接地线应表面刷黑漆，油漆应均匀无遗漏，但接地卡子及接地端子等处避免刷油。如因建筑物设计刷其他颜色，则应在连接处及分支处刷以各宽为 150mm 的两条黑带，其间距 150mm；</w:t>
      </w:r>
    </w:p>
    <w:p>
      <w:pPr>
        <w:pStyle w:val="9"/>
        <w:numPr>
          <w:ilvl w:val="1"/>
          <w:numId w:val="75"/>
        </w:numPr>
        <w:rPr>
          <w:color w:val="auto"/>
          <w:highlight w:val="none"/>
        </w:rPr>
      </w:pPr>
      <w:r>
        <w:rPr>
          <w:color w:val="auto"/>
          <w:highlight w:val="none"/>
        </w:rPr>
        <w:t>穿墙时，应套管保护，跨越伸缩缝，应做偎管补偿；</w:t>
      </w:r>
    </w:p>
    <w:p>
      <w:pPr>
        <w:pStyle w:val="9"/>
        <w:numPr>
          <w:ilvl w:val="1"/>
          <w:numId w:val="75"/>
        </w:numPr>
        <w:rPr>
          <w:color w:val="auto"/>
          <w:highlight w:val="none"/>
        </w:rPr>
      </w:pPr>
      <w:r>
        <w:rPr>
          <w:color w:val="auto"/>
          <w:highlight w:val="none"/>
        </w:rPr>
        <w:t>接地线引向建筑物人口处，应标以黑色接地标志。</w:t>
      </w:r>
    </w:p>
    <w:p>
      <w:pPr>
        <w:pStyle w:val="8"/>
        <w:numPr>
          <w:ilvl w:val="0"/>
          <w:numId w:val="107"/>
        </w:numPr>
        <w:rPr>
          <w:color w:val="auto"/>
          <w:highlight w:val="none"/>
        </w:rPr>
      </w:pPr>
      <w:r>
        <w:rPr>
          <w:color w:val="auto"/>
          <w:highlight w:val="none"/>
        </w:rPr>
        <w:t>引下线安装</w:t>
      </w:r>
    </w:p>
    <w:p>
      <w:pPr>
        <w:pStyle w:val="9"/>
        <w:numPr>
          <w:ilvl w:val="1"/>
          <w:numId w:val="141"/>
        </w:numPr>
        <w:rPr>
          <w:color w:val="auto"/>
          <w:highlight w:val="none"/>
        </w:rPr>
      </w:pPr>
      <w:r>
        <w:rPr>
          <w:color w:val="auto"/>
          <w:highlight w:val="none"/>
        </w:rPr>
        <w:t>当利用建筑物主筋做引下线时，主筋截面积避免小于 90mm2，每条引下线避免少于２根主筋。</w:t>
      </w:r>
    </w:p>
    <w:p>
      <w:pPr>
        <w:pStyle w:val="9"/>
        <w:numPr>
          <w:ilvl w:val="1"/>
          <w:numId w:val="75"/>
        </w:numPr>
        <w:rPr>
          <w:color w:val="auto"/>
          <w:highlight w:val="none"/>
        </w:rPr>
      </w:pPr>
      <w:r>
        <w:rPr>
          <w:color w:val="auto"/>
          <w:highlight w:val="none"/>
        </w:rPr>
        <w:t>主筋搭接处接接地线的要求焊接，当主筋采用压力埋弧焊、对焊、冷挤压时其接头处可不跨接。</w:t>
      </w:r>
    </w:p>
    <w:p>
      <w:pPr>
        <w:pStyle w:val="9"/>
        <w:numPr>
          <w:ilvl w:val="1"/>
          <w:numId w:val="75"/>
        </w:numPr>
        <w:rPr>
          <w:color w:val="auto"/>
          <w:highlight w:val="none"/>
        </w:rPr>
      </w:pPr>
      <w:r>
        <w:rPr>
          <w:color w:val="auto"/>
          <w:highlight w:val="none"/>
        </w:rPr>
        <w:t>引下线扁钢避免小于 25x4mm，圆钢直径避免小于 12mm。</w:t>
      </w:r>
    </w:p>
    <w:p>
      <w:pPr>
        <w:pStyle w:val="9"/>
        <w:numPr>
          <w:ilvl w:val="1"/>
          <w:numId w:val="75"/>
        </w:numPr>
        <w:rPr>
          <w:color w:val="auto"/>
          <w:highlight w:val="none"/>
        </w:rPr>
      </w:pPr>
      <w:r>
        <w:rPr>
          <w:color w:val="auto"/>
          <w:highlight w:val="none"/>
        </w:rPr>
        <w:t>现浇混凝土墙内暗敷引下线时不做防腐处理，焊接应满足规范要求。</w:t>
      </w:r>
    </w:p>
    <w:p>
      <w:pPr>
        <w:pStyle w:val="9"/>
        <w:numPr>
          <w:ilvl w:val="1"/>
          <w:numId w:val="75"/>
        </w:numPr>
        <w:rPr>
          <w:color w:val="auto"/>
          <w:highlight w:val="none"/>
        </w:rPr>
      </w:pPr>
      <w:r>
        <w:rPr>
          <w:color w:val="auto"/>
          <w:highlight w:val="none"/>
        </w:rPr>
        <w:t>明装引下线应躲开建筑物的人口和行人较易接触到的地点，以免发生危险。</w:t>
      </w:r>
    </w:p>
    <w:p>
      <w:pPr>
        <w:pStyle w:val="9"/>
        <w:numPr>
          <w:ilvl w:val="1"/>
          <w:numId w:val="75"/>
        </w:numPr>
        <w:rPr>
          <w:color w:val="auto"/>
          <w:highlight w:val="none"/>
        </w:rPr>
      </w:pPr>
      <w:r>
        <w:rPr>
          <w:color w:val="auto"/>
          <w:highlight w:val="none"/>
        </w:rPr>
        <w:t>每栋建筑物至少有２根引下线（投影小于 50m2 的建筑物例外），防雷引下线最好为对称位置，间距不应大于 20m，当大于 20m 时应在中间多引一根引下线。</w:t>
      </w:r>
    </w:p>
    <w:p>
      <w:pPr>
        <w:pStyle w:val="9"/>
        <w:numPr>
          <w:ilvl w:val="1"/>
          <w:numId w:val="75"/>
        </w:numPr>
        <w:rPr>
          <w:color w:val="auto"/>
          <w:highlight w:val="none"/>
        </w:rPr>
      </w:pPr>
      <w:r>
        <w:rPr>
          <w:color w:val="auto"/>
          <w:highlight w:val="none"/>
        </w:rPr>
        <w:t>柱内主筋应用不小于Φ12 镀锌圆钢与屋顶避雷网焊接。</w:t>
      </w:r>
    </w:p>
    <w:p>
      <w:pPr>
        <w:pStyle w:val="9"/>
        <w:numPr>
          <w:ilvl w:val="1"/>
          <w:numId w:val="75"/>
        </w:numPr>
        <w:rPr>
          <w:color w:val="auto"/>
          <w:highlight w:val="none"/>
        </w:rPr>
      </w:pPr>
      <w:r>
        <w:rPr>
          <w:color w:val="auto"/>
          <w:highlight w:val="none"/>
        </w:rPr>
        <w:t>引下线的垂直允许偏差为 2/1000。引下线必须调直敷设，弯曲处不应小于 90°，并避免弯成死角。引下线除设计要求，镀锌扁钢避免小于</w:t>
      </w:r>
    </w:p>
    <w:p>
      <w:pPr>
        <w:pStyle w:val="9"/>
        <w:numPr>
          <w:ilvl w:val="1"/>
          <w:numId w:val="75"/>
        </w:numPr>
        <w:rPr>
          <w:color w:val="auto"/>
          <w:highlight w:val="none"/>
        </w:rPr>
      </w:pPr>
      <w:r>
        <w:rPr>
          <w:color w:val="auto"/>
          <w:highlight w:val="none"/>
        </w:rPr>
        <w:t>48mm2，镀锌圆钢直径不小于 12mm。</w:t>
      </w:r>
    </w:p>
    <w:p>
      <w:pPr>
        <w:pStyle w:val="9"/>
        <w:numPr>
          <w:ilvl w:val="1"/>
          <w:numId w:val="75"/>
        </w:numPr>
        <w:rPr>
          <w:color w:val="auto"/>
          <w:highlight w:val="none"/>
        </w:rPr>
      </w:pPr>
      <w:r>
        <w:rPr>
          <w:color w:val="auto"/>
          <w:highlight w:val="none"/>
        </w:rPr>
        <w:t>将接地线地面以上 2m 段套上保护管，保护管避免用金属管，用镀锌角钢拼装，以免形成涡流，阻碍雷电流顺利通过。</w:t>
      </w:r>
    </w:p>
    <w:p>
      <w:pPr>
        <w:pStyle w:val="9"/>
        <w:numPr>
          <w:ilvl w:val="1"/>
          <w:numId w:val="75"/>
        </w:numPr>
        <w:rPr>
          <w:color w:val="auto"/>
          <w:highlight w:val="none"/>
        </w:rPr>
      </w:pPr>
      <w:r>
        <w:rPr>
          <w:color w:val="auto"/>
          <w:highlight w:val="none"/>
        </w:rPr>
        <w:t>防雷引下线，接地体需要装设断接卡子或测试的部位、数量按图施工，无要求时按以下规定设置：建筑物、构筑物只有一组接地体时，可不做断接卡子，但要设置测试点；建筑物、构筑物采用多组接地体时，每组接地体均要设置断接卡子；断接卡子或接地点设置的部位应不影响建筑物外观， 应便于测试，暗设时距地高度为 0.5m，明设时距地高度为 1.8m。</w:t>
      </w:r>
    </w:p>
    <w:p>
      <w:pPr>
        <w:pStyle w:val="8"/>
        <w:numPr>
          <w:ilvl w:val="0"/>
          <w:numId w:val="107"/>
        </w:numPr>
        <w:rPr>
          <w:color w:val="auto"/>
          <w:highlight w:val="none"/>
        </w:rPr>
      </w:pPr>
      <w:r>
        <w:rPr>
          <w:color w:val="auto"/>
          <w:highlight w:val="none"/>
        </w:rPr>
        <w:t>避雷网安装</w:t>
      </w:r>
    </w:p>
    <w:p>
      <w:pPr>
        <w:pStyle w:val="9"/>
        <w:numPr>
          <w:ilvl w:val="1"/>
          <w:numId w:val="142"/>
        </w:numPr>
        <w:rPr>
          <w:color w:val="auto"/>
          <w:highlight w:val="none"/>
        </w:rPr>
      </w:pPr>
      <w:r>
        <w:rPr>
          <w:color w:val="auto"/>
          <w:highlight w:val="none"/>
        </w:rPr>
        <w:t>避雷网应平直牢固，不应有变形扭曲现象，距离建筑物表面距离应一致，平直度每 2m 检查允许偏差 2/1000，但全长避免超过 8mm；</w:t>
      </w:r>
    </w:p>
    <w:p>
      <w:pPr>
        <w:pStyle w:val="9"/>
        <w:numPr>
          <w:ilvl w:val="1"/>
          <w:numId w:val="75"/>
        </w:numPr>
        <w:rPr>
          <w:color w:val="auto"/>
          <w:highlight w:val="none"/>
        </w:rPr>
      </w:pPr>
      <w:r>
        <w:rPr>
          <w:color w:val="auto"/>
          <w:highlight w:val="none"/>
        </w:rPr>
        <w:t>避雷线弯曲处避免小于 90°，弯曲半径避免小于圆钢直径 10 倍；</w:t>
      </w:r>
    </w:p>
    <w:p>
      <w:pPr>
        <w:pStyle w:val="9"/>
        <w:numPr>
          <w:ilvl w:val="1"/>
          <w:numId w:val="75"/>
        </w:numPr>
        <w:rPr>
          <w:color w:val="auto"/>
          <w:highlight w:val="none"/>
        </w:rPr>
      </w:pPr>
      <w:r>
        <w:rPr>
          <w:color w:val="auto"/>
          <w:highlight w:val="none"/>
        </w:rPr>
        <w:t>主筋搭接处接接地线的要求焊接，当主筋采用压力埋弧焊、对焊、冷挤压时其接头处可不跨接；</w:t>
      </w:r>
    </w:p>
    <w:p>
      <w:pPr>
        <w:pStyle w:val="9"/>
        <w:numPr>
          <w:ilvl w:val="1"/>
          <w:numId w:val="75"/>
        </w:numPr>
        <w:rPr>
          <w:color w:val="auto"/>
          <w:highlight w:val="none"/>
        </w:rPr>
      </w:pPr>
      <w:r>
        <w:rPr>
          <w:color w:val="auto"/>
          <w:highlight w:val="none"/>
        </w:rPr>
        <w:t>现浇混凝土墙内暗敷引下线时不做防腐处理，焊接应满足规范要求；</w:t>
      </w:r>
    </w:p>
    <w:p>
      <w:pPr>
        <w:pStyle w:val="9"/>
        <w:numPr>
          <w:ilvl w:val="1"/>
          <w:numId w:val="75"/>
        </w:numPr>
        <w:rPr>
          <w:color w:val="auto"/>
          <w:highlight w:val="none"/>
        </w:rPr>
      </w:pPr>
      <w:r>
        <w:rPr>
          <w:color w:val="auto"/>
          <w:highlight w:val="none"/>
        </w:rPr>
        <w:t>柱内主筋应用不小于Φ12 镀锌圆钢与屋顶避雷网焊接。</w:t>
      </w:r>
    </w:p>
    <w:p>
      <w:pPr>
        <w:pStyle w:val="8"/>
        <w:numPr>
          <w:ilvl w:val="0"/>
          <w:numId w:val="107"/>
        </w:numPr>
        <w:rPr>
          <w:color w:val="auto"/>
          <w:highlight w:val="none"/>
        </w:rPr>
      </w:pPr>
      <w:r>
        <w:rPr>
          <w:color w:val="auto"/>
          <w:highlight w:val="none"/>
        </w:rPr>
        <w:t>接闪器</w:t>
      </w:r>
    </w:p>
    <w:p>
      <w:pPr>
        <w:pStyle w:val="9"/>
        <w:numPr>
          <w:ilvl w:val="1"/>
          <w:numId w:val="143"/>
        </w:numPr>
        <w:rPr>
          <w:color w:val="auto"/>
          <w:highlight w:val="none"/>
        </w:rPr>
      </w:pPr>
      <w:r>
        <w:rPr>
          <w:color w:val="auto"/>
          <w:highlight w:val="none"/>
        </w:rPr>
        <w:t>避雷针、避雷带等必须与顶部外露的其它金属物体连成一个整体的电气通路，且与避雷引下线连接可靠，严禁串联连接，支持件安装位置正确。采用螺栓固定的应采取双螺帽等防松措施，利用结构圈梁里的主筋或腰筋与预先准备好的约 20cm 的连接钢筋头焊接成一体。</w:t>
      </w:r>
    </w:p>
    <w:p>
      <w:pPr>
        <w:pStyle w:val="9"/>
        <w:numPr>
          <w:ilvl w:val="1"/>
          <w:numId w:val="75"/>
        </w:numPr>
        <w:rPr>
          <w:color w:val="auto"/>
          <w:highlight w:val="none"/>
        </w:rPr>
      </w:pPr>
      <w:r>
        <w:rPr>
          <w:color w:val="auto"/>
          <w:highlight w:val="none"/>
        </w:rPr>
        <w:t>避雷网和避雷带宜采用镀锌圆钢或扁钢，应优先选用圆钢，其直径不应小于 10mm，扁钢宽度不应小 12mm，厚度不应小于 4mm。</w:t>
      </w:r>
    </w:p>
    <w:p>
      <w:pPr>
        <w:pStyle w:val="9"/>
        <w:numPr>
          <w:ilvl w:val="1"/>
          <w:numId w:val="75"/>
        </w:numPr>
        <w:rPr>
          <w:color w:val="auto"/>
          <w:highlight w:val="none"/>
        </w:rPr>
      </w:pPr>
      <w:r>
        <w:rPr>
          <w:color w:val="auto"/>
          <w:highlight w:val="none"/>
        </w:rPr>
        <w:t>接闪器转角、建筑物变形缝处应做补偿机制。</w:t>
      </w:r>
    </w:p>
    <w:p>
      <w:pPr>
        <w:pStyle w:val="7"/>
        <w:rPr>
          <w:color w:val="auto"/>
          <w:highlight w:val="none"/>
        </w:rPr>
      </w:pPr>
      <w:r>
        <w:rPr>
          <w:color w:val="auto"/>
          <w:highlight w:val="none"/>
        </w:rPr>
        <w:t>电缆桥架安装</w:t>
      </w:r>
    </w:p>
    <w:p>
      <w:pPr>
        <w:pStyle w:val="8"/>
        <w:numPr>
          <w:ilvl w:val="0"/>
          <w:numId w:val="144"/>
        </w:numPr>
        <w:rPr>
          <w:color w:val="auto"/>
          <w:highlight w:val="none"/>
        </w:rPr>
      </w:pPr>
      <w:r>
        <w:rPr>
          <w:color w:val="auto"/>
          <w:highlight w:val="none"/>
        </w:rPr>
        <w:t>材料要求</w:t>
      </w:r>
    </w:p>
    <w:p>
      <w:pPr>
        <w:pStyle w:val="9"/>
        <w:numPr>
          <w:ilvl w:val="1"/>
          <w:numId w:val="145"/>
        </w:numPr>
        <w:rPr>
          <w:color w:val="auto"/>
          <w:highlight w:val="none"/>
        </w:rPr>
      </w:pPr>
      <w:r>
        <w:rPr>
          <w:color w:val="auto"/>
          <w:highlight w:val="none"/>
        </w:rPr>
        <w:t>金属线槽分镀锌和不镀锌制品，其规格、型号应满足设计规范要求。线槽内外应光滑平整，无棱刺，不应有扭曲、翘边等变形现象。有产品质量认证和检测报告。</w:t>
      </w:r>
    </w:p>
    <w:p>
      <w:pPr>
        <w:pStyle w:val="9"/>
        <w:numPr>
          <w:ilvl w:val="1"/>
          <w:numId w:val="75"/>
        </w:numPr>
        <w:rPr>
          <w:color w:val="auto"/>
          <w:highlight w:val="none"/>
        </w:rPr>
      </w:pPr>
      <w:r>
        <w:rPr>
          <w:color w:val="auto"/>
          <w:highlight w:val="none"/>
        </w:rPr>
        <w:t>对镀锌制品，要采用配套的镀锌配件，镀锌层表面应光滑均匀、致密、不起皮、无气泡、无局部未镀和局部锈蚀现象和划伤等缺陷，避免有影响安装的锌瘤。</w:t>
      </w:r>
    </w:p>
    <w:p>
      <w:pPr>
        <w:pStyle w:val="9"/>
        <w:numPr>
          <w:ilvl w:val="1"/>
          <w:numId w:val="75"/>
        </w:numPr>
        <w:rPr>
          <w:color w:val="auto"/>
          <w:highlight w:val="none"/>
        </w:rPr>
      </w:pPr>
      <w:r>
        <w:rPr>
          <w:color w:val="auto"/>
          <w:highlight w:val="none"/>
        </w:rPr>
        <w:t>对非镀锌制品，漆层应坚固，无锈蚀现象，在每段上应焊接接地螺丝。</w:t>
      </w:r>
    </w:p>
    <w:p>
      <w:pPr>
        <w:pStyle w:val="9"/>
        <w:numPr>
          <w:ilvl w:val="1"/>
          <w:numId w:val="75"/>
        </w:numPr>
        <w:rPr>
          <w:color w:val="auto"/>
          <w:highlight w:val="none"/>
        </w:rPr>
      </w:pPr>
      <w:r>
        <w:rPr>
          <w:color w:val="auto"/>
          <w:highlight w:val="none"/>
        </w:rPr>
        <w:t>支、吊架的结构应满足刚度、强度及稳定性的要求。</w:t>
      </w:r>
    </w:p>
    <w:p>
      <w:pPr>
        <w:pStyle w:val="9"/>
        <w:numPr>
          <w:ilvl w:val="1"/>
          <w:numId w:val="75"/>
        </w:numPr>
        <w:rPr>
          <w:color w:val="auto"/>
          <w:highlight w:val="none"/>
        </w:rPr>
      </w:pPr>
      <w:r>
        <w:rPr>
          <w:color w:val="auto"/>
          <w:highlight w:val="none"/>
        </w:rPr>
        <w:t>焊缝的机械性能避免低于本体材料的机械性能，焊缝表面均匀，避免有漏焊、裂纹、夹渣、烧穿等缺陷。</w:t>
      </w:r>
    </w:p>
    <w:p>
      <w:pPr>
        <w:pStyle w:val="9"/>
        <w:numPr>
          <w:ilvl w:val="1"/>
          <w:numId w:val="75"/>
        </w:numPr>
        <w:rPr>
          <w:color w:val="auto"/>
          <w:highlight w:val="none"/>
        </w:rPr>
      </w:pPr>
      <w:r>
        <w:rPr>
          <w:color w:val="auto"/>
          <w:highlight w:val="none"/>
        </w:rPr>
        <w:t>热浸锌桥架在现场切割后，桥架切口需在现场做热浸锌处理后方可安装。</w:t>
      </w:r>
    </w:p>
    <w:p>
      <w:pPr>
        <w:pStyle w:val="8"/>
        <w:numPr>
          <w:ilvl w:val="0"/>
          <w:numId w:val="107"/>
        </w:numPr>
        <w:rPr>
          <w:color w:val="auto"/>
          <w:highlight w:val="none"/>
        </w:rPr>
      </w:pPr>
      <w:r>
        <w:rPr>
          <w:color w:val="auto"/>
          <w:highlight w:val="none"/>
        </w:rPr>
        <w:t>桥架敷设</w:t>
      </w:r>
    </w:p>
    <w:p>
      <w:pPr>
        <w:pStyle w:val="9"/>
        <w:numPr>
          <w:ilvl w:val="1"/>
          <w:numId w:val="146"/>
        </w:numPr>
        <w:rPr>
          <w:color w:val="auto"/>
          <w:highlight w:val="none"/>
        </w:rPr>
      </w:pPr>
      <w:r>
        <w:rPr>
          <w:color w:val="auto"/>
          <w:highlight w:val="none"/>
        </w:rPr>
        <w:t>依据配电箱、柜、电气器具，空间管道等确定敷设的位置走向，弹线定位， 并确定支吊架的固定位置；在竖井、机房内要考虑垂直干线与分支干线的连接方式。</w:t>
      </w:r>
    </w:p>
    <w:p>
      <w:pPr>
        <w:pStyle w:val="9"/>
        <w:numPr>
          <w:ilvl w:val="1"/>
          <w:numId w:val="75"/>
        </w:numPr>
        <w:rPr>
          <w:color w:val="auto"/>
          <w:highlight w:val="none"/>
        </w:rPr>
      </w:pPr>
      <w:r>
        <w:rPr>
          <w:color w:val="auto"/>
          <w:highlight w:val="none"/>
        </w:rPr>
        <w:t>应保证桥架安装横平竖直，在有坡度的建筑物上应保证与建筑物表面相同的坡度。</w:t>
      </w:r>
    </w:p>
    <w:p>
      <w:pPr>
        <w:pStyle w:val="9"/>
        <w:numPr>
          <w:ilvl w:val="1"/>
          <w:numId w:val="75"/>
        </w:numPr>
        <w:rPr>
          <w:color w:val="auto"/>
          <w:highlight w:val="none"/>
        </w:rPr>
      </w:pPr>
      <w:r>
        <w:rPr>
          <w:color w:val="auto"/>
          <w:highlight w:val="none"/>
        </w:rPr>
        <w:t>桥架水平敷设时距地高度不宜低于 2.5m，垂直敷设时不低于 1.8m，低于上述高度时应加金属盖板保护，但敷设在电气专用房间（配电室、电气竖井、设备层等）内除外。</w:t>
      </w:r>
    </w:p>
    <w:p>
      <w:pPr>
        <w:pStyle w:val="9"/>
        <w:numPr>
          <w:ilvl w:val="1"/>
          <w:numId w:val="75"/>
        </w:numPr>
        <w:rPr>
          <w:color w:val="auto"/>
          <w:highlight w:val="none"/>
        </w:rPr>
      </w:pPr>
      <w:r>
        <w:rPr>
          <w:color w:val="auto"/>
          <w:highlight w:val="none"/>
        </w:rPr>
        <w:t>电缆托盘、桥架多层敷设时其层间距离为：控制电缆间不应小于 0.2m，电气电缆间不应小于 0.3m，弱电电缆与电气电缆间不小于 0.5m，如有屏蔽盖板可减少到 0.3m，桥架上部距离顶棚或其他障碍物不应小于 0.3m。</w:t>
      </w:r>
    </w:p>
    <w:p>
      <w:pPr>
        <w:pStyle w:val="9"/>
        <w:numPr>
          <w:ilvl w:val="1"/>
          <w:numId w:val="75"/>
        </w:numPr>
        <w:rPr>
          <w:color w:val="auto"/>
          <w:highlight w:val="none"/>
        </w:rPr>
      </w:pPr>
      <w:r>
        <w:rPr>
          <w:color w:val="auto"/>
          <w:highlight w:val="none"/>
        </w:rPr>
        <w:t>线槽和金属管道在同样标高安装，线槽要敷设于管道上方绕行，其做法要注意：线槽转角要平滑；转角处吊架要符合要求；和管道间距正确。</w:t>
      </w:r>
    </w:p>
    <w:p>
      <w:pPr>
        <w:pStyle w:val="9"/>
        <w:numPr>
          <w:ilvl w:val="1"/>
          <w:numId w:val="75"/>
        </w:numPr>
        <w:rPr>
          <w:color w:val="auto"/>
          <w:highlight w:val="none"/>
        </w:rPr>
      </w:pPr>
      <w:r>
        <w:rPr>
          <w:color w:val="auto"/>
          <w:highlight w:val="none"/>
        </w:rPr>
        <w:t>尽量使用厂家配套的支吊架，在需要自制的场所，支吊架要统一预制，规格尺寸控制统一，焊接牢固，切口无卷边、毛刺，刷防锈漆；支吊架的规格不应小于扁铁 30mmx30mm，支吊架强度应能达到桥架的承载能力要求。</w:t>
      </w:r>
    </w:p>
    <w:p>
      <w:pPr>
        <w:pStyle w:val="9"/>
        <w:numPr>
          <w:ilvl w:val="1"/>
          <w:numId w:val="75"/>
        </w:numPr>
        <w:rPr>
          <w:color w:val="auto"/>
          <w:highlight w:val="none"/>
        </w:rPr>
      </w:pPr>
      <w:r>
        <w:rPr>
          <w:color w:val="auto"/>
          <w:highlight w:val="none"/>
        </w:rPr>
        <w:t>支吊架预埋铁，自制加工尺寸应大于 120mmx660mm，其锚固圆钢直径不应小于 5mm，配合土建结构施工，拆模后，预埋铁的平面应明露或吃进 2~3mm， 再用肩钢或角钢焊接固定。</w:t>
      </w:r>
    </w:p>
    <w:p>
      <w:pPr>
        <w:pStyle w:val="9"/>
        <w:numPr>
          <w:ilvl w:val="1"/>
          <w:numId w:val="75"/>
        </w:numPr>
        <w:rPr>
          <w:color w:val="auto"/>
          <w:highlight w:val="none"/>
        </w:rPr>
      </w:pPr>
      <w:r>
        <w:rPr>
          <w:color w:val="auto"/>
          <w:highlight w:val="none"/>
        </w:rPr>
        <w:t>钢结构上可将支吊架直接焊接在钢结构固定位置处，也可用万能吊具进行安装。</w:t>
      </w:r>
    </w:p>
    <w:p>
      <w:pPr>
        <w:pStyle w:val="9"/>
        <w:numPr>
          <w:ilvl w:val="1"/>
          <w:numId w:val="75"/>
        </w:numPr>
        <w:rPr>
          <w:color w:val="auto"/>
          <w:highlight w:val="none"/>
        </w:rPr>
      </w:pPr>
      <w:r>
        <w:rPr>
          <w:color w:val="auto"/>
          <w:highlight w:val="none"/>
        </w:rPr>
        <w:t>用膨胀螺栓固定，应根据承载选择相应的螺栓及钻头，所选钻头应大于套管长度；适用于 CS 以上混凝土构件及实心砖墙上，不准在空心砖墙固定；打孔的深度应以将套管全部埋人后，表面平齐为宜；避免损伤螺栓的丝扣。</w:t>
      </w:r>
    </w:p>
    <w:p>
      <w:pPr>
        <w:pStyle w:val="9"/>
        <w:numPr>
          <w:ilvl w:val="1"/>
          <w:numId w:val="75"/>
        </w:numPr>
        <w:rPr>
          <w:color w:val="auto"/>
          <w:highlight w:val="none"/>
        </w:rPr>
      </w:pPr>
      <w:r>
        <w:rPr>
          <w:color w:val="auto"/>
          <w:highlight w:val="none"/>
        </w:rPr>
        <w:t>避免使用木楔子固定，桥架、线槽敷设完毕后应作好标识，并对于不同系统的桥架、线槽用不同颜色的油漆进行区分。</w:t>
      </w:r>
    </w:p>
    <w:p>
      <w:pPr>
        <w:pStyle w:val="9"/>
        <w:numPr>
          <w:ilvl w:val="1"/>
          <w:numId w:val="75"/>
        </w:numPr>
        <w:rPr>
          <w:color w:val="auto"/>
          <w:highlight w:val="none"/>
        </w:rPr>
      </w:pPr>
      <w:r>
        <w:rPr>
          <w:color w:val="auto"/>
          <w:highlight w:val="none"/>
        </w:rPr>
        <w:t>桥架水平敷设时应按荷载曲线选取最佳跨距及进行支撑，跨距一般为</w:t>
      </w:r>
    </w:p>
    <w:p>
      <w:pPr>
        <w:pStyle w:val="9"/>
        <w:numPr>
          <w:ilvl w:val="1"/>
          <w:numId w:val="75"/>
        </w:numPr>
        <w:rPr>
          <w:color w:val="auto"/>
          <w:highlight w:val="none"/>
        </w:rPr>
      </w:pPr>
      <w:r>
        <w:rPr>
          <w:color w:val="auto"/>
          <w:highlight w:val="none"/>
        </w:rPr>
        <w:t>1.5~3m，垂直敷设时，固定点间距不大于 2m，支架与支架应安装牢固，朝向应一致，间距均匀，相同场所的支吊架位置应一致。</w:t>
      </w:r>
    </w:p>
    <w:p>
      <w:pPr>
        <w:pStyle w:val="9"/>
        <w:numPr>
          <w:ilvl w:val="1"/>
          <w:numId w:val="75"/>
        </w:numPr>
        <w:rPr>
          <w:color w:val="auto"/>
          <w:highlight w:val="none"/>
        </w:rPr>
      </w:pPr>
      <w:r>
        <w:rPr>
          <w:color w:val="auto"/>
          <w:highlight w:val="none"/>
        </w:rPr>
        <w:t>在进出接线盒、箱、柜、拐角、转弯和变形缝及钉子接头的三端 500mm 内设固定支持点。</w:t>
      </w:r>
    </w:p>
    <w:p>
      <w:pPr>
        <w:pStyle w:val="9"/>
        <w:numPr>
          <w:ilvl w:val="1"/>
          <w:numId w:val="75"/>
        </w:numPr>
        <w:rPr>
          <w:color w:val="auto"/>
          <w:highlight w:val="none"/>
        </w:rPr>
      </w:pPr>
      <w:r>
        <w:rPr>
          <w:color w:val="auto"/>
          <w:highlight w:val="none"/>
        </w:rPr>
        <w:t>在水平敷设时，支吊架应与桥架底面贴平没有缝隙，无悬空现象，以保证各支吊架均匀受力，至少每隔一个支架与桥架本体固定一次。</w:t>
      </w:r>
    </w:p>
    <w:p>
      <w:pPr>
        <w:pStyle w:val="9"/>
        <w:numPr>
          <w:ilvl w:val="1"/>
          <w:numId w:val="75"/>
        </w:numPr>
        <w:rPr>
          <w:color w:val="auto"/>
          <w:highlight w:val="none"/>
        </w:rPr>
      </w:pPr>
      <w:r>
        <w:rPr>
          <w:color w:val="auto"/>
          <w:highlight w:val="none"/>
        </w:rPr>
        <w:t>在非直线段的支吊架当半径不大于 300mm 时，应在距非直线段与直线段结合处 300~600mm 的直线段侧设置一个支吊架；当半径大于 300mm 时，除应按上则要求外，在非直线段中部还应增设一个支、吊架。</w:t>
      </w:r>
    </w:p>
    <w:p>
      <w:pPr>
        <w:pStyle w:val="9"/>
        <w:numPr>
          <w:ilvl w:val="1"/>
          <w:numId w:val="75"/>
        </w:numPr>
        <w:rPr>
          <w:color w:val="auto"/>
          <w:highlight w:val="none"/>
        </w:rPr>
      </w:pPr>
      <w:r>
        <w:rPr>
          <w:color w:val="auto"/>
          <w:highlight w:val="none"/>
        </w:rPr>
        <w:t>桥架的接口应平整，接缝处应紧密平直，槽板盖上后应平整，无翘角。</w:t>
      </w:r>
    </w:p>
    <w:p>
      <w:pPr>
        <w:pStyle w:val="9"/>
        <w:numPr>
          <w:ilvl w:val="1"/>
          <w:numId w:val="75"/>
        </w:numPr>
        <w:rPr>
          <w:color w:val="auto"/>
          <w:highlight w:val="none"/>
        </w:rPr>
      </w:pPr>
      <w:r>
        <w:rPr>
          <w:color w:val="auto"/>
          <w:highlight w:val="none"/>
        </w:rPr>
        <w:t>桥架进箱、盒、柜时，进线和出线口等处应采取抱角连接，并用螺丝紧固。</w:t>
      </w:r>
    </w:p>
    <w:p>
      <w:pPr>
        <w:pStyle w:val="9"/>
        <w:numPr>
          <w:ilvl w:val="1"/>
          <w:numId w:val="75"/>
        </w:numPr>
        <w:rPr>
          <w:color w:val="auto"/>
          <w:highlight w:val="none"/>
        </w:rPr>
      </w:pPr>
      <w:r>
        <w:rPr>
          <w:color w:val="auto"/>
          <w:highlight w:val="none"/>
        </w:rPr>
        <w:t>线槽连接应采用连接板，用垫圈、弹簧垫、螺母紧固，螺母必须在线槽外侧。</w:t>
      </w:r>
    </w:p>
    <w:p>
      <w:pPr>
        <w:pStyle w:val="9"/>
        <w:numPr>
          <w:ilvl w:val="1"/>
          <w:numId w:val="75"/>
        </w:numPr>
        <w:rPr>
          <w:color w:val="auto"/>
          <w:highlight w:val="none"/>
        </w:rPr>
      </w:pPr>
      <w:r>
        <w:rPr>
          <w:color w:val="auto"/>
          <w:highlight w:val="none"/>
        </w:rPr>
        <w:t>桥架在交叉、转弯、丁字连接时，应尽量使用厂家配套生产单通、二通、三通、四通或平面二通、平面三通等进行变通连接。</w:t>
      </w:r>
    </w:p>
    <w:p>
      <w:pPr>
        <w:pStyle w:val="9"/>
        <w:numPr>
          <w:ilvl w:val="1"/>
          <w:numId w:val="75"/>
        </w:numPr>
        <w:rPr>
          <w:color w:val="auto"/>
          <w:highlight w:val="none"/>
        </w:rPr>
      </w:pPr>
      <w:r>
        <w:rPr>
          <w:color w:val="auto"/>
          <w:highlight w:val="none"/>
        </w:rPr>
        <w:t>金属线槽吊架安装：间距均匀合理；吊杆顺直无内（外）八字；镀锌或经过防腐处理；吊杆长度一致。</w:t>
      </w:r>
    </w:p>
    <w:p>
      <w:pPr>
        <w:pStyle w:val="9"/>
        <w:numPr>
          <w:ilvl w:val="1"/>
          <w:numId w:val="75"/>
        </w:numPr>
        <w:rPr>
          <w:color w:val="auto"/>
          <w:highlight w:val="none"/>
        </w:rPr>
      </w:pPr>
      <w:r>
        <w:rPr>
          <w:color w:val="auto"/>
          <w:highlight w:val="none"/>
        </w:rPr>
        <w:t>如空间尺寸不允许，要自制弯通时要使用和桥架本体相同规格的材料；在拐角处要保留斜坡，以保护线缆；拼接的弯通、拐弯应保证连接平顺，空间布置合理；在采取焊接法连接时，要保证焊接面积，不能只是数点焊接，应保证整个焊口严密，焊完后，刷防锈漆和与桥架本体颜色一致的面漆；螺丝连接法只适于镀锌桥架，每段连接板间至少有两处螺丝做可靠连接。</w:t>
      </w:r>
    </w:p>
    <w:p>
      <w:pPr>
        <w:pStyle w:val="9"/>
        <w:numPr>
          <w:ilvl w:val="1"/>
          <w:numId w:val="75"/>
        </w:numPr>
        <w:rPr>
          <w:color w:val="auto"/>
          <w:highlight w:val="none"/>
        </w:rPr>
      </w:pPr>
      <w:r>
        <w:rPr>
          <w:color w:val="auto"/>
          <w:highlight w:val="none"/>
        </w:rPr>
        <w:t>从桥架上分支的线管不得用电气焊开孔，管子要套丝用锁母于桥架固定，在距开孔处 300mm 内管子应加一道支架固定。</w:t>
      </w:r>
    </w:p>
    <w:p>
      <w:pPr>
        <w:pStyle w:val="9"/>
        <w:numPr>
          <w:ilvl w:val="1"/>
          <w:numId w:val="75"/>
        </w:numPr>
        <w:rPr>
          <w:color w:val="auto"/>
          <w:highlight w:val="none"/>
        </w:rPr>
      </w:pPr>
      <w:r>
        <w:rPr>
          <w:color w:val="auto"/>
          <w:highlight w:val="none"/>
        </w:rPr>
        <w:t>桥架的连接处不得设置于过楼板、墙壁处，不得设置于支吊架支撑处，必须离支吊架 100mm 以上。</w:t>
      </w:r>
    </w:p>
    <w:p>
      <w:pPr>
        <w:pStyle w:val="9"/>
        <w:numPr>
          <w:ilvl w:val="1"/>
          <w:numId w:val="75"/>
        </w:numPr>
        <w:rPr>
          <w:color w:val="auto"/>
          <w:highlight w:val="none"/>
        </w:rPr>
      </w:pPr>
      <w:r>
        <w:rPr>
          <w:color w:val="auto"/>
          <w:highlight w:val="none"/>
        </w:rPr>
        <w:t>桥架经过建筑物的变形缝 师缩缝、沉降缝）时，线槽本身应断开，断开距离以 100mm 为宜，槽内用连接板搭接，不需固定，保护地线和槽内导线应留有补偿余量，桥架直线段每段 50mm 应留伸缩缝 20~30mm。</w:t>
      </w:r>
    </w:p>
    <w:p>
      <w:pPr>
        <w:pStyle w:val="8"/>
        <w:numPr>
          <w:ilvl w:val="0"/>
          <w:numId w:val="107"/>
        </w:numPr>
        <w:rPr>
          <w:color w:val="auto"/>
          <w:highlight w:val="none"/>
        </w:rPr>
      </w:pPr>
      <w:r>
        <w:rPr>
          <w:color w:val="auto"/>
          <w:highlight w:val="none"/>
        </w:rPr>
        <w:t>桥架的接地</w:t>
      </w:r>
    </w:p>
    <w:p>
      <w:pPr>
        <w:pStyle w:val="9"/>
        <w:numPr>
          <w:ilvl w:val="1"/>
          <w:numId w:val="147"/>
        </w:numPr>
        <w:rPr>
          <w:color w:val="auto"/>
          <w:highlight w:val="none"/>
        </w:rPr>
      </w:pPr>
      <w:r>
        <w:rPr>
          <w:color w:val="auto"/>
          <w:highlight w:val="none"/>
        </w:rPr>
        <w:t>当利用桥架本体系统构成回路时，连接接头处的电阻不得大于 0.00033Ω。</w:t>
      </w:r>
    </w:p>
    <w:p>
      <w:pPr>
        <w:pStyle w:val="9"/>
        <w:numPr>
          <w:ilvl w:val="1"/>
          <w:numId w:val="75"/>
        </w:numPr>
        <w:rPr>
          <w:color w:val="auto"/>
          <w:highlight w:val="none"/>
        </w:rPr>
      </w:pPr>
      <w:r>
        <w:rPr>
          <w:color w:val="auto"/>
          <w:highlight w:val="none"/>
        </w:rPr>
        <w:t>对镀锌、铝制的桥架，本体的连接片连接可作为接地连接，但必须保证连接牢固，配套的螺丝、平垫、弹簧垫齐全，连接处无锈蚀现象和砂浆、渣土等污染。</w:t>
      </w:r>
    </w:p>
    <w:p>
      <w:pPr>
        <w:pStyle w:val="9"/>
        <w:numPr>
          <w:ilvl w:val="1"/>
          <w:numId w:val="75"/>
        </w:numPr>
        <w:rPr>
          <w:color w:val="auto"/>
          <w:highlight w:val="none"/>
        </w:rPr>
      </w:pPr>
      <w:r>
        <w:rPr>
          <w:color w:val="auto"/>
          <w:highlight w:val="none"/>
        </w:rPr>
        <w:t>对非镀锌制品，除本体连接外，应在其接地螺丝（螺丝必须在加工时就与桥架焊接成一体）上用编织软铜线或铜线连接，导线截面积选择应符合，此连接必须在每一段都连接。尤其在拼接处的非直线段Ｌ更必须做到位，接地线宜做在桥架的同一侧，以便于检查，避免遗漏。</w:t>
      </w:r>
    </w:p>
    <w:p>
      <w:pPr>
        <w:pStyle w:val="9"/>
        <w:numPr>
          <w:ilvl w:val="1"/>
          <w:numId w:val="75"/>
        </w:numPr>
        <w:rPr>
          <w:color w:val="auto"/>
          <w:highlight w:val="none"/>
        </w:rPr>
      </w:pPr>
      <w:r>
        <w:rPr>
          <w:color w:val="auto"/>
          <w:highlight w:val="none"/>
        </w:rPr>
        <w:t>沿桥架全长另敷设接地干线时，每段（包括非直线段）托盘、梯架应至少有一点与接地干线可靠连接。</w:t>
      </w:r>
    </w:p>
    <w:p>
      <w:pPr>
        <w:pStyle w:val="9"/>
        <w:numPr>
          <w:ilvl w:val="1"/>
          <w:numId w:val="75"/>
        </w:numPr>
        <w:rPr>
          <w:color w:val="auto"/>
          <w:highlight w:val="none"/>
        </w:rPr>
      </w:pPr>
      <w:r>
        <w:rPr>
          <w:color w:val="auto"/>
          <w:highlight w:val="none"/>
        </w:rPr>
        <w:t>桥架应与配电箱、柜，分支管线、用电气具、设备做好接地，以保证用电系统接地在此环节中的可靠性、连续性。</w:t>
      </w:r>
    </w:p>
    <w:p>
      <w:pPr>
        <w:pStyle w:val="9"/>
        <w:numPr>
          <w:ilvl w:val="1"/>
          <w:numId w:val="75"/>
        </w:numPr>
        <w:rPr>
          <w:color w:val="auto"/>
          <w:highlight w:val="none"/>
        </w:rPr>
      </w:pPr>
      <w:r>
        <w:rPr>
          <w:color w:val="auto"/>
          <w:highlight w:val="none"/>
        </w:rPr>
        <w:t>桥架过墙壁、楼板处、不应将空洞抹死，而应作如下处理：土建收口方正， 在桥架四周留一定空间，往空间内填充防火枕或防火堵料，在墙壁两侧，各用加工方正、尺寸合适一致、油漆均匀的盖板封盖住。</w:t>
      </w:r>
    </w:p>
    <w:p>
      <w:pPr>
        <w:pStyle w:val="7"/>
        <w:rPr>
          <w:color w:val="auto"/>
          <w:highlight w:val="none"/>
        </w:rPr>
      </w:pPr>
      <w:r>
        <w:rPr>
          <w:color w:val="auto"/>
          <w:highlight w:val="none"/>
        </w:rPr>
        <w:t>变压器安装</w:t>
      </w:r>
    </w:p>
    <w:p>
      <w:pPr>
        <w:pStyle w:val="8"/>
        <w:numPr>
          <w:ilvl w:val="0"/>
          <w:numId w:val="148"/>
        </w:numPr>
        <w:rPr>
          <w:color w:val="auto"/>
          <w:highlight w:val="none"/>
        </w:rPr>
      </w:pPr>
      <w:r>
        <w:rPr>
          <w:color w:val="auto"/>
          <w:highlight w:val="none"/>
        </w:rPr>
        <w:t>变压器箱体、干式变压器的支架、基础型钢及外壳应分别单独与保护导体可靠连接，紧固件及防松零件齐全。</w:t>
      </w:r>
    </w:p>
    <w:p>
      <w:pPr>
        <w:pStyle w:val="8"/>
        <w:numPr>
          <w:ilvl w:val="0"/>
          <w:numId w:val="107"/>
        </w:numPr>
        <w:rPr>
          <w:color w:val="auto"/>
          <w:highlight w:val="none"/>
        </w:rPr>
      </w:pPr>
      <w:r>
        <w:rPr>
          <w:color w:val="auto"/>
          <w:highlight w:val="none"/>
        </w:rPr>
        <w:t>配电间和静止补偿装置栅栏门应采用裸编织铜线与保护导体可靠连接，其截面积不应小于 4mm2。</w:t>
      </w:r>
    </w:p>
    <w:p>
      <w:pPr>
        <w:pStyle w:val="8"/>
        <w:numPr>
          <w:ilvl w:val="0"/>
          <w:numId w:val="107"/>
        </w:numPr>
        <w:rPr>
          <w:color w:val="auto"/>
          <w:highlight w:val="none"/>
        </w:rPr>
      </w:pPr>
      <w:r>
        <w:rPr>
          <w:color w:val="auto"/>
          <w:highlight w:val="none"/>
        </w:rPr>
        <w:t>变压器外壳，距门不应小于 1m，距墙不应小于 0.8m。</w:t>
      </w:r>
    </w:p>
    <w:p>
      <w:pPr>
        <w:pStyle w:val="7"/>
        <w:rPr>
          <w:color w:val="auto"/>
          <w:highlight w:val="none"/>
        </w:rPr>
      </w:pPr>
      <w:r>
        <w:rPr>
          <w:color w:val="auto"/>
          <w:highlight w:val="none"/>
        </w:rPr>
        <w:t>风机安装</w:t>
      </w:r>
    </w:p>
    <w:p>
      <w:pPr>
        <w:pStyle w:val="8"/>
        <w:numPr>
          <w:ilvl w:val="0"/>
          <w:numId w:val="149"/>
        </w:numPr>
        <w:rPr>
          <w:color w:val="auto"/>
          <w:highlight w:val="none"/>
        </w:rPr>
      </w:pPr>
      <w:r>
        <w:rPr>
          <w:color w:val="auto"/>
          <w:highlight w:val="none"/>
        </w:rPr>
        <w:t>风机叶轮转向正确，叶轮不与风机壳相撞，风机壳进风到叶轮进口的间隙应均匀，叶轮旋转应平稳，停转后不应每次停留在同一位臵上。上人屋面或机房风机进风口必须设置安全可靠的耐久保护隔离网及防雨罩。</w:t>
      </w:r>
    </w:p>
    <w:p>
      <w:pPr>
        <w:pStyle w:val="8"/>
        <w:numPr>
          <w:ilvl w:val="0"/>
          <w:numId w:val="107"/>
        </w:numPr>
        <w:rPr>
          <w:color w:val="auto"/>
          <w:highlight w:val="none"/>
        </w:rPr>
      </w:pPr>
      <w:r>
        <w:rPr>
          <w:color w:val="auto"/>
          <w:highlight w:val="none"/>
        </w:rPr>
        <w:t>支吊架钢材、预埋件的锚板、钢支架材质符合规范要求。</w:t>
      </w:r>
    </w:p>
    <w:p>
      <w:pPr>
        <w:pStyle w:val="8"/>
        <w:numPr>
          <w:ilvl w:val="0"/>
          <w:numId w:val="107"/>
        </w:numPr>
        <w:rPr>
          <w:color w:val="auto"/>
          <w:highlight w:val="none"/>
        </w:rPr>
      </w:pPr>
      <w:r>
        <w:rPr>
          <w:color w:val="auto"/>
          <w:highlight w:val="none"/>
        </w:rPr>
        <w:t>支吊架、支座涂底漆前必须清除灰尘、污垢、锈斑及焊渣，再涂防锈漆 2 道， 室内明露部分再涂调和面漆两道。</w:t>
      </w:r>
    </w:p>
    <w:p>
      <w:pPr>
        <w:pStyle w:val="8"/>
        <w:numPr>
          <w:ilvl w:val="0"/>
          <w:numId w:val="107"/>
        </w:numPr>
        <w:rPr>
          <w:color w:val="auto"/>
          <w:highlight w:val="none"/>
        </w:rPr>
      </w:pPr>
      <w:r>
        <w:rPr>
          <w:color w:val="auto"/>
          <w:highlight w:val="none"/>
        </w:rPr>
        <w:t>吊装风机箱吊杆长度超过 1m 时，应采取防止晃动措施。</w:t>
      </w:r>
    </w:p>
    <w:p>
      <w:pPr>
        <w:pStyle w:val="8"/>
        <w:numPr>
          <w:ilvl w:val="0"/>
          <w:numId w:val="107"/>
        </w:numPr>
        <w:rPr>
          <w:color w:val="auto"/>
          <w:highlight w:val="none"/>
        </w:rPr>
      </w:pPr>
      <w:r>
        <w:rPr>
          <w:color w:val="auto"/>
          <w:highlight w:val="none"/>
        </w:rPr>
        <w:t>通风机进出风口与风管之间连接,采用柔性接头。进出风管应设置单独支吊架,并确保其牢固。</w:t>
      </w:r>
    </w:p>
    <w:p>
      <w:pPr>
        <w:pStyle w:val="8"/>
        <w:numPr>
          <w:ilvl w:val="0"/>
          <w:numId w:val="107"/>
        </w:numPr>
        <w:rPr>
          <w:color w:val="auto"/>
          <w:highlight w:val="none"/>
        </w:rPr>
      </w:pPr>
      <w:r>
        <w:rPr>
          <w:color w:val="auto"/>
          <w:highlight w:val="none"/>
        </w:rPr>
        <w:t>风机壳不承受其他机件的重量。在室外安装时，须使用室外型风机，防护等级必须满足室外产品要求，电机设防雨罩。采用皮带传动时，必须加皮带防护罩。</w:t>
      </w:r>
    </w:p>
    <w:p>
      <w:pPr>
        <w:pStyle w:val="8"/>
        <w:numPr>
          <w:ilvl w:val="0"/>
          <w:numId w:val="107"/>
        </w:numPr>
        <w:rPr>
          <w:color w:val="auto"/>
          <w:highlight w:val="none"/>
        </w:rPr>
      </w:pPr>
      <w:r>
        <w:rPr>
          <w:color w:val="auto"/>
          <w:highlight w:val="none"/>
        </w:rPr>
        <w:t>风管水平安装，支吊架间距应符合设计要求。</w:t>
      </w:r>
    </w:p>
    <w:p>
      <w:pPr>
        <w:pStyle w:val="8"/>
        <w:numPr>
          <w:ilvl w:val="0"/>
          <w:numId w:val="107"/>
        </w:numPr>
        <w:rPr>
          <w:color w:val="auto"/>
          <w:highlight w:val="none"/>
        </w:rPr>
      </w:pPr>
      <w:r>
        <w:rPr>
          <w:color w:val="auto"/>
          <w:highlight w:val="none"/>
        </w:rPr>
        <w:t>风管垂直安装，支架间距不应大于 4m，单根直管至少应有 2 个固定点。</w:t>
      </w:r>
    </w:p>
    <w:p>
      <w:pPr>
        <w:pStyle w:val="8"/>
        <w:numPr>
          <w:ilvl w:val="0"/>
          <w:numId w:val="107"/>
        </w:numPr>
        <w:rPr>
          <w:color w:val="auto"/>
          <w:highlight w:val="none"/>
        </w:rPr>
      </w:pPr>
      <w:r>
        <w:rPr>
          <w:color w:val="auto"/>
          <w:highlight w:val="none"/>
        </w:rPr>
        <w:t>支、吊架不宜设置在风口、阀门、检查门及自控机构处，离风口或插接管的距离不宜小于 200mm。</w:t>
      </w:r>
    </w:p>
    <w:p>
      <w:pPr>
        <w:pStyle w:val="8"/>
        <w:numPr>
          <w:ilvl w:val="0"/>
          <w:numId w:val="107"/>
        </w:numPr>
        <w:rPr>
          <w:color w:val="auto"/>
          <w:highlight w:val="none"/>
        </w:rPr>
      </w:pPr>
      <w:r>
        <w:rPr>
          <w:color w:val="auto"/>
          <w:highlight w:val="none"/>
        </w:rPr>
        <w:t>当水平悬吊的主、干风管长度超过 20m 时，应设置防晃支架，每个系统不应少于 1 个。</w:t>
      </w:r>
    </w:p>
    <w:p>
      <w:pPr>
        <w:pStyle w:val="8"/>
        <w:numPr>
          <w:ilvl w:val="0"/>
          <w:numId w:val="107"/>
        </w:numPr>
        <w:rPr>
          <w:color w:val="auto"/>
          <w:highlight w:val="none"/>
        </w:rPr>
      </w:pPr>
      <w:r>
        <w:rPr>
          <w:color w:val="auto"/>
          <w:highlight w:val="none"/>
        </w:rPr>
        <w:t>吊架的螺孔应采用机械加工。吊杆应平直，螺纹完整、光洁。可调隔振支、吊架的拉伸或压缩量应按设计的要求进行调整。</w:t>
      </w:r>
    </w:p>
    <w:p>
      <w:pPr>
        <w:pStyle w:val="8"/>
        <w:numPr>
          <w:ilvl w:val="0"/>
          <w:numId w:val="107"/>
        </w:numPr>
        <w:rPr>
          <w:color w:val="auto"/>
          <w:highlight w:val="none"/>
        </w:rPr>
      </w:pPr>
      <w:r>
        <w:rPr>
          <w:color w:val="auto"/>
          <w:highlight w:val="none"/>
        </w:rPr>
        <w:t>非金属风管的安装还应符合下列规定：</w:t>
      </w:r>
    </w:p>
    <w:p>
      <w:pPr>
        <w:pStyle w:val="8"/>
        <w:numPr>
          <w:ilvl w:val="0"/>
          <w:numId w:val="107"/>
        </w:numPr>
        <w:rPr>
          <w:color w:val="auto"/>
          <w:highlight w:val="none"/>
        </w:rPr>
      </w:pPr>
      <w:r>
        <w:rPr>
          <w:color w:val="auto"/>
          <w:highlight w:val="none"/>
        </w:rPr>
        <w:t>风管连接两法兰端面应平行、严密，法兰螺栓两侧应加镀锌垫圈；</w:t>
      </w:r>
    </w:p>
    <w:p>
      <w:pPr>
        <w:pStyle w:val="8"/>
        <w:numPr>
          <w:ilvl w:val="0"/>
          <w:numId w:val="107"/>
        </w:numPr>
        <w:rPr>
          <w:color w:val="auto"/>
          <w:highlight w:val="none"/>
        </w:rPr>
      </w:pPr>
      <w:r>
        <w:rPr>
          <w:color w:val="auto"/>
          <w:highlight w:val="none"/>
        </w:rPr>
        <w:t>应适当增加支、吊架与水平风管的接触面积。</w:t>
      </w:r>
    </w:p>
    <w:p>
      <w:pPr>
        <w:pStyle w:val="8"/>
        <w:numPr>
          <w:ilvl w:val="0"/>
          <w:numId w:val="107"/>
        </w:numPr>
        <w:rPr>
          <w:color w:val="auto"/>
          <w:highlight w:val="none"/>
        </w:rPr>
      </w:pPr>
      <w:r>
        <w:rPr>
          <w:color w:val="auto"/>
          <w:highlight w:val="none"/>
        </w:rPr>
        <w:t>硬聚氯乙烯风管的直段连续长度大于 20m，应按设计要求设置伸缩节。</w:t>
      </w:r>
    </w:p>
    <w:p>
      <w:pPr>
        <w:pStyle w:val="8"/>
        <w:numPr>
          <w:ilvl w:val="0"/>
          <w:numId w:val="107"/>
        </w:numPr>
        <w:rPr>
          <w:color w:val="auto"/>
          <w:highlight w:val="none"/>
        </w:rPr>
      </w:pPr>
      <w:r>
        <w:rPr>
          <w:color w:val="auto"/>
          <w:highlight w:val="none"/>
        </w:rPr>
        <w:t>风管垂直安装，支架间距不应大于 3m。</w:t>
      </w:r>
    </w:p>
    <w:p>
      <w:pPr>
        <w:pStyle w:val="8"/>
        <w:numPr>
          <w:ilvl w:val="0"/>
          <w:numId w:val="107"/>
        </w:numPr>
        <w:rPr>
          <w:color w:val="auto"/>
          <w:highlight w:val="none"/>
        </w:rPr>
      </w:pPr>
      <w:r>
        <w:rPr>
          <w:color w:val="auto"/>
          <w:highlight w:val="none"/>
        </w:rPr>
        <w:t>复合材料风管的连接处，接缝应牢固，无孔洞和开裂。当采用插接连接时， 接口应匹配、无松动，端口缝隙不应大于 5mm。</w:t>
      </w:r>
    </w:p>
    <w:p>
      <w:pPr>
        <w:pStyle w:val="8"/>
        <w:numPr>
          <w:ilvl w:val="0"/>
          <w:numId w:val="107"/>
        </w:numPr>
        <w:rPr>
          <w:color w:val="auto"/>
          <w:highlight w:val="none"/>
        </w:rPr>
      </w:pPr>
      <w:r>
        <w:rPr>
          <w:color w:val="auto"/>
          <w:highlight w:val="none"/>
        </w:rPr>
        <w:t>采用法兰连接时，应有防冷桥的措施。</w:t>
      </w:r>
    </w:p>
    <w:p>
      <w:pPr>
        <w:pStyle w:val="8"/>
        <w:numPr>
          <w:ilvl w:val="0"/>
          <w:numId w:val="107"/>
        </w:numPr>
        <w:rPr>
          <w:color w:val="auto"/>
          <w:highlight w:val="none"/>
        </w:rPr>
      </w:pPr>
      <w:r>
        <w:rPr>
          <w:color w:val="auto"/>
          <w:highlight w:val="none"/>
        </w:rPr>
        <w:t>隔振器下方加垫 10mm 钢板，钢板尺寸与减震器大小相匹配并在钢板上车丝， 钢板与槽钢底座接触边满焊，隔振器与钢板连接下方加双螺帽固定。</w:t>
      </w:r>
    </w:p>
    <w:p>
      <w:pPr>
        <w:pStyle w:val="8"/>
        <w:numPr>
          <w:ilvl w:val="0"/>
          <w:numId w:val="107"/>
        </w:numPr>
        <w:rPr>
          <w:color w:val="auto"/>
          <w:highlight w:val="none"/>
        </w:rPr>
      </w:pPr>
      <w:r>
        <w:rPr>
          <w:color w:val="auto"/>
          <w:highlight w:val="none"/>
        </w:rPr>
        <w:t>风量 20000m3/h 以下，每个底板两颗 M10 后扩底锚栓；风量 20000m3/h 以上</w:t>
      </w:r>
    </w:p>
    <w:p>
      <w:pPr>
        <w:pStyle w:val="8"/>
        <w:numPr>
          <w:ilvl w:val="0"/>
          <w:numId w:val="107"/>
        </w:numPr>
        <w:rPr>
          <w:color w:val="auto"/>
          <w:highlight w:val="none"/>
        </w:rPr>
      </w:pPr>
      <w:r>
        <w:rPr>
          <w:color w:val="auto"/>
          <w:highlight w:val="none"/>
        </w:rPr>
        <w:t>（包括 20000），每个底板四颗 M12 后扩底锚栓；吊装底板：钢板厚度为 10mm。</w:t>
      </w:r>
    </w:p>
    <w:p>
      <w:pPr>
        <w:pStyle w:val="8"/>
        <w:numPr>
          <w:ilvl w:val="0"/>
          <w:numId w:val="107"/>
        </w:numPr>
        <w:rPr>
          <w:color w:val="auto"/>
          <w:highlight w:val="none"/>
        </w:rPr>
      </w:pPr>
      <w:r>
        <w:rPr>
          <w:color w:val="auto"/>
          <w:highlight w:val="none"/>
        </w:rPr>
        <w:t>安装风机的隔振钢支、吊架，焊接应牢固，焊缝应饱满、均匀。</w:t>
      </w:r>
    </w:p>
    <w:p>
      <w:pPr>
        <w:pStyle w:val="8"/>
        <w:numPr>
          <w:ilvl w:val="0"/>
          <w:numId w:val="107"/>
        </w:numPr>
        <w:rPr>
          <w:color w:val="auto"/>
          <w:highlight w:val="none"/>
        </w:rPr>
      </w:pPr>
      <w:r>
        <w:rPr>
          <w:color w:val="auto"/>
          <w:highlight w:val="none"/>
        </w:rPr>
        <w:t>通风机进出风口与风管之间连接,采用柔性接头。进风管与出风管应设置单独支架,并确保其牢固,不得使风管及其附件的重量传递给风机。</w:t>
      </w:r>
    </w:p>
    <w:p>
      <w:pPr>
        <w:pStyle w:val="8"/>
        <w:numPr>
          <w:ilvl w:val="0"/>
          <w:numId w:val="107"/>
        </w:numPr>
        <w:rPr>
          <w:color w:val="auto"/>
          <w:highlight w:val="none"/>
        </w:rPr>
      </w:pPr>
      <w:r>
        <w:rPr>
          <w:color w:val="auto"/>
          <w:highlight w:val="none"/>
        </w:rPr>
        <w:t>风机两端帆布软接安装完成后，风机与两端风管须在一条直线上。</w:t>
      </w:r>
    </w:p>
    <w:p>
      <w:pPr>
        <w:pStyle w:val="8"/>
        <w:numPr>
          <w:ilvl w:val="0"/>
          <w:numId w:val="107"/>
        </w:numPr>
        <w:rPr>
          <w:color w:val="auto"/>
          <w:highlight w:val="none"/>
        </w:rPr>
      </w:pPr>
      <w:r>
        <w:rPr>
          <w:color w:val="auto"/>
          <w:highlight w:val="none"/>
        </w:rPr>
        <w:t>用于通风及空调系统，无防火要求时，连接通风机/空调机组与风管的柔性软接短管可选用帆布软接短管；用于防排烟系统时，应按设计或规范要求选用防火材质的软接短管。</w:t>
      </w:r>
    </w:p>
    <w:p>
      <w:pPr>
        <w:pStyle w:val="8"/>
        <w:numPr>
          <w:ilvl w:val="0"/>
          <w:numId w:val="107"/>
        </w:numPr>
        <w:rPr>
          <w:color w:val="auto"/>
          <w:highlight w:val="none"/>
        </w:rPr>
      </w:pPr>
      <w:r>
        <w:rPr>
          <w:color w:val="auto"/>
          <w:highlight w:val="none"/>
        </w:rPr>
        <w:t>减振设备选型应根据设备技术参数进行确定，符合风机的减振要求，并应具有详细的技术参数及检测报告。</w:t>
      </w:r>
    </w:p>
    <w:p>
      <w:pPr>
        <w:pStyle w:val="8"/>
        <w:numPr>
          <w:ilvl w:val="0"/>
          <w:numId w:val="107"/>
        </w:numPr>
        <w:rPr>
          <w:color w:val="auto"/>
          <w:highlight w:val="none"/>
        </w:rPr>
      </w:pPr>
      <w:r>
        <w:rPr>
          <w:color w:val="auto"/>
          <w:highlight w:val="none"/>
        </w:rPr>
        <w:t>通风机与空调机组的进风管、排风管、阀件调节装置等均应有单独的支撑并与基础或其他建筑物连接牢固；各管路与风机连接时法兰面应对中贴平，不应硬拉和别劲，风机机壳不应承受其他机件的重量，防止机壳变形。</w:t>
      </w:r>
    </w:p>
    <w:p>
      <w:pPr>
        <w:pStyle w:val="7"/>
        <w:rPr>
          <w:color w:val="auto"/>
          <w:highlight w:val="none"/>
        </w:rPr>
      </w:pPr>
      <w:r>
        <w:rPr>
          <w:color w:val="auto"/>
          <w:highlight w:val="none"/>
        </w:rPr>
        <w:t>灯具、开关、插座安装</w:t>
      </w:r>
    </w:p>
    <w:p>
      <w:pPr>
        <w:pStyle w:val="8"/>
        <w:numPr>
          <w:ilvl w:val="0"/>
          <w:numId w:val="150"/>
        </w:numPr>
        <w:rPr>
          <w:color w:val="auto"/>
          <w:highlight w:val="none"/>
        </w:rPr>
      </w:pPr>
      <w:r>
        <w:rPr>
          <w:color w:val="auto"/>
          <w:highlight w:val="none"/>
        </w:rPr>
        <w:t>灯具安装</w:t>
      </w:r>
    </w:p>
    <w:p>
      <w:pPr>
        <w:pStyle w:val="9"/>
        <w:numPr>
          <w:ilvl w:val="1"/>
          <w:numId w:val="0"/>
        </w:numPr>
        <w:ind w:left="1464"/>
        <w:rPr>
          <w:color w:val="auto"/>
          <w:highlight w:val="none"/>
        </w:rPr>
      </w:pPr>
      <w:r>
        <w:rPr>
          <w:color w:val="auto"/>
          <w:highlight w:val="none"/>
        </w:rPr>
        <w:t>灯具安装前，必须检查灯具型号及外形有无破损，然后根据图纸上的尺寸对号安装。灯具安装必须牢固端正，位置正确，器具清洁干净，吊杆垂直。导线进入灯具的绝缘保护良好，留有适当余量，连接牢固、紧密，不伤线芯， 灯具成排安装的中心线允许偏差 5mm。灯具安装后不得再次喷浆，以防器具污染。</w:t>
      </w:r>
    </w:p>
    <w:p>
      <w:pPr>
        <w:pStyle w:val="8"/>
        <w:numPr>
          <w:ilvl w:val="0"/>
          <w:numId w:val="107"/>
        </w:numPr>
        <w:rPr>
          <w:color w:val="auto"/>
          <w:highlight w:val="none"/>
        </w:rPr>
      </w:pPr>
      <w:r>
        <w:rPr>
          <w:color w:val="auto"/>
          <w:highlight w:val="none"/>
        </w:rPr>
        <w:t>开关、插座安装</w:t>
      </w:r>
    </w:p>
    <w:p>
      <w:pPr>
        <w:pStyle w:val="9"/>
        <w:numPr>
          <w:ilvl w:val="1"/>
          <w:numId w:val="151"/>
        </w:numPr>
        <w:rPr>
          <w:color w:val="auto"/>
          <w:highlight w:val="none"/>
        </w:rPr>
      </w:pPr>
      <w:r>
        <w:rPr>
          <w:color w:val="auto"/>
          <w:highlight w:val="none"/>
        </w:rPr>
        <w:t>插座及开关等的安装须格外注意观感质量，标高位置要正确可靠，接线盒子内清洁、无杂物，表面清洁、不变形，开关盖板紧贴建筑物的表面。</w:t>
      </w:r>
    </w:p>
    <w:p>
      <w:pPr>
        <w:pStyle w:val="9"/>
        <w:numPr>
          <w:ilvl w:val="1"/>
          <w:numId w:val="75"/>
        </w:numPr>
        <w:rPr>
          <w:color w:val="auto"/>
          <w:highlight w:val="none"/>
        </w:rPr>
      </w:pPr>
      <w:r>
        <w:rPr>
          <w:color w:val="auto"/>
          <w:highlight w:val="none"/>
        </w:rPr>
        <w:t>开关、插座的底板和暗装开关、插座的面板并列安装时，开关、插座的高度差应小于 0.5mm，面板的垂直度小于 0.5mm。同一场合的开关或插座高度差小于 5mm。</w:t>
      </w:r>
    </w:p>
    <w:p>
      <w:pPr>
        <w:pStyle w:val="9"/>
        <w:numPr>
          <w:ilvl w:val="1"/>
          <w:numId w:val="75"/>
        </w:numPr>
        <w:rPr>
          <w:color w:val="auto"/>
          <w:highlight w:val="none"/>
        </w:rPr>
      </w:pPr>
      <w:r>
        <w:rPr>
          <w:color w:val="auto"/>
          <w:highlight w:val="none"/>
        </w:rPr>
        <w:t>接线时，应注意区分相线、零线及保护地线，不得混乱，注意的是零线与保护接地线切不可错接或接为一体，其中地线采用黄绿相间的双色线。相线经开关关断。</w:t>
      </w:r>
    </w:p>
    <w:p>
      <w:pPr>
        <w:pStyle w:val="9"/>
        <w:numPr>
          <w:ilvl w:val="1"/>
          <w:numId w:val="75"/>
        </w:numPr>
        <w:rPr>
          <w:color w:val="auto"/>
          <w:highlight w:val="none"/>
        </w:rPr>
      </w:pPr>
      <w:r>
        <w:rPr>
          <w:color w:val="auto"/>
          <w:highlight w:val="none"/>
        </w:rPr>
        <w:t>单相两孔插座接线应注意“左零右火、下零上火”。单相三孔插座的接线要求是：上端的接地孔眼一定要与接地线接牢、接实、接对，绝不能不 接，余下的两孔眼按左零右火的规则接线。插座的接地端子不与零线端子连接。同一场所的三相插座，接线的相序应一致。</w:t>
      </w:r>
    </w:p>
    <w:p>
      <w:pPr>
        <w:pStyle w:val="9"/>
        <w:numPr>
          <w:ilvl w:val="1"/>
          <w:numId w:val="75"/>
        </w:numPr>
        <w:rPr>
          <w:color w:val="auto"/>
          <w:highlight w:val="none"/>
        </w:rPr>
      </w:pPr>
      <w:r>
        <w:rPr>
          <w:color w:val="auto"/>
          <w:highlight w:val="none"/>
        </w:rPr>
        <w:t>接线时，要预留适当的余量电线在线盒内。三根及以上导线连接时，将连接导线绝缘层并齐合拢，在距绝缘层约 15mm 处用其中一根线芯，在其连接端缠绕不少于 5 圈后剪断，把余头并齐折回压在缠绕线上。两根导线连接时，将连接导线绝缘台并齐合拢，在距绝缘层约 15mm 处用两根线芯捻绞不少于 5 圈后，留余线适当长后剪断折回压紧。</w:t>
      </w:r>
    </w:p>
    <w:p>
      <w:pPr>
        <w:pStyle w:val="7"/>
        <w:rPr>
          <w:color w:val="auto"/>
          <w:highlight w:val="none"/>
        </w:rPr>
      </w:pPr>
      <w:r>
        <w:rPr>
          <w:color w:val="auto"/>
          <w:highlight w:val="none"/>
        </w:rPr>
        <w:t>配电柜/箱安装</w:t>
      </w:r>
    </w:p>
    <w:p>
      <w:pPr>
        <w:pStyle w:val="8"/>
        <w:numPr>
          <w:ilvl w:val="0"/>
          <w:numId w:val="152"/>
        </w:numPr>
        <w:rPr>
          <w:color w:val="auto"/>
          <w:highlight w:val="none"/>
        </w:rPr>
      </w:pPr>
      <w:r>
        <w:rPr>
          <w:color w:val="auto"/>
          <w:highlight w:val="none"/>
        </w:rPr>
        <w:t>在配电柜/箱安装前，应具备墙面、屋顶喷浆完，无漏水，门窗玻璃安装完， 门上锁等条件。首先安装基础型钢，基础型钢安装后，顶部宜高出抹平地坪地面 10mm，手车柜基础应与地坪相平，基础槽钢应与地线可靠连接。柜在找平找正后，柜体与基础型钢固定，然后柜体与柜体、柜体与侧档板均用镀锌螺丝连接，盘柜接地应用 6mm2 铜绞线与基础型钢可靠连接。</w:t>
      </w:r>
    </w:p>
    <w:p>
      <w:pPr>
        <w:pStyle w:val="8"/>
        <w:numPr>
          <w:ilvl w:val="0"/>
          <w:numId w:val="107"/>
        </w:numPr>
        <w:rPr>
          <w:color w:val="auto"/>
          <w:highlight w:val="none"/>
        </w:rPr>
      </w:pPr>
      <w:r>
        <w:rPr>
          <w:color w:val="auto"/>
          <w:highlight w:val="none"/>
        </w:rPr>
        <w:t>按照电气设备平面图，确定好配电箱的具体安装位置，要保证固定牢固可靠。配电箱安装的垂直偏差不应大于 3mm。配电箱的箱体及电器的金属外壳，均应做接地保护。安装结束后，应保证箱体内外清洁、箱盖开启灵活、箱内接 线整齐、回路编号齐全正确。</w:t>
      </w:r>
    </w:p>
    <w:p>
      <w:pPr>
        <w:pStyle w:val="8"/>
        <w:numPr>
          <w:ilvl w:val="0"/>
          <w:numId w:val="107"/>
        </w:numPr>
        <w:rPr>
          <w:color w:val="auto"/>
          <w:highlight w:val="none"/>
        </w:rPr>
      </w:pPr>
      <w:r>
        <w:rPr>
          <w:color w:val="auto"/>
          <w:highlight w:val="none"/>
        </w:rPr>
        <w:t>配电箱安装需横平竖直，配电柜与基础支座连接可靠。</w:t>
      </w:r>
    </w:p>
    <w:p>
      <w:pPr>
        <w:pStyle w:val="8"/>
        <w:numPr>
          <w:ilvl w:val="0"/>
          <w:numId w:val="107"/>
        </w:numPr>
        <w:rPr>
          <w:color w:val="auto"/>
          <w:highlight w:val="none"/>
        </w:rPr>
      </w:pPr>
      <w:r>
        <w:rPr>
          <w:color w:val="auto"/>
          <w:highlight w:val="none"/>
        </w:rPr>
        <w:t>成列配电柜安装时，柜面应平齐，配电柜垂直度偏差不大于 1.5mm，柜体之间用螺栓连接牢固，相邻配电柜体缝隙不大于 2mm；</w:t>
      </w:r>
    </w:p>
    <w:p>
      <w:pPr>
        <w:pStyle w:val="8"/>
        <w:numPr>
          <w:ilvl w:val="0"/>
          <w:numId w:val="107"/>
        </w:numPr>
        <w:rPr>
          <w:color w:val="auto"/>
          <w:highlight w:val="none"/>
        </w:rPr>
      </w:pPr>
      <w:r>
        <w:rPr>
          <w:color w:val="auto"/>
          <w:highlight w:val="none"/>
        </w:rPr>
        <w:t>配电箱应安装在安全、干燥、易操作的场所，在同一建筑物内，同类箱的高度应一致，允许偏差为 10mm。</w:t>
      </w:r>
    </w:p>
    <w:p>
      <w:pPr>
        <w:pStyle w:val="8"/>
        <w:numPr>
          <w:ilvl w:val="0"/>
          <w:numId w:val="107"/>
        </w:numPr>
        <w:rPr>
          <w:color w:val="auto"/>
          <w:highlight w:val="none"/>
        </w:rPr>
      </w:pPr>
      <w:r>
        <w:rPr>
          <w:color w:val="auto"/>
          <w:highlight w:val="none"/>
        </w:rPr>
        <w:t>安装配电箱所需的木砖及铁件等均应预埋，挂式配电箱应采用金属膨胀螺栓固定。</w:t>
      </w:r>
    </w:p>
    <w:p>
      <w:pPr>
        <w:pStyle w:val="8"/>
        <w:numPr>
          <w:ilvl w:val="0"/>
          <w:numId w:val="107"/>
        </w:numPr>
        <w:rPr>
          <w:color w:val="auto"/>
          <w:highlight w:val="none"/>
        </w:rPr>
      </w:pPr>
      <w:r>
        <w:rPr>
          <w:color w:val="auto"/>
          <w:highlight w:val="none"/>
        </w:rPr>
        <w:t>配电箱带有器具的铁制盘面和装有器具的门及电器的金属外壳均应有明显可靠的 PE 线接地。PE 线不允许利用盒、箱体串接。</w:t>
      </w:r>
    </w:p>
    <w:p>
      <w:pPr>
        <w:pStyle w:val="8"/>
        <w:numPr>
          <w:ilvl w:val="0"/>
          <w:numId w:val="107"/>
        </w:numPr>
        <w:rPr>
          <w:color w:val="auto"/>
          <w:highlight w:val="none"/>
        </w:rPr>
      </w:pPr>
      <w:r>
        <w:rPr>
          <w:color w:val="auto"/>
          <w:highlight w:val="none"/>
        </w:rPr>
        <w:t>配电箱上配线需排列整齐，并绑扎成束，在活动部位应该两端固定。盘面引出及引进的导线应留有适当余量，以便于检修。</w:t>
      </w:r>
    </w:p>
    <w:p>
      <w:pPr>
        <w:pStyle w:val="8"/>
        <w:numPr>
          <w:ilvl w:val="0"/>
          <w:numId w:val="107"/>
        </w:numPr>
        <w:rPr>
          <w:color w:val="auto"/>
          <w:highlight w:val="none"/>
        </w:rPr>
      </w:pPr>
      <w:r>
        <w:rPr>
          <w:color w:val="auto"/>
          <w:highlight w:val="none"/>
        </w:rPr>
        <w:t>配电箱上的电源指示灯，其电源应接至总开关的外侧，并应装单独熔断器</w:t>
      </w:r>
      <w:r>
        <w:rPr>
          <w:rFonts w:hint="eastAsia"/>
          <w:color w:val="auto"/>
          <w:highlight w:val="none"/>
        </w:rPr>
        <w:t>。</w:t>
      </w:r>
    </w:p>
    <w:p>
      <w:pPr>
        <w:pStyle w:val="8"/>
        <w:numPr>
          <w:ilvl w:val="0"/>
          <w:numId w:val="107"/>
        </w:numPr>
        <w:rPr>
          <w:color w:val="auto"/>
          <w:highlight w:val="none"/>
        </w:rPr>
      </w:pPr>
      <w:r>
        <w:rPr>
          <w:color w:val="auto"/>
          <w:highlight w:val="none"/>
        </w:rPr>
        <w:t>接零系统中的零线应在箱体引入线处或末端做好重复接地。</w:t>
      </w:r>
    </w:p>
    <w:p>
      <w:pPr>
        <w:pStyle w:val="8"/>
        <w:numPr>
          <w:ilvl w:val="0"/>
          <w:numId w:val="107"/>
        </w:numPr>
        <w:rPr>
          <w:color w:val="auto"/>
          <w:highlight w:val="none"/>
        </w:rPr>
      </w:pPr>
      <w:r>
        <w:rPr>
          <w:color w:val="auto"/>
          <w:highlight w:val="none"/>
        </w:rPr>
        <w:t>零母线在配电箱上应用端子板分路，零线端子板分支路排列位置，应与熔断器相对应。配电箱上的母线应套上有黄（A 相），绿（B 相），红（C 相），黑（D 相）等颜色色带，双色线为保护地线（黄绿，也称 PE 线）。</w:t>
      </w:r>
    </w:p>
    <w:p>
      <w:pPr>
        <w:pStyle w:val="8"/>
        <w:numPr>
          <w:ilvl w:val="0"/>
          <w:numId w:val="107"/>
        </w:numPr>
        <w:rPr>
          <w:color w:val="auto"/>
          <w:highlight w:val="none"/>
        </w:rPr>
      </w:pPr>
      <w:r>
        <w:rPr>
          <w:color w:val="auto"/>
          <w:highlight w:val="none"/>
        </w:rPr>
        <w:t>配电箱上电具、仪表应牢固、平正、整洁，间距均匀，铜端子无松动，启闭灵活，零部件齐全。</w:t>
      </w:r>
    </w:p>
    <w:p>
      <w:pPr>
        <w:pStyle w:val="7"/>
        <w:rPr>
          <w:color w:val="auto"/>
          <w:highlight w:val="none"/>
        </w:rPr>
      </w:pPr>
      <w:r>
        <w:rPr>
          <w:color w:val="auto"/>
          <w:highlight w:val="none"/>
        </w:rPr>
        <w:t>母线槽安装</w:t>
      </w:r>
    </w:p>
    <w:p>
      <w:pPr>
        <w:pStyle w:val="8"/>
        <w:numPr>
          <w:ilvl w:val="0"/>
          <w:numId w:val="153"/>
        </w:numPr>
        <w:rPr>
          <w:color w:val="auto"/>
          <w:highlight w:val="none"/>
        </w:rPr>
      </w:pPr>
      <w:r>
        <w:rPr>
          <w:color w:val="auto"/>
          <w:highlight w:val="none"/>
        </w:rPr>
        <w:t>储存</w:t>
      </w:r>
    </w:p>
    <w:p>
      <w:pPr>
        <w:pStyle w:val="9"/>
        <w:numPr>
          <w:ilvl w:val="1"/>
          <w:numId w:val="154"/>
        </w:numPr>
        <w:rPr>
          <w:color w:val="auto"/>
          <w:highlight w:val="none"/>
        </w:rPr>
      </w:pPr>
      <w:r>
        <w:rPr>
          <w:color w:val="auto"/>
          <w:highlight w:val="none"/>
        </w:rPr>
        <w:t>母线槽应放置在干燥的地方，不能受到水，水蒸气及泥土的侵蚀，不能直接放在地上，需在地上垫上木板。</w:t>
      </w:r>
    </w:p>
    <w:p>
      <w:pPr>
        <w:pStyle w:val="9"/>
        <w:numPr>
          <w:ilvl w:val="1"/>
          <w:numId w:val="75"/>
        </w:numPr>
        <w:rPr>
          <w:color w:val="auto"/>
          <w:highlight w:val="none"/>
        </w:rPr>
      </w:pPr>
      <w:r>
        <w:rPr>
          <w:color w:val="auto"/>
          <w:highlight w:val="none"/>
        </w:rPr>
        <w:t>不要直立放置。</w:t>
      </w:r>
    </w:p>
    <w:p>
      <w:pPr>
        <w:pStyle w:val="9"/>
        <w:numPr>
          <w:ilvl w:val="1"/>
          <w:numId w:val="75"/>
        </w:numPr>
        <w:rPr>
          <w:color w:val="auto"/>
          <w:highlight w:val="none"/>
        </w:rPr>
      </w:pPr>
      <w:r>
        <w:rPr>
          <w:color w:val="auto"/>
          <w:highlight w:val="none"/>
        </w:rPr>
        <w:t>母线槽外壳防护膜在送电前才能拆除，确保母线槽在送电前不会弄污或受到破坏。</w:t>
      </w:r>
    </w:p>
    <w:p>
      <w:pPr>
        <w:pStyle w:val="8"/>
        <w:numPr>
          <w:ilvl w:val="0"/>
          <w:numId w:val="107"/>
        </w:numPr>
        <w:rPr>
          <w:color w:val="auto"/>
          <w:highlight w:val="none"/>
        </w:rPr>
      </w:pPr>
      <w:r>
        <w:rPr>
          <w:color w:val="auto"/>
          <w:highlight w:val="none"/>
        </w:rPr>
        <w:t>安装前检查</w:t>
      </w:r>
    </w:p>
    <w:p>
      <w:pPr>
        <w:pStyle w:val="9"/>
        <w:numPr>
          <w:ilvl w:val="1"/>
          <w:numId w:val="155"/>
        </w:numPr>
        <w:rPr>
          <w:color w:val="auto"/>
          <w:highlight w:val="none"/>
        </w:rPr>
      </w:pPr>
      <w:r>
        <w:rPr>
          <w:color w:val="auto"/>
          <w:highlight w:val="none"/>
        </w:rPr>
        <w:t>检查安装线路中是否有障碍、热源、漏水等情况。检查安装设备是否齐全。检查安装线路是否与设计相同。</w:t>
      </w:r>
    </w:p>
    <w:p>
      <w:pPr>
        <w:pStyle w:val="9"/>
        <w:numPr>
          <w:ilvl w:val="1"/>
          <w:numId w:val="155"/>
        </w:numPr>
        <w:rPr>
          <w:color w:val="auto"/>
          <w:highlight w:val="none"/>
        </w:rPr>
      </w:pPr>
      <w:r>
        <w:rPr>
          <w:color w:val="auto"/>
          <w:highlight w:val="none"/>
        </w:rPr>
        <w:t>安装吊架螺栓和支撑架。</w:t>
      </w:r>
    </w:p>
    <w:p>
      <w:pPr>
        <w:pStyle w:val="9"/>
        <w:numPr>
          <w:ilvl w:val="1"/>
          <w:numId w:val="155"/>
        </w:numPr>
        <w:rPr>
          <w:color w:val="auto"/>
          <w:highlight w:val="none"/>
        </w:rPr>
      </w:pPr>
      <w:r>
        <w:rPr>
          <w:color w:val="auto"/>
          <w:highlight w:val="none"/>
        </w:rPr>
        <w:t>安装前对每个单元母线槽进行绝缘电阻测试。</w:t>
      </w:r>
    </w:p>
    <w:p>
      <w:pPr>
        <w:pStyle w:val="9"/>
        <w:numPr>
          <w:ilvl w:val="1"/>
          <w:numId w:val="155"/>
        </w:numPr>
        <w:rPr>
          <w:color w:val="auto"/>
          <w:highlight w:val="none"/>
        </w:rPr>
      </w:pPr>
      <w:r>
        <w:rPr>
          <w:color w:val="auto"/>
          <w:highlight w:val="none"/>
        </w:rPr>
        <w:t>检查接头处有无泥土，灰尘及其它异物。</w:t>
      </w:r>
    </w:p>
    <w:p>
      <w:pPr>
        <w:pStyle w:val="8"/>
        <w:numPr>
          <w:ilvl w:val="0"/>
          <w:numId w:val="107"/>
        </w:numPr>
        <w:rPr>
          <w:color w:val="auto"/>
          <w:highlight w:val="none"/>
        </w:rPr>
      </w:pPr>
      <w:r>
        <w:rPr>
          <w:color w:val="auto"/>
          <w:highlight w:val="none"/>
        </w:rPr>
        <w:t>安装注意事项</w:t>
      </w:r>
    </w:p>
    <w:p>
      <w:pPr>
        <w:pStyle w:val="9"/>
        <w:numPr>
          <w:ilvl w:val="1"/>
          <w:numId w:val="156"/>
        </w:numPr>
        <w:rPr>
          <w:color w:val="auto"/>
          <w:highlight w:val="none"/>
        </w:rPr>
      </w:pPr>
      <w:r>
        <w:rPr>
          <w:color w:val="auto"/>
          <w:highlight w:val="none"/>
        </w:rPr>
        <w:t>必须对照图纸，按序号顺序进行连接。</w:t>
      </w:r>
    </w:p>
    <w:p>
      <w:pPr>
        <w:pStyle w:val="9"/>
        <w:numPr>
          <w:ilvl w:val="1"/>
          <w:numId w:val="156"/>
        </w:numPr>
        <w:rPr>
          <w:color w:val="auto"/>
          <w:highlight w:val="none"/>
        </w:rPr>
      </w:pPr>
      <w:r>
        <w:rPr>
          <w:color w:val="auto"/>
          <w:highlight w:val="none"/>
        </w:rPr>
        <w:t>在吊装时要垫硬纸或木板，以防母线槽表面被破坏或变形。</w:t>
      </w:r>
    </w:p>
    <w:p>
      <w:pPr>
        <w:pStyle w:val="9"/>
        <w:numPr>
          <w:ilvl w:val="1"/>
          <w:numId w:val="156"/>
        </w:numPr>
        <w:rPr>
          <w:color w:val="auto"/>
          <w:highlight w:val="none"/>
        </w:rPr>
      </w:pPr>
      <w:r>
        <w:rPr>
          <w:color w:val="auto"/>
          <w:highlight w:val="none"/>
        </w:rPr>
        <w:t>边安装边测试绝缘电阻，以免出现不正常时整段线路的检查的拆卸。</w:t>
      </w:r>
    </w:p>
    <w:p>
      <w:pPr>
        <w:pStyle w:val="9"/>
        <w:numPr>
          <w:ilvl w:val="1"/>
          <w:numId w:val="156"/>
        </w:numPr>
        <w:rPr>
          <w:color w:val="auto"/>
          <w:highlight w:val="none"/>
        </w:rPr>
      </w:pPr>
      <w:r>
        <w:rPr>
          <w:color w:val="auto"/>
          <w:highlight w:val="none"/>
        </w:rPr>
        <w:t>安装未完成前，连接终端应有防水，防尘措施。</w:t>
      </w:r>
    </w:p>
    <w:p>
      <w:pPr>
        <w:pStyle w:val="9"/>
        <w:numPr>
          <w:ilvl w:val="1"/>
          <w:numId w:val="156"/>
        </w:numPr>
        <w:rPr>
          <w:color w:val="auto"/>
          <w:highlight w:val="none"/>
        </w:rPr>
      </w:pPr>
      <w:r>
        <w:rPr>
          <w:color w:val="auto"/>
          <w:highlight w:val="none"/>
        </w:rPr>
        <w:t>接头处安装后必须将螺栓拧紧。</w:t>
      </w:r>
    </w:p>
    <w:p>
      <w:pPr>
        <w:pStyle w:val="9"/>
        <w:numPr>
          <w:ilvl w:val="1"/>
          <w:numId w:val="156"/>
        </w:numPr>
        <w:rPr>
          <w:color w:val="auto"/>
          <w:highlight w:val="none"/>
        </w:rPr>
      </w:pPr>
      <w:r>
        <w:rPr>
          <w:color w:val="auto"/>
          <w:highlight w:val="none"/>
        </w:rPr>
        <w:t>对防护等级为 IP54 的母线槽在接头安装时，必须在铝盖两边、螺栓孔周围、密封垫圈底部、侧面铝盖上沿周边处涂上硅胶。</w:t>
      </w:r>
    </w:p>
    <w:p>
      <w:pPr>
        <w:pStyle w:val="9"/>
        <w:numPr>
          <w:ilvl w:val="1"/>
          <w:numId w:val="156"/>
        </w:numPr>
        <w:rPr>
          <w:color w:val="auto"/>
          <w:highlight w:val="none"/>
        </w:rPr>
      </w:pPr>
      <w:r>
        <w:rPr>
          <w:color w:val="auto"/>
          <w:highlight w:val="none"/>
        </w:rPr>
        <w:t>母线槽数排并安装时，为确保散热和方便安装，其间最小间距 150mm，如其上有插接箱时应保证插接箱之间有 50mm 间距。母线槽安装穿过墙壁或楼层板时其接头中心距墙或楼层板间距至少为 300mm。</w:t>
      </w:r>
    </w:p>
    <w:p>
      <w:pPr>
        <w:pStyle w:val="9"/>
        <w:numPr>
          <w:ilvl w:val="1"/>
          <w:numId w:val="156"/>
        </w:numPr>
        <w:rPr>
          <w:color w:val="auto"/>
          <w:highlight w:val="none"/>
        </w:rPr>
      </w:pPr>
      <w:r>
        <w:rPr>
          <w:color w:val="auto"/>
          <w:highlight w:val="none"/>
        </w:rPr>
        <w:t>母线槽穿过防火墙及防火板时，应采取防火隔离措施。</w:t>
      </w:r>
    </w:p>
    <w:p>
      <w:pPr>
        <w:pStyle w:val="9"/>
        <w:numPr>
          <w:ilvl w:val="1"/>
          <w:numId w:val="156"/>
        </w:numPr>
        <w:rPr>
          <w:color w:val="auto"/>
          <w:highlight w:val="none"/>
        </w:rPr>
      </w:pPr>
      <w:r>
        <w:rPr>
          <w:color w:val="auto"/>
          <w:highlight w:val="none"/>
        </w:rPr>
        <w:t>吊架之间距离为 2m，大跨度母线槽为 6m。</w:t>
      </w:r>
    </w:p>
    <w:p>
      <w:pPr>
        <w:pStyle w:val="9"/>
        <w:numPr>
          <w:ilvl w:val="1"/>
          <w:numId w:val="156"/>
        </w:numPr>
        <w:rPr>
          <w:color w:val="auto"/>
          <w:highlight w:val="none"/>
        </w:rPr>
      </w:pPr>
      <w:r>
        <w:rPr>
          <w:color w:val="auto"/>
          <w:highlight w:val="none"/>
        </w:rPr>
        <w:t>水平安装时，距离地面高度不应小于 2.2m；垂直安装时，距地面 1.8m 以下部分应采用防止机械损伤措施（竖井内除外）</w:t>
      </w:r>
    </w:p>
    <w:p>
      <w:pPr>
        <w:pStyle w:val="9"/>
        <w:numPr>
          <w:ilvl w:val="1"/>
          <w:numId w:val="156"/>
        </w:numPr>
        <w:rPr>
          <w:color w:val="auto"/>
          <w:highlight w:val="none"/>
        </w:rPr>
      </w:pPr>
      <w:r>
        <w:rPr>
          <w:color w:val="auto"/>
          <w:highlight w:val="none"/>
        </w:rPr>
        <w:t>垂直安装的母线槽在楼板处用弹簧支架固定并调节弹簧，使之保证垂直度。末端悬空时应采用支架固定；楼层高于 4m 时，中间也应采用支架固定。</w:t>
      </w:r>
    </w:p>
    <w:p>
      <w:pPr>
        <w:pStyle w:val="9"/>
        <w:numPr>
          <w:ilvl w:val="1"/>
          <w:numId w:val="156"/>
        </w:numPr>
        <w:rPr>
          <w:color w:val="auto"/>
          <w:highlight w:val="none"/>
        </w:rPr>
      </w:pPr>
      <w:r>
        <w:rPr>
          <w:color w:val="auto"/>
          <w:highlight w:val="none"/>
        </w:rPr>
        <w:t>垂直安装时，长度不超过 40m 应安装伸缩节，如每层都有插接箱，长度超过 90m 时应安装伸缩节。</w:t>
      </w:r>
    </w:p>
    <w:p>
      <w:pPr>
        <w:pStyle w:val="8"/>
        <w:numPr>
          <w:ilvl w:val="0"/>
          <w:numId w:val="107"/>
        </w:numPr>
        <w:rPr>
          <w:color w:val="auto"/>
          <w:highlight w:val="none"/>
        </w:rPr>
      </w:pPr>
      <w:r>
        <w:rPr>
          <w:color w:val="auto"/>
          <w:highlight w:val="none"/>
        </w:rPr>
        <w:t>接头的安装顺序</w:t>
      </w:r>
    </w:p>
    <w:p>
      <w:pPr>
        <w:pStyle w:val="9"/>
        <w:numPr>
          <w:ilvl w:val="1"/>
          <w:numId w:val="157"/>
        </w:numPr>
        <w:rPr>
          <w:color w:val="auto"/>
          <w:highlight w:val="none"/>
        </w:rPr>
      </w:pPr>
      <w:r>
        <w:rPr>
          <w:color w:val="auto"/>
          <w:highlight w:val="none"/>
        </w:rPr>
        <w:t>打开接头安装盒，检查接头部件数量及质量。</w:t>
      </w:r>
    </w:p>
    <w:p>
      <w:pPr>
        <w:pStyle w:val="9"/>
        <w:numPr>
          <w:ilvl w:val="1"/>
          <w:numId w:val="157"/>
        </w:numPr>
        <w:rPr>
          <w:color w:val="auto"/>
          <w:highlight w:val="none"/>
        </w:rPr>
      </w:pPr>
      <w:r>
        <w:rPr>
          <w:color w:val="auto"/>
          <w:highlight w:val="none"/>
        </w:rPr>
        <w:t>把两端需连接的母线槽侧板上下对齐，端头紧靠。</w:t>
      </w:r>
    </w:p>
    <w:p>
      <w:pPr>
        <w:pStyle w:val="9"/>
        <w:numPr>
          <w:ilvl w:val="1"/>
          <w:numId w:val="157"/>
        </w:numPr>
        <w:rPr>
          <w:color w:val="auto"/>
          <w:highlight w:val="none"/>
        </w:rPr>
      </w:pPr>
      <w:r>
        <w:rPr>
          <w:color w:val="auto"/>
          <w:highlight w:val="none"/>
        </w:rPr>
        <w:t>揭去侧板端头上的薄膜，将电板贴在侧板内侧，用 M8 螺栓紧固。</w:t>
      </w:r>
    </w:p>
    <w:p>
      <w:pPr>
        <w:pStyle w:val="9"/>
        <w:numPr>
          <w:ilvl w:val="1"/>
          <w:numId w:val="157"/>
        </w:numPr>
        <w:rPr>
          <w:color w:val="auto"/>
          <w:highlight w:val="none"/>
        </w:rPr>
      </w:pPr>
      <w:r>
        <w:rPr>
          <w:color w:val="auto"/>
          <w:highlight w:val="none"/>
        </w:rPr>
        <w:t>将隔板 1、隔板 2 按序号插入各相搭界母线之间，上下位置由隔板上两个小圆柱定位，两边缘与母线排头对齐。</w:t>
      </w:r>
    </w:p>
    <w:p>
      <w:pPr>
        <w:pStyle w:val="9"/>
        <w:numPr>
          <w:ilvl w:val="1"/>
          <w:numId w:val="157"/>
        </w:numPr>
        <w:rPr>
          <w:color w:val="auto"/>
          <w:highlight w:val="none"/>
        </w:rPr>
      </w:pPr>
      <w:r>
        <w:rPr>
          <w:color w:val="auto"/>
          <w:highlight w:val="none"/>
        </w:rPr>
        <w:t>依次将垫板、弹簧、平垫套在螺栓上，两边用螺母紧固，拧紧力矩为 M12 螺栓为 40N·M、M16 连接螺栓为 80-100N·M。</w:t>
      </w:r>
    </w:p>
    <w:p>
      <w:pPr>
        <w:pStyle w:val="9"/>
        <w:numPr>
          <w:ilvl w:val="1"/>
          <w:numId w:val="157"/>
        </w:numPr>
        <w:rPr>
          <w:color w:val="auto"/>
          <w:highlight w:val="none"/>
        </w:rPr>
      </w:pPr>
      <w:r>
        <w:rPr>
          <w:color w:val="auto"/>
          <w:highlight w:val="none"/>
        </w:rPr>
        <w:t>相邻的母线槽如安装有插接箱，插接箱间距保证大于 50mm。</w:t>
      </w:r>
    </w:p>
    <w:p>
      <w:pPr>
        <w:pStyle w:val="7"/>
        <w:rPr>
          <w:color w:val="auto"/>
          <w:highlight w:val="none"/>
        </w:rPr>
      </w:pPr>
      <w:r>
        <w:rPr>
          <w:color w:val="auto"/>
          <w:highlight w:val="none"/>
        </w:rPr>
        <w:t>电缆导管安装</w:t>
      </w:r>
    </w:p>
    <w:p>
      <w:pPr>
        <w:pStyle w:val="8"/>
        <w:numPr>
          <w:ilvl w:val="0"/>
          <w:numId w:val="158"/>
        </w:numPr>
        <w:rPr>
          <w:color w:val="auto"/>
          <w:highlight w:val="none"/>
        </w:rPr>
      </w:pPr>
      <w:r>
        <w:rPr>
          <w:color w:val="auto"/>
          <w:highlight w:val="none"/>
        </w:rPr>
        <w:t>材料要求</w:t>
      </w:r>
    </w:p>
    <w:p>
      <w:pPr>
        <w:pStyle w:val="9"/>
        <w:numPr>
          <w:ilvl w:val="1"/>
          <w:numId w:val="159"/>
        </w:numPr>
        <w:rPr>
          <w:color w:val="auto"/>
          <w:highlight w:val="none"/>
        </w:rPr>
      </w:pPr>
      <w:r>
        <w:rPr>
          <w:color w:val="auto"/>
          <w:highlight w:val="none"/>
        </w:rPr>
        <w:t>钢管：内外表面热镀锌处理，镀层完整，内焊缝应平滑、圆顺，钢管无压扁。</w:t>
      </w:r>
    </w:p>
    <w:p>
      <w:pPr>
        <w:pStyle w:val="9"/>
        <w:numPr>
          <w:ilvl w:val="1"/>
          <w:numId w:val="159"/>
        </w:numPr>
        <w:rPr>
          <w:color w:val="auto"/>
          <w:highlight w:val="none"/>
        </w:rPr>
      </w:pPr>
      <w:r>
        <w:rPr>
          <w:color w:val="auto"/>
          <w:highlight w:val="none"/>
        </w:rPr>
        <w:t>管箍：使用通丝管箍，丝扣清晰，不乱扣，镀锌层完整无脱落、无劈裂。</w:t>
      </w:r>
    </w:p>
    <w:p>
      <w:pPr>
        <w:pStyle w:val="9"/>
        <w:numPr>
          <w:ilvl w:val="1"/>
          <w:numId w:val="159"/>
        </w:numPr>
        <w:rPr>
          <w:color w:val="auto"/>
          <w:highlight w:val="none"/>
        </w:rPr>
      </w:pPr>
      <w:r>
        <w:rPr>
          <w:color w:val="auto"/>
          <w:highlight w:val="none"/>
        </w:rPr>
        <w:t>锁紧螺母：外形完好无损，丝扣清晰。</w:t>
      </w:r>
    </w:p>
    <w:p>
      <w:pPr>
        <w:pStyle w:val="9"/>
        <w:numPr>
          <w:ilvl w:val="1"/>
          <w:numId w:val="159"/>
        </w:numPr>
        <w:rPr>
          <w:color w:val="auto"/>
          <w:highlight w:val="none"/>
        </w:rPr>
      </w:pPr>
      <w:r>
        <w:rPr>
          <w:color w:val="auto"/>
          <w:highlight w:val="none"/>
        </w:rPr>
        <w:t>护口：使用专用护口，护口要完整无损。</w:t>
      </w:r>
    </w:p>
    <w:p>
      <w:pPr>
        <w:pStyle w:val="9"/>
        <w:numPr>
          <w:ilvl w:val="1"/>
          <w:numId w:val="159"/>
        </w:numPr>
        <w:rPr>
          <w:color w:val="auto"/>
          <w:highlight w:val="none"/>
        </w:rPr>
      </w:pPr>
      <w:r>
        <w:rPr>
          <w:color w:val="auto"/>
          <w:highlight w:val="none"/>
        </w:rPr>
        <w:t>接线盒：盒板厚度符合规范要求，接线盒底部有接地螺丝及接地标志。</w:t>
      </w:r>
    </w:p>
    <w:p>
      <w:pPr>
        <w:pStyle w:val="8"/>
        <w:numPr>
          <w:ilvl w:val="0"/>
          <w:numId w:val="107"/>
        </w:numPr>
        <w:rPr>
          <w:color w:val="auto"/>
          <w:highlight w:val="none"/>
        </w:rPr>
      </w:pPr>
      <w:r>
        <w:rPr>
          <w:color w:val="auto"/>
          <w:highlight w:val="none"/>
        </w:rPr>
        <w:t>管材及支吊架加工要求</w:t>
      </w:r>
    </w:p>
    <w:p>
      <w:pPr>
        <w:pStyle w:val="9"/>
        <w:numPr>
          <w:ilvl w:val="1"/>
          <w:numId w:val="160"/>
        </w:numPr>
        <w:rPr>
          <w:color w:val="auto"/>
          <w:highlight w:val="none"/>
        </w:rPr>
      </w:pPr>
      <w:r>
        <w:rPr>
          <w:color w:val="auto"/>
          <w:highlight w:val="none"/>
        </w:rPr>
        <w:t>管道切割：应选用钢锯或砂轮切割机切管，切管的长度要测量准确。</w:t>
      </w:r>
    </w:p>
    <w:p>
      <w:pPr>
        <w:pStyle w:val="9"/>
        <w:numPr>
          <w:ilvl w:val="1"/>
          <w:numId w:val="160"/>
        </w:numPr>
        <w:rPr>
          <w:color w:val="auto"/>
          <w:highlight w:val="none"/>
        </w:rPr>
      </w:pPr>
      <w:r>
        <w:rPr>
          <w:color w:val="auto"/>
          <w:highlight w:val="none"/>
        </w:rPr>
        <w:t>管道套丝：采用套丝板、套管机，根据管外径选择相应的板牙，将管子用台虎钳或压力钳固定，再把绞板套在管端，先慢慢用力，套上扣后再均匀用力。套丝时应及时用毛刷涂抹机油，保证丝扣完整不断扣、乱扣，用套管机套丝时，应注意随套随浇冷却液。</w:t>
      </w:r>
    </w:p>
    <w:p>
      <w:pPr>
        <w:pStyle w:val="9"/>
        <w:numPr>
          <w:ilvl w:val="1"/>
          <w:numId w:val="160"/>
        </w:numPr>
        <w:rPr>
          <w:color w:val="auto"/>
          <w:highlight w:val="none"/>
        </w:rPr>
      </w:pPr>
      <w:r>
        <w:rPr>
          <w:color w:val="auto"/>
          <w:highlight w:val="none"/>
        </w:rPr>
        <w:t>管道弯曲：管径大于 32mm 的钢管须采用液压煨管机弯制，管径 25mm 以下的钢管采用手动煨管机弯制。钢管弯曲处不能出现凹凸和裂缝。</w:t>
      </w:r>
    </w:p>
    <w:p>
      <w:pPr>
        <w:pStyle w:val="9"/>
        <w:numPr>
          <w:ilvl w:val="1"/>
          <w:numId w:val="160"/>
        </w:numPr>
        <w:rPr>
          <w:color w:val="auto"/>
          <w:highlight w:val="none"/>
        </w:rPr>
      </w:pPr>
      <w:r>
        <w:rPr>
          <w:color w:val="auto"/>
          <w:highlight w:val="none"/>
        </w:rPr>
        <w:t>支吊架固定：固定点的间距应均匀，固定点与终端、转弯中点、电气器具或接线盒边缘的距离为 300mm，固定点之间的最大距离应满足规范要求。</w:t>
      </w:r>
    </w:p>
    <w:p>
      <w:pPr>
        <w:pStyle w:val="9"/>
        <w:numPr>
          <w:ilvl w:val="1"/>
          <w:numId w:val="160"/>
        </w:numPr>
        <w:rPr>
          <w:color w:val="auto"/>
          <w:highlight w:val="none"/>
        </w:rPr>
      </w:pPr>
      <w:r>
        <w:rPr>
          <w:color w:val="auto"/>
          <w:highlight w:val="none"/>
        </w:rPr>
        <w:t>管路敷设：钢管采用丝扣连接，套丝后要对管口进行打磨、清扫，施工过程中要尽量减少弯头。电气管路敷设时有下列情况时须加装接线盒：直线段超过 30m；有一个转弯且超过 20m；有两个转弯且超过 15m；有 3 个转弯且超过 8m。钢管进出线盒处，用锁紧螺母固定牢固。管子进入箱盒螺纹应外露 2~3 扣，并且一孔一管，严禁将其它敲落孔敲掉。多根管子进入配电箱时，应排列整齐，进入箱内的管口高度一致。管路经金属软管引入设备时，金属软管的长度不得超过 0.8m。</w:t>
      </w:r>
    </w:p>
    <w:p>
      <w:pPr>
        <w:pStyle w:val="9"/>
        <w:numPr>
          <w:ilvl w:val="1"/>
          <w:numId w:val="160"/>
        </w:numPr>
        <w:rPr>
          <w:color w:val="auto"/>
          <w:highlight w:val="none"/>
        </w:rPr>
      </w:pPr>
      <w:r>
        <w:rPr>
          <w:color w:val="auto"/>
          <w:highlight w:val="none"/>
        </w:rPr>
        <w:t>管路接地：管路的接地采用接地卡与专用接地线。</w:t>
      </w:r>
    </w:p>
    <w:p>
      <w:pPr>
        <w:pStyle w:val="9"/>
        <w:numPr>
          <w:ilvl w:val="1"/>
          <w:numId w:val="160"/>
        </w:numPr>
        <w:rPr>
          <w:color w:val="auto"/>
          <w:highlight w:val="none"/>
        </w:rPr>
      </w:pPr>
      <w:r>
        <w:rPr>
          <w:color w:val="auto"/>
          <w:highlight w:val="none"/>
        </w:rPr>
        <w:t>管路敷设方式：要求水平和垂直方向整齐排列，并以 U 型卡、鞍型夹予以牢固。固定间距不得超 1.2m。</w:t>
      </w:r>
    </w:p>
    <w:p>
      <w:pPr>
        <w:pStyle w:val="8"/>
        <w:numPr>
          <w:ilvl w:val="0"/>
          <w:numId w:val="107"/>
        </w:numPr>
        <w:rPr>
          <w:color w:val="auto"/>
          <w:highlight w:val="none"/>
        </w:rPr>
      </w:pPr>
      <w:r>
        <w:rPr>
          <w:color w:val="auto"/>
          <w:highlight w:val="none"/>
        </w:rPr>
        <w:t>管路施工关键部位技术要求</w:t>
      </w:r>
    </w:p>
    <w:p>
      <w:pPr>
        <w:pStyle w:val="9"/>
        <w:numPr>
          <w:ilvl w:val="1"/>
          <w:numId w:val="161"/>
        </w:numPr>
        <w:rPr>
          <w:color w:val="auto"/>
          <w:highlight w:val="none"/>
        </w:rPr>
      </w:pPr>
      <w:r>
        <w:rPr>
          <w:color w:val="auto"/>
          <w:highlight w:val="none"/>
        </w:rPr>
        <w:t>钢管与设备的连接：钢管与设备连接时，电线、电缆与设备的连接采用普利卡保护管。对室外或室内潮湿场所，则采用防水型普利卡保护管及防水型连接器。普利卡保护管与钢制电线管、各类箱盒的连接时，均应采用其配套的专用附件。</w:t>
      </w:r>
    </w:p>
    <w:p>
      <w:pPr>
        <w:pStyle w:val="9"/>
        <w:numPr>
          <w:ilvl w:val="1"/>
          <w:numId w:val="161"/>
        </w:numPr>
        <w:rPr>
          <w:color w:val="auto"/>
          <w:highlight w:val="none"/>
        </w:rPr>
      </w:pPr>
      <w:r>
        <w:rPr>
          <w:color w:val="auto"/>
          <w:highlight w:val="none"/>
        </w:rPr>
        <w:t>管道穿防火墙：电线管穿过防火墙时要采用防火封堵，管径大于 80 时， 距墙 1m 内的钢管应外涂防火涂料。</w:t>
      </w:r>
    </w:p>
    <w:p>
      <w:pPr>
        <w:pStyle w:val="7"/>
        <w:rPr>
          <w:color w:val="auto"/>
          <w:highlight w:val="none"/>
        </w:rPr>
      </w:pPr>
      <w:r>
        <w:rPr>
          <w:color w:val="auto"/>
          <w:highlight w:val="none"/>
        </w:rPr>
        <w:t>管内穿线</w:t>
      </w:r>
    </w:p>
    <w:p>
      <w:pPr>
        <w:pStyle w:val="8"/>
        <w:numPr>
          <w:ilvl w:val="0"/>
          <w:numId w:val="162"/>
        </w:numPr>
        <w:rPr>
          <w:color w:val="auto"/>
          <w:highlight w:val="none"/>
        </w:rPr>
      </w:pPr>
      <w:r>
        <w:rPr>
          <w:color w:val="auto"/>
          <w:highlight w:val="none"/>
        </w:rPr>
        <w:t>材料要求</w:t>
      </w:r>
    </w:p>
    <w:p>
      <w:pPr>
        <w:pStyle w:val="9"/>
        <w:numPr>
          <w:ilvl w:val="1"/>
          <w:numId w:val="163"/>
        </w:numPr>
        <w:rPr>
          <w:color w:val="auto"/>
          <w:highlight w:val="none"/>
        </w:rPr>
      </w:pPr>
      <w:r>
        <w:rPr>
          <w:color w:val="auto"/>
          <w:highlight w:val="none"/>
        </w:rPr>
        <w:t>绝缘导线：导线的型号、规格必须符合设计要求，并有产品出厂合格证。</w:t>
      </w:r>
    </w:p>
    <w:p>
      <w:pPr>
        <w:pStyle w:val="9"/>
        <w:numPr>
          <w:ilvl w:val="1"/>
          <w:numId w:val="163"/>
        </w:numPr>
        <w:rPr>
          <w:color w:val="auto"/>
          <w:highlight w:val="none"/>
        </w:rPr>
      </w:pPr>
      <w:r>
        <w:rPr>
          <w:color w:val="auto"/>
          <w:highlight w:val="none"/>
        </w:rPr>
        <w:t>镀锌铁丝或钢丝：应顺直无死弯、扭结等现象，并具有相应的机械拉力。</w:t>
      </w:r>
    </w:p>
    <w:p>
      <w:pPr>
        <w:pStyle w:val="8"/>
        <w:numPr>
          <w:ilvl w:val="0"/>
          <w:numId w:val="107"/>
        </w:numPr>
        <w:rPr>
          <w:color w:val="auto"/>
          <w:highlight w:val="none"/>
        </w:rPr>
      </w:pPr>
      <w:r>
        <w:rPr>
          <w:color w:val="auto"/>
          <w:highlight w:val="none"/>
        </w:rPr>
        <w:t>管内穿线及连接要求</w:t>
      </w:r>
    </w:p>
    <w:p>
      <w:pPr>
        <w:pStyle w:val="9"/>
        <w:numPr>
          <w:ilvl w:val="1"/>
          <w:numId w:val="0"/>
        </w:numPr>
        <w:ind w:left="1464"/>
        <w:rPr>
          <w:color w:val="auto"/>
          <w:highlight w:val="none"/>
        </w:rPr>
      </w:pPr>
      <w:r>
        <w:rPr>
          <w:color w:val="auto"/>
          <w:highlight w:val="none"/>
        </w:rPr>
        <w:t>电线管在穿线前，应首先检查各个管口的护口，保证护口齐全完整。当管路较长或转弯较多时，在穿线前向管内吹入适量的滑石粉。穿线时，两端的工人应配合协调一致。导线连接接头不能增加电阻值，不能降低原机械强度及原绝缘强度。用接线钮连接线时, 6mm²及以下的导线把外露的线芯对齐按顺时针方向拧绞，在线芯的 12mm 处剪去前端，然后选择相应的接线钮按顺时针方向拧紧。要把导线的绝缘部分拧入接线钮的上端护套内。</w:t>
      </w:r>
    </w:p>
    <w:p>
      <w:pPr>
        <w:pStyle w:val="8"/>
        <w:numPr>
          <w:ilvl w:val="0"/>
          <w:numId w:val="107"/>
        </w:numPr>
        <w:rPr>
          <w:color w:val="auto"/>
          <w:highlight w:val="none"/>
        </w:rPr>
      </w:pPr>
      <w:r>
        <w:rPr>
          <w:color w:val="auto"/>
          <w:highlight w:val="none"/>
        </w:rPr>
        <w:t>线路检查及绝缘测试要求</w:t>
      </w:r>
    </w:p>
    <w:p>
      <w:pPr>
        <w:pStyle w:val="9"/>
        <w:numPr>
          <w:ilvl w:val="1"/>
          <w:numId w:val="0"/>
        </w:numPr>
        <w:ind w:left="1464"/>
        <w:rPr>
          <w:color w:val="auto"/>
          <w:highlight w:val="none"/>
        </w:rPr>
      </w:pPr>
      <w:r>
        <w:rPr>
          <w:color w:val="auto"/>
          <w:highlight w:val="none"/>
        </w:rPr>
        <w:t>穿线后，应按规范及质量验评标准进行自检互检，不符合规定时应立即纠正， 检查导线的规格和根数，检查无误后再进行绝缘测试。设备未安装进行线路 绝缘测试时，应将干线和支线分开，测试时应及时进行记录。设备全部安装 送电前进行测试时，应先将线路的开关、仪表、设备等全部置于断开位置， 绝缘测试无误后再进行送电试运行。绝缘电阻值应符合规范和设计的要求。</w:t>
      </w:r>
    </w:p>
    <w:p>
      <w:pPr>
        <w:pStyle w:val="7"/>
        <w:rPr>
          <w:color w:val="auto"/>
          <w:highlight w:val="none"/>
        </w:rPr>
      </w:pPr>
      <w:r>
        <w:rPr>
          <w:color w:val="auto"/>
          <w:highlight w:val="none"/>
        </w:rPr>
        <w:t>矿物绝缘电缆（BTTZ）敷设</w:t>
      </w:r>
    </w:p>
    <w:p>
      <w:pPr>
        <w:pStyle w:val="8"/>
        <w:numPr>
          <w:ilvl w:val="0"/>
          <w:numId w:val="164"/>
        </w:numPr>
        <w:rPr>
          <w:color w:val="auto"/>
          <w:highlight w:val="none"/>
        </w:rPr>
      </w:pPr>
      <w:r>
        <w:rPr>
          <w:color w:val="auto"/>
          <w:highlight w:val="none"/>
        </w:rPr>
        <w:t>按照《国家建筑标准设计图集》规范要求敷设；</w:t>
      </w:r>
    </w:p>
    <w:p>
      <w:pPr>
        <w:pStyle w:val="8"/>
        <w:numPr>
          <w:ilvl w:val="0"/>
          <w:numId w:val="107"/>
        </w:numPr>
        <w:rPr>
          <w:color w:val="auto"/>
          <w:highlight w:val="none"/>
        </w:rPr>
      </w:pPr>
      <w:r>
        <w:rPr>
          <w:color w:val="auto"/>
          <w:highlight w:val="none"/>
        </w:rPr>
        <w:t>电缆敷设时，其固定点之间的间距应满足下表要求：</w:t>
      </w:r>
    </w:p>
    <w:p>
      <w:pPr>
        <w:pStyle w:val="22"/>
        <w:rPr>
          <w:rFonts w:eastAsia="黑体"/>
          <w:color w:val="auto"/>
          <w:highlight w:val="none"/>
          <w:lang w:eastAsia="zh-CN"/>
        </w:rPr>
      </w:pPr>
      <w:r>
        <w:rPr>
          <w:color w:val="auto"/>
          <w:highlight w:val="none"/>
          <w:lang w:eastAsia="zh-CN"/>
        </w:rPr>
        <w:t xml:space="preserve">表 </w:t>
      </w:r>
      <w:r>
        <w:rPr>
          <w:color w:val="auto"/>
          <w:highlight w:val="none"/>
        </w:rPr>
        <w:fldChar w:fldCharType="begin"/>
      </w:r>
      <w:r>
        <w:rPr>
          <w:color w:val="auto"/>
          <w:highlight w:val="none"/>
          <w:lang w:eastAsia="zh-CN"/>
        </w:rPr>
        <w:instrText xml:space="preserve"> STYLEREF 1 \s </w:instrText>
      </w:r>
      <w:r>
        <w:rPr>
          <w:color w:val="auto"/>
          <w:highlight w:val="none"/>
        </w:rPr>
        <w:fldChar w:fldCharType="separate"/>
      </w:r>
      <w:r>
        <w:rPr>
          <w:color w:val="auto"/>
          <w:highlight w:val="none"/>
          <w:lang w:eastAsia="zh-CN"/>
        </w:rPr>
        <w:t>7</w:t>
      </w:r>
      <w:r>
        <w:rPr>
          <w:color w:val="auto"/>
          <w:highlight w:val="none"/>
        </w:rPr>
        <w:fldChar w:fldCharType="end"/>
      </w:r>
      <w:r>
        <w:rPr>
          <w:rFonts w:hint="eastAsia"/>
          <w:color w:val="auto"/>
          <w:highlight w:val="none"/>
          <w:lang w:eastAsia="zh-CN"/>
        </w:rPr>
        <w:t>-</w:t>
      </w:r>
      <w:r>
        <w:rPr>
          <w:color w:val="auto"/>
          <w:highlight w:val="none"/>
        </w:rPr>
        <w:fldChar w:fldCharType="begin"/>
      </w:r>
      <w:r>
        <w:rPr>
          <w:color w:val="auto"/>
          <w:highlight w:val="none"/>
          <w:lang w:eastAsia="zh-CN"/>
        </w:rPr>
        <w:instrText xml:space="preserve"> SEQ 表 \* ARABIC \s 1 </w:instrText>
      </w:r>
      <w:r>
        <w:rPr>
          <w:color w:val="auto"/>
          <w:highlight w:val="none"/>
        </w:rPr>
        <w:fldChar w:fldCharType="separate"/>
      </w:r>
      <w:r>
        <w:rPr>
          <w:color w:val="auto"/>
          <w:highlight w:val="none"/>
          <w:lang w:eastAsia="zh-CN"/>
        </w:rPr>
        <w:t>5</w:t>
      </w:r>
      <w:r>
        <w:rPr>
          <w:color w:val="auto"/>
          <w:highlight w:val="none"/>
        </w:rPr>
        <w:fldChar w:fldCharType="end"/>
      </w:r>
      <w:r>
        <w:rPr>
          <w:rFonts w:hint="eastAsia"/>
          <w:color w:val="auto"/>
          <w:highlight w:val="none"/>
          <w:lang w:eastAsia="zh-CN"/>
        </w:rPr>
        <w:t xml:space="preserve"> 电缆固定点间距与电缆直径的关系</w:t>
      </w:r>
    </w:p>
    <w:tbl>
      <w:tblPr>
        <w:tblStyle w:val="86"/>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68"/>
        <w:gridCol w:w="998"/>
        <w:gridCol w:w="1612"/>
        <w:gridCol w:w="1613"/>
        <w:gridCol w:w="16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32" w:type="pct"/>
            <w:gridSpan w:val="2"/>
          </w:tcPr>
          <w:p>
            <w:pPr>
              <w:jc w:val="center"/>
              <w:rPr>
                <w:color w:val="auto"/>
                <w:kern w:val="2"/>
                <w:highlight w:val="none"/>
              </w:rPr>
            </w:pPr>
            <w:r>
              <w:rPr>
                <w:rFonts w:hint="eastAsia"/>
                <w:color w:val="auto"/>
                <w:kern w:val="2"/>
                <w:highlight w:val="none"/>
                <w:lang w:eastAsia="zh-CN"/>
              </w:rPr>
              <w:t>电缆直径（mm）</w:t>
            </w:r>
          </w:p>
        </w:tc>
        <w:tc>
          <w:tcPr>
            <w:tcW w:w="822" w:type="pct"/>
          </w:tcPr>
          <w:p>
            <w:pPr>
              <w:jc w:val="center"/>
              <w:rPr>
                <w:color w:val="auto"/>
                <w:kern w:val="2"/>
                <w:highlight w:val="none"/>
                <w:lang w:eastAsia="zh-CN"/>
              </w:rPr>
            </w:pPr>
            <w:r>
              <w:rPr>
                <w:rFonts w:hint="eastAsia"/>
                <w:color w:val="auto"/>
                <w:kern w:val="2"/>
                <w:highlight w:val="none"/>
                <w:lang w:eastAsia="zh-CN"/>
              </w:rPr>
              <w:t>D&lt;9</w:t>
            </w:r>
          </w:p>
        </w:tc>
        <w:tc>
          <w:tcPr>
            <w:tcW w:w="822" w:type="pct"/>
          </w:tcPr>
          <w:p>
            <w:pPr>
              <w:jc w:val="center"/>
              <w:rPr>
                <w:color w:val="auto"/>
                <w:kern w:val="2"/>
                <w:highlight w:val="none"/>
                <w:lang w:eastAsia="zh-CN"/>
              </w:rPr>
            </w:pPr>
            <w:r>
              <w:rPr>
                <w:rFonts w:hint="eastAsia"/>
                <w:color w:val="auto"/>
                <w:kern w:val="2"/>
                <w:highlight w:val="none"/>
                <w:lang w:eastAsia="zh-CN"/>
              </w:rPr>
              <w:t>9≤D&lt;15</w:t>
            </w:r>
          </w:p>
        </w:tc>
        <w:tc>
          <w:tcPr>
            <w:tcW w:w="822" w:type="pct"/>
          </w:tcPr>
          <w:p>
            <w:pPr>
              <w:jc w:val="center"/>
              <w:rPr>
                <w:color w:val="auto"/>
                <w:kern w:val="2"/>
                <w:highlight w:val="none"/>
                <w:lang w:eastAsia="zh-CN"/>
              </w:rPr>
            </w:pPr>
            <w:r>
              <w:rPr>
                <w:rFonts w:hint="eastAsia"/>
                <w:color w:val="auto"/>
                <w:kern w:val="2"/>
                <w:highlight w:val="none"/>
                <w:lang w:eastAsia="zh-CN"/>
              </w:rPr>
              <w:t>D≥15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3" w:type="pct"/>
            <w:vMerge w:val="restart"/>
            <w:vAlign w:val="center"/>
          </w:tcPr>
          <w:p>
            <w:pPr>
              <w:jc w:val="center"/>
              <w:rPr>
                <w:color w:val="auto"/>
                <w:kern w:val="2"/>
                <w:highlight w:val="none"/>
                <w:lang w:eastAsia="zh-CN"/>
              </w:rPr>
            </w:pPr>
            <w:r>
              <w:rPr>
                <w:rFonts w:hint="eastAsia"/>
                <w:color w:val="auto"/>
                <w:kern w:val="2"/>
                <w:highlight w:val="none"/>
                <w:lang w:eastAsia="zh-CN"/>
              </w:rPr>
              <w:t>固定点之间的最大间距（mm）</w:t>
            </w:r>
          </w:p>
        </w:tc>
        <w:tc>
          <w:tcPr>
            <w:tcW w:w="508" w:type="pct"/>
          </w:tcPr>
          <w:p>
            <w:pPr>
              <w:jc w:val="center"/>
              <w:rPr>
                <w:color w:val="auto"/>
                <w:kern w:val="2"/>
                <w:highlight w:val="none"/>
                <w:lang w:eastAsia="zh-CN"/>
              </w:rPr>
            </w:pPr>
            <w:r>
              <w:rPr>
                <w:rFonts w:hint="eastAsia"/>
                <w:color w:val="auto"/>
                <w:kern w:val="2"/>
                <w:highlight w:val="none"/>
                <w:lang w:eastAsia="zh-CN"/>
              </w:rPr>
              <w:t>水平</w:t>
            </w:r>
          </w:p>
        </w:tc>
        <w:tc>
          <w:tcPr>
            <w:tcW w:w="822" w:type="pct"/>
          </w:tcPr>
          <w:p>
            <w:pPr>
              <w:jc w:val="center"/>
              <w:rPr>
                <w:color w:val="auto"/>
                <w:kern w:val="2"/>
                <w:highlight w:val="none"/>
                <w:lang w:eastAsia="zh-CN"/>
              </w:rPr>
            </w:pPr>
            <w:r>
              <w:rPr>
                <w:rFonts w:hint="eastAsia"/>
                <w:color w:val="auto"/>
                <w:kern w:val="2"/>
                <w:highlight w:val="none"/>
                <w:lang w:eastAsia="zh-CN"/>
              </w:rPr>
              <w:t>600</w:t>
            </w:r>
          </w:p>
        </w:tc>
        <w:tc>
          <w:tcPr>
            <w:tcW w:w="822" w:type="pct"/>
          </w:tcPr>
          <w:p>
            <w:pPr>
              <w:jc w:val="center"/>
              <w:rPr>
                <w:color w:val="auto"/>
                <w:kern w:val="2"/>
                <w:highlight w:val="none"/>
                <w:lang w:eastAsia="zh-CN"/>
              </w:rPr>
            </w:pPr>
            <w:r>
              <w:rPr>
                <w:rFonts w:hint="eastAsia"/>
                <w:color w:val="auto"/>
                <w:kern w:val="2"/>
                <w:highlight w:val="none"/>
                <w:lang w:eastAsia="zh-CN"/>
              </w:rPr>
              <w:t>900</w:t>
            </w:r>
          </w:p>
        </w:tc>
        <w:tc>
          <w:tcPr>
            <w:tcW w:w="822" w:type="pct"/>
          </w:tcPr>
          <w:p>
            <w:pPr>
              <w:jc w:val="center"/>
              <w:rPr>
                <w:color w:val="auto"/>
                <w:kern w:val="2"/>
                <w:highlight w:val="none"/>
                <w:lang w:eastAsia="zh-CN"/>
              </w:rPr>
            </w:pPr>
            <w:r>
              <w:rPr>
                <w:rFonts w:hint="eastAsia"/>
                <w:color w:val="auto"/>
                <w:kern w:val="2"/>
                <w:highlight w:val="none"/>
                <w:lang w:eastAsia="zh-CN"/>
              </w:rPr>
              <w:t>1500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3" w:type="pct"/>
            <w:vMerge w:val="continue"/>
          </w:tcPr>
          <w:p>
            <w:pPr>
              <w:rPr>
                <w:color w:val="auto"/>
                <w:kern w:val="2"/>
                <w:highlight w:val="none"/>
              </w:rPr>
            </w:pPr>
          </w:p>
        </w:tc>
        <w:tc>
          <w:tcPr>
            <w:tcW w:w="508" w:type="pct"/>
          </w:tcPr>
          <w:p>
            <w:pPr>
              <w:jc w:val="center"/>
              <w:rPr>
                <w:color w:val="auto"/>
                <w:kern w:val="2"/>
                <w:highlight w:val="none"/>
                <w:lang w:eastAsia="zh-CN"/>
              </w:rPr>
            </w:pPr>
            <w:r>
              <w:rPr>
                <w:rFonts w:hint="eastAsia"/>
                <w:color w:val="auto"/>
                <w:kern w:val="2"/>
                <w:highlight w:val="none"/>
                <w:lang w:eastAsia="zh-CN"/>
              </w:rPr>
              <w:t>垂直</w:t>
            </w:r>
          </w:p>
        </w:tc>
        <w:tc>
          <w:tcPr>
            <w:tcW w:w="822" w:type="pct"/>
          </w:tcPr>
          <w:p>
            <w:pPr>
              <w:jc w:val="center"/>
              <w:rPr>
                <w:color w:val="auto"/>
                <w:kern w:val="2"/>
                <w:highlight w:val="none"/>
                <w:lang w:eastAsia="zh-CN"/>
              </w:rPr>
            </w:pPr>
            <w:r>
              <w:rPr>
                <w:rFonts w:hint="eastAsia"/>
                <w:color w:val="auto"/>
                <w:kern w:val="2"/>
                <w:highlight w:val="none"/>
                <w:lang w:eastAsia="zh-CN"/>
              </w:rPr>
              <w:t>800</w:t>
            </w:r>
          </w:p>
        </w:tc>
        <w:tc>
          <w:tcPr>
            <w:tcW w:w="822" w:type="pct"/>
          </w:tcPr>
          <w:p>
            <w:pPr>
              <w:jc w:val="center"/>
              <w:rPr>
                <w:color w:val="auto"/>
                <w:kern w:val="2"/>
                <w:highlight w:val="none"/>
                <w:lang w:eastAsia="zh-CN"/>
              </w:rPr>
            </w:pPr>
            <w:r>
              <w:rPr>
                <w:rFonts w:hint="eastAsia"/>
                <w:color w:val="auto"/>
                <w:kern w:val="2"/>
                <w:highlight w:val="none"/>
                <w:lang w:eastAsia="zh-CN"/>
              </w:rPr>
              <w:t>1200</w:t>
            </w:r>
          </w:p>
        </w:tc>
        <w:tc>
          <w:tcPr>
            <w:tcW w:w="822" w:type="pct"/>
          </w:tcPr>
          <w:p>
            <w:pPr>
              <w:jc w:val="center"/>
              <w:rPr>
                <w:color w:val="auto"/>
                <w:kern w:val="2"/>
                <w:highlight w:val="none"/>
                <w:lang w:eastAsia="zh-CN"/>
              </w:rPr>
            </w:pPr>
            <w:r>
              <w:rPr>
                <w:rFonts w:hint="eastAsia"/>
                <w:color w:val="auto"/>
                <w:kern w:val="2"/>
                <w:highlight w:val="none"/>
                <w:lang w:eastAsia="zh-CN"/>
              </w:rPr>
              <w:t>2000</w:t>
            </w:r>
          </w:p>
        </w:tc>
      </w:tr>
    </w:tbl>
    <w:p>
      <w:pPr>
        <w:pStyle w:val="8"/>
        <w:numPr>
          <w:ilvl w:val="0"/>
          <w:numId w:val="107"/>
        </w:numPr>
        <w:rPr>
          <w:color w:val="auto"/>
          <w:highlight w:val="none"/>
        </w:rPr>
      </w:pPr>
      <w:r>
        <w:rPr>
          <w:color w:val="auto"/>
          <w:highlight w:val="none"/>
        </w:rPr>
        <w:t>在明敷部位，如果相同走向的电缆大、中、小规格都有，从整齐、美观方面考虑，可按最小规格电缆标准要求固定，也可分档距固定。当电缆倾斜敷设时，电缆与垂直方向成 30°及以下时，按垂直间距固定；大于 30°时，按水平间距固定。</w:t>
      </w:r>
    </w:p>
    <w:p>
      <w:pPr>
        <w:pStyle w:val="8"/>
        <w:numPr>
          <w:ilvl w:val="0"/>
          <w:numId w:val="107"/>
        </w:numPr>
        <w:rPr>
          <w:color w:val="auto"/>
          <w:highlight w:val="none"/>
        </w:rPr>
      </w:pPr>
      <w:r>
        <w:rPr>
          <w:color w:val="auto"/>
          <w:highlight w:val="none"/>
        </w:rPr>
        <w:t>计算敷设电缆所需长度时，应考虑留有不少于 1%的余量，各种敷设方式也可按每米一个固定点固定。</w:t>
      </w:r>
    </w:p>
    <w:p>
      <w:pPr>
        <w:pStyle w:val="8"/>
        <w:numPr>
          <w:ilvl w:val="0"/>
          <w:numId w:val="107"/>
        </w:numPr>
        <w:rPr>
          <w:color w:val="auto"/>
          <w:highlight w:val="none"/>
        </w:rPr>
      </w:pPr>
      <w:r>
        <w:rPr>
          <w:color w:val="auto"/>
          <w:highlight w:val="none"/>
        </w:rPr>
        <w:t>电缆敷设时，在转弯处、中间联接器两侧，有条件固定的应加以固定。</w:t>
      </w:r>
    </w:p>
    <w:p>
      <w:pPr>
        <w:pStyle w:val="8"/>
        <w:numPr>
          <w:ilvl w:val="0"/>
          <w:numId w:val="107"/>
        </w:numPr>
        <w:rPr>
          <w:color w:val="auto"/>
          <w:highlight w:val="none"/>
        </w:rPr>
      </w:pPr>
      <w:r>
        <w:rPr>
          <w:color w:val="auto"/>
          <w:highlight w:val="none"/>
        </w:rPr>
        <w:t>单芯电缆敷设时，每路电缆之间留有不少于电缆外径的 2 倍间隙，如不留间隙，则应考虑载流量减少系数。</w:t>
      </w:r>
    </w:p>
    <w:p>
      <w:pPr>
        <w:pStyle w:val="8"/>
        <w:numPr>
          <w:ilvl w:val="0"/>
          <w:numId w:val="107"/>
        </w:numPr>
        <w:rPr>
          <w:color w:val="auto"/>
          <w:highlight w:val="none"/>
        </w:rPr>
      </w:pPr>
      <w:r>
        <w:rPr>
          <w:color w:val="auto"/>
          <w:highlight w:val="none"/>
        </w:rPr>
        <w:t>对电缆在运行中可能遭受机械损伤的部位，应采取适当的保护措施。</w:t>
      </w:r>
    </w:p>
    <w:p>
      <w:pPr>
        <w:pStyle w:val="8"/>
        <w:numPr>
          <w:ilvl w:val="0"/>
          <w:numId w:val="107"/>
        </w:numPr>
        <w:rPr>
          <w:color w:val="auto"/>
          <w:highlight w:val="none"/>
        </w:rPr>
      </w:pPr>
      <w:r>
        <w:rPr>
          <w:color w:val="auto"/>
          <w:highlight w:val="none"/>
        </w:rPr>
        <w:t>单芯电缆敷设时，应逐根敷设，待每组布齐并矫直后，再做排列绑扎，绑扎间距以 1~1.5m 为宜。</w:t>
      </w:r>
    </w:p>
    <w:p>
      <w:pPr>
        <w:pStyle w:val="8"/>
        <w:numPr>
          <w:ilvl w:val="0"/>
          <w:numId w:val="107"/>
        </w:numPr>
        <w:rPr>
          <w:color w:val="auto"/>
          <w:highlight w:val="none"/>
        </w:rPr>
      </w:pPr>
      <w:r>
        <w:rPr>
          <w:color w:val="auto"/>
          <w:highlight w:val="none"/>
        </w:rPr>
        <w:t>当电缆在对铜护套有腐蚀作用的环境中敷设时，或在部分埋地或穿管敷设时，应采用有聚氯乙烯外护套的电缆。</w:t>
      </w:r>
    </w:p>
    <w:p>
      <w:pPr>
        <w:pStyle w:val="8"/>
        <w:numPr>
          <w:ilvl w:val="0"/>
          <w:numId w:val="107"/>
        </w:numPr>
        <w:rPr>
          <w:color w:val="auto"/>
          <w:highlight w:val="none"/>
        </w:rPr>
      </w:pPr>
      <w:r>
        <w:rPr>
          <w:color w:val="auto"/>
          <w:highlight w:val="none"/>
        </w:rPr>
        <w:t>单芯电缆不允许单独穿金属管道敷设。</w:t>
      </w:r>
    </w:p>
    <w:p>
      <w:pPr>
        <w:pStyle w:val="8"/>
        <w:numPr>
          <w:ilvl w:val="0"/>
          <w:numId w:val="107"/>
        </w:numPr>
        <w:rPr>
          <w:color w:val="auto"/>
          <w:highlight w:val="none"/>
        </w:rPr>
      </w:pPr>
      <w:r>
        <w:rPr>
          <w:color w:val="auto"/>
          <w:highlight w:val="none"/>
        </w:rPr>
        <w:t>在布线过程中，电缆锯断后应立即对其端部进行临时性封端。</w:t>
      </w:r>
    </w:p>
    <w:p>
      <w:pPr>
        <w:pStyle w:val="8"/>
        <w:numPr>
          <w:ilvl w:val="0"/>
          <w:numId w:val="107"/>
        </w:numPr>
        <w:rPr>
          <w:color w:val="auto"/>
          <w:highlight w:val="none"/>
        </w:rPr>
      </w:pPr>
      <w:r>
        <w:rPr>
          <w:color w:val="auto"/>
          <w:highlight w:val="none"/>
        </w:rPr>
        <w:t>电缆终端、中间联接器、敷设配件及施工专用工具应由电缆生产厂家配套供应。</w:t>
      </w:r>
    </w:p>
    <w:p>
      <w:pPr>
        <w:pStyle w:val="8"/>
        <w:numPr>
          <w:ilvl w:val="0"/>
          <w:numId w:val="107"/>
        </w:numPr>
        <w:rPr>
          <w:color w:val="auto"/>
          <w:highlight w:val="none"/>
        </w:rPr>
      </w:pPr>
      <w:r>
        <w:rPr>
          <w:color w:val="auto"/>
          <w:highlight w:val="none"/>
        </w:rPr>
        <w:t>电缆终端、中间联接器的安装，应严格按照电缆生产厂家推荐的安装工艺、规格和规范施工。</w:t>
      </w:r>
    </w:p>
    <w:p>
      <w:pPr>
        <w:pStyle w:val="8"/>
        <w:numPr>
          <w:ilvl w:val="0"/>
          <w:numId w:val="107"/>
        </w:numPr>
        <w:rPr>
          <w:color w:val="auto"/>
          <w:highlight w:val="none"/>
        </w:rPr>
      </w:pPr>
      <w:r>
        <w:rPr>
          <w:color w:val="auto"/>
          <w:highlight w:val="none"/>
        </w:rPr>
        <w:t>由于电缆的绝缘材料（氧化镁）在空气中易吸潮，施工时应做好防潮措施。当发现有潮气侵入电缆端部，可剪去受潮段；也可以用喷灯火焰直接对电缆受潮段进行加热驱潮，必须将火焰移向电缆终端，直到用 1000V 兆欧表检测电缆的绝缘电阻达到 200MΩ 以上，才能进行安装终端和中间联接器。</w:t>
      </w:r>
    </w:p>
    <w:p>
      <w:pPr>
        <w:pStyle w:val="8"/>
        <w:numPr>
          <w:ilvl w:val="0"/>
          <w:numId w:val="107"/>
        </w:numPr>
        <w:rPr>
          <w:color w:val="auto"/>
          <w:highlight w:val="none"/>
        </w:rPr>
      </w:pPr>
      <w:r>
        <w:rPr>
          <w:color w:val="auto"/>
          <w:highlight w:val="none"/>
        </w:rPr>
        <w:t>在终端、中间联接器的安装过程中，要多次及时的测量电缆的绝缘电阻值， 因安装时电缆受潮，或金属碎屑未清除干净，均可能造成绝缘不合格。</w:t>
      </w:r>
    </w:p>
    <w:p>
      <w:pPr>
        <w:pStyle w:val="8"/>
        <w:numPr>
          <w:ilvl w:val="0"/>
          <w:numId w:val="107"/>
        </w:numPr>
        <w:rPr>
          <w:color w:val="auto"/>
          <w:highlight w:val="none"/>
        </w:rPr>
      </w:pPr>
      <w:r>
        <w:rPr>
          <w:color w:val="auto"/>
          <w:highlight w:val="none"/>
        </w:rPr>
        <w:t>电缆终端、中间联接器的导线连接，可选用围压、点压、螺母压装、螺丝压接、压板压接等多种连接方式。</w:t>
      </w:r>
    </w:p>
    <w:p>
      <w:pPr>
        <w:pStyle w:val="8"/>
        <w:numPr>
          <w:ilvl w:val="0"/>
          <w:numId w:val="107"/>
        </w:numPr>
        <w:rPr>
          <w:color w:val="auto"/>
          <w:highlight w:val="none"/>
        </w:rPr>
      </w:pPr>
      <w:r>
        <w:rPr>
          <w:color w:val="auto"/>
          <w:highlight w:val="none"/>
        </w:rPr>
        <w:t>电缆的终端应牢固可靠地固定在电气设备上。</w:t>
      </w:r>
    </w:p>
    <w:p>
      <w:pPr>
        <w:pStyle w:val="8"/>
        <w:numPr>
          <w:ilvl w:val="0"/>
          <w:numId w:val="107"/>
        </w:numPr>
        <w:rPr>
          <w:color w:val="auto"/>
          <w:highlight w:val="none"/>
        </w:rPr>
      </w:pPr>
      <w:r>
        <w:rPr>
          <w:color w:val="auto"/>
          <w:highlight w:val="none"/>
        </w:rPr>
        <w:t>电缆平行敷设时，如有多支中间联接器，其位置应相互错开。</w:t>
      </w:r>
    </w:p>
    <w:p>
      <w:pPr>
        <w:pStyle w:val="8"/>
        <w:numPr>
          <w:ilvl w:val="0"/>
          <w:numId w:val="107"/>
        </w:numPr>
        <w:rPr>
          <w:color w:val="auto"/>
          <w:highlight w:val="none"/>
        </w:rPr>
      </w:pPr>
      <w:r>
        <w:rPr>
          <w:color w:val="auto"/>
          <w:highlight w:val="none"/>
        </w:rPr>
        <w:t>终端的芯线相序应连接正确，色标明显。</w:t>
      </w:r>
    </w:p>
    <w:p>
      <w:pPr>
        <w:pStyle w:val="8"/>
        <w:numPr>
          <w:ilvl w:val="0"/>
          <w:numId w:val="107"/>
        </w:numPr>
        <w:rPr>
          <w:color w:val="auto"/>
          <w:highlight w:val="none"/>
        </w:rPr>
      </w:pPr>
      <w:r>
        <w:rPr>
          <w:color w:val="auto"/>
          <w:highlight w:val="none"/>
        </w:rPr>
        <w:t>每路电缆的终端、中间联接器安装施工完后，应经绝缘电阻测试达 100MΩ 以上才能交付使用。</w:t>
      </w:r>
    </w:p>
    <w:p>
      <w:pPr>
        <w:pStyle w:val="7"/>
        <w:rPr>
          <w:color w:val="auto"/>
          <w:highlight w:val="none"/>
        </w:rPr>
      </w:pPr>
      <w:r>
        <w:rPr>
          <w:color w:val="auto"/>
          <w:highlight w:val="none"/>
        </w:rPr>
        <w:t>电缆敷设</w:t>
      </w:r>
    </w:p>
    <w:p>
      <w:pPr>
        <w:pStyle w:val="8"/>
        <w:numPr>
          <w:ilvl w:val="0"/>
          <w:numId w:val="165"/>
        </w:numPr>
        <w:rPr>
          <w:color w:val="auto"/>
          <w:highlight w:val="none"/>
        </w:rPr>
      </w:pPr>
      <w:r>
        <w:rPr>
          <w:color w:val="auto"/>
          <w:highlight w:val="none"/>
        </w:rPr>
        <w:t>对敷设距离较长，难度较大，宜采用机械敷设。电缆敷设线路较短，可采用人力敷设。</w:t>
      </w:r>
    </w:p>
    <w:p>
      <w:pPr>
        <w:pStyle w:val="8"/>
        <w:numPr>
          <w:ilvl w:val="0"/>
          <w:numId w:val="107"/>
        </w:numPr>
        <w:rPr>
          <w:color w:val="auto"/>
          <w:highlight w:val="none"/>
        </w:rPr>
      </w:pPr>
      <w:r>
        <w:rPr>
          <w:color w:val="auto"/>
          <w:highlight w:val="none"/>
        </w:rPr>
        <w:t>桥架内电缆应排列整齐，固定点一致。在水平方向以尼龙带扣将电缆束牢。在垂直方向敷设的电缆上以批准的电缆夹或鞍型夹固定。不得将一个以上的单芯电缆回路或一回以上多芯电缆敷设在一起。单芯电缆回路或多芯电缆间至少相隔等于相邻电缆群中最大电缆直径之两倍。电缆穿过楼板和墙壁处须以批准的防火材料将电缆孔封闭，以保持与所穿过的楼板和墙壁相同的耐火等级。</w:t>
      </w:r>
    </w:p>
    <w:p>
      <w:pPr>
        <w:pStyle w:val="8"/>
        <w:numPr>
          <w:ilvl w:val="0"/>
          <w:numId w:val="107"/>
        </w:numPr>
        <w:rPr>
          <w:color w:val="auto"/>
          <w:highlight w:val="none"/>
        </w:rPr>
      </w:pPr>
      <w:r>
        <w:rPr>
          <w:color w:val="auto"/>
          <w:highlight w:val="none"/>
        </w:rPr>
        <w:t>电缆头制作</w:t>
      </w:r>
    </w:p>
    <w:p>
      <w:pPr>
        <w:pStyle w:val="9"/>
        <w:numPr>
          <w:ilvl w:val="1"/>
          <w:numId w:val="0"/>
        </w:numPr>
        <w:ind w:left="1464"/>
        <w:rPr>
          <w:color w:val="auto"/>
          <w:highlight w:val="none"/>
        </w:rPr>
      </w:pPr>
      <w:r>
        <w:rPr>
          <w:color w:val="auto"/>
          <w:highlight w:val="none"/>
        </w:rPr>
        <w:t>所有接线端子均采用紧压铜端子，端子与电缆线芯截面相匹配，铜端子的压接采用手动式液压压接钳，采用热缩头、热缩管作为电缆头绝缘保护。电缆终端制作好，与配电柜连接前要进行绝缘测试，以确认绝缘强度符合要求。同时电缆要作好回路标注和相色标记。电缆的裁减长度要合适，保证电缆与配电柜母线或接线端连接后不产生过大的机械应力。连接前，对搭接面进行清洁处理，同时涂抹适量的电力复合脂，确保连接和导电性能可靠。</w:t>
      </w:r>
    </w:p>
    <w:p>
      <w:pPr>
        <w:pStyle w:val="8"/>
        <w:numPr>
          <w:ilvl w:val="0"/>
          <w:numId w:val="107"/>
        </w:numPr>
        <w:rPr>
          <w:color w:val="auto"/>
          <w:highlight w:val="none"/>
        </w:rPr>
      </w:pPr>
      <w:r>
        <w:rPr>
          <w:color w:val="auto"/>
          <w:highlight w:val="none"/>
        </w:rPr>
        <w:t>电缆的标识</w:t>
      </w:r>
    </w:p>
    <w:p>
      <w:pPr>
        <w:pStyle w:val="9"/>
        <w:numPr>
          <w:ilvl w:val="1"/>
          <w:numId w:val="0"/>
        </w:numPr>
        <w:ind w:left="1464"/>
        <w:rPr>
          <w:color w:val="auto"/>
          <w:highlight w:val="none"/>
        </w:rPr>
      </w:pPr>
      <w:r>
        <w:rPr>
          <w:color w:val="auto"/>
          <w:highlight w:val="none"/>
        </w:rPr>
        <w:t>沿电缆桥架敷设的电缆在其两端、拐弯处、交叉处应挂标志牌，直线段每间隔 20m 增设标志牌。电缆标识须由椭圆形的 PVC 标记，穿标记带及尼龙扎带组成。整个标志须能耐 70</w:t>
      </w:r>
      <w:r>
        <w:rPr>
          <w:rFonts w:hint="eastAsia"/>
          <w:color w:val="auto"/>
          <w:highlight w:val="none"/>
        </w:rPr>
        <w:t>℃</w:t>
      </w:r>
      <w:r>
        <w:rPr>
          <w:color w:val="auto"/>
          <w:highlight w:val="none"/>
        </w:rPr>
        <w:t>的温度。挂设应牢固。标志牌上应注明电缆编号、规格、型号、电压等级及起始位置。</w:t>
      </w:r>
    </w:p>
    <w:p>
      <w:pPr>
        <w:pStyle w:val="7"/>
        <w:rPr>
          <w:color w:val="auto"/>
          <w:highlight w:val="none"/>
        </w:rPr>
      </w:pPr>
      <w:r>
        <w:rPr>
          <w:color w:val="auto"/>
          <w:highlight w:val="none"/>
        </w:rPr>
        <w:t>设备接线</w:t>
      </w:r>
    </w:p>
    <w:p>
      <w:pPr>
        <w:pStyle w:val="8"/>
        <w:numPr>
          <w:ilvl w:val="0"/>
          <w:numId w:val="166"/>
        </w:numPr>
        <w:rPr>
          <w:color w:val="auto"/>
          <w:highlight w:val="none"/>
        </w:rPr>
      </w:pPr>
      <w:r>
        <w:rPr>
          <w:color w:val="auto"/>
          <w:highlight w:val="none"/>
        </w:rPr>
        <w:t>配电系统接线应按图施工，接线正确；导线与电器元件间的连接应牢固可靠； 箱、柜内的导线不应有接头，导线芯线应无损伤。</w:t>
      </w:r>
    </w:p>
    <w:p>
      <w:pPr>
        <w:pStyle w:val="8"/>
        <w:numPr>
          <w:ilvl w:val="0"/>
          <w:numId w:val="107"/>
        </w:numPr>
        <w:rPr>
          <w:color w:val="auto"/>
          <w:highlight w:val="none"/>
        </w:rPr>
      </w:pPr>
      <w:r>
        <w:rPr>
          <w:color w:val="auto"/>
          <w:highlight w:val="none"/>
        </w:rPr>
        <w:t>电缆芯线和所配导线的端部均应标明其回路编号，编号应正确，字迹清晰且不宜脱色；配线应整齐、清晰、美观，导线绝缘应良好，无损伤；每个接线端子的每侧接线宜为 1 根，不得超过 2 根；接线应设专用螺栓。</w:t>
      </w:r>
    </w:p>
    <w:p>
      <w:pPr>
        <w:pStyle w:val="8"/>
        <w:numPr>
          <w:ilvl w:val="0"/>
          <w:numId w:val="107"/>
        </w:numPr>
        <w:rPr>
          <w:color w:val="auto"/>
          <w:highlight w:val="none"/>
        </w:rPr>
      </w:pPr>
      <w:r>
        <w:rPr>
          <w:color w:val="auto"/>
          <w:highlight w:val="none"/>
        </w:rPr>
        <w:t>引入箱、柜内的电缆及其芯线符合下列要求：引入箱、柜的电缆应排列整齐， 编号清晰，避免交叉，并固定牢固，不得使所接的端子排受到机械应力；箱、柜内的电缆芯线，应按垂直或水平有规律地配置，不得任意歪斜交叉连接。备用芯线长度应留有适当余量。</w:t>
      </w:r>
    </w:p>
    <w:p>
      <w:pPr>
        <w:pStyle w:val="8"/>
        <w:numPr>
          <w:ilvl w:val="0"/>
          <w:numId w:val="107"/>
        </w:numPr>
        <w:rPr>
          <w:color w:val="auto"/>
          <w:highlight w:val="none"/>
        </w:rPr>
      </w:pPr>
      <w:r>
        <w:rPr>
          <w:color w:val="auto"/>
          <w:highlight w:val="none"/>
        </w:rPr>
        <w:t>现场电气接线：灯具、插座、开关等的现场接线应严格按照施工规范要求进行，接线牢固、连接可靠。</w:t>
      </w:r>
    </w:p>
    <w:p>
      <w:pPr>
        <w:pStyle w:val="8"/>
        <w:numPr>
          <w:ilvl w:val="0"/>
          <w:numId w:val="107"/>
        </w:numPr>
        <w:rPr>
          <w:color w:val="auto"/>
          <w:highlight w:val="none"/>
        </w:rPr>
      </w:pPr>
      <w:r>
        <w:rPr>
          <w:color w:val="auto"/>
          <w:highlight w:val="none"/>
        </w:rPr>
        <w:t>控制电缆进出配电箱柜需设置橡胶防护胶套，防止划伤电缆、电线外径；</w:t>
      </w:r>
    </w:p>
    <w:p>
      <w:pPr>
        <w:pStyle w:val="8"/>
        <w:numPr>
          <w:ilvl w:val="0"/>
          <w:numId w:val="107"/>
        </w:numPr>
        <w:rPr>
          <w:color w:val="auto"/>
          <w:highlight w:val="none"/>
        </w:rPr>
      </w:pPr>
      <w:r>
        <w:rPr>
          <w:color w:val="auto"/>
          <w:highlight w:val="none"/>
        </w:rPr>
        <w:t>控制电缆在配电箱内配线整齐，绑扎成束，无绞接现象，回路编号、标识清晰。</w:t>
      </w:r>
    </w:p>
    <w:p>
      <w:pPr>
        <w:pStyle w:val="7"/>
        <w:rPr>
          <w:color w:val="auto"/>
          <w:highlight w:val="none"/>
        </w:rPr>
      </w:pPr>
      <w:r>
        <w:rPr>
          <w:color w:val="auto"/>
          <w:highlight w:val="none"/>
        </w:rPr>
        <w:t>电气工程的调试、试运行</w:t>
      </w:r>
    </w:p>
    <w:p>
      <w:pPr>
        <w:pStyle w:val="8"/>
        <w:numPr>
          <w:ilvl w:val="0"/>
          <w:numId w:val="167"/>
        </w:numPr>
        <w:rPr>
          <w:color w:val="auto"/>
          <w:highlight w:val="none"/>
        </w:rPr>
      </w:pPr>
      <w:r>
        <w:rPr>
          <w:color w:val="auto"/>
          <w:highlight w:val="none"/>
        </w:rPr>
        <w:t>动力系统安装调试</w:t>
      </w:r>
    </w:p>
    <w:p>
      <w:pPr>
        <w:pStyle w:val="9"/>
        <w:numPr>
          <w:ilvl w:val="1"/>
          <w:numId w:val="168"/>
        </w:numPr>
        <w:rPr>
          <w:color w:val="auto"/>
          <w:highlight w:val="none"/>
        </w:rPr>
      </w:pPr>
      <w:r>
        <w:rPr>
          <w:color w:val="auto"/>
          <w:highlight w:val="none"/>
        </w:rPr>
        <w:t>在封闭母线安装完毕，应进行下列检查：绝缘子的绝缘电阻测量和套管的绝缘电阻测量。</w:t>
      </w:r>
    </w:p>
    <w:p>
      <w:pPr>
        <w:pStyle w:val="9"/>
        <w:numPr>
          <w:ilvl w:val="1"/>
          <w:numId w:val="75"/>
        </w:numPr>
        <w:rPr>
          <w:color w:val="auto"/>
          <w:highlight w:val="none"/>
        </w:rPr>
      </w:pPr>
      <w:r>
        <w:rPr>
          <w:color w:val="auto"/>
          <w:highlight w:val="none"/>
        </w:rPr>
        <w:t>动力电缆：测量电缆线芯对地或对金属屏蔽层间和各线芯间的绝缘电阻， 电缆直流耐压试验和直流泄露试验。电缆相位检查、电缆头制作应符合规范要求。</w:t>
      </w:r>
    </w:p>
    <w:p>
      <w:pPr>
        <w:pStyle w:val="8"/>
        <w:numPr>
          <w:ilvl w:val="0"/>
          <w:numId w:val="107"/>
        </w:numPr>
        <w:rPr>
          <w:color w:val="auto"/>
          <w:highlight w:val="none"/>
        </w:rPr>
      </w:pPr>
      <w:r>
        <w:rPr>
          <w:color w:val="auto"/>
          <w:highlight w:val="none"/>
        </w:rPr>
        <w:t>电机</w:t>
      </w:r>
    </w:p>
    <w:p>
      <w:pPr>
        <w:pStyle w:val="9"/>
        <w:numPr>
          <w:ilvl w:val="1"/>
          <w:numId w:val="0"/>
        </w:numPr>
        <w:ind w:left="1464"/>
        <w:rPr>
          <w:color w:val="auto"/>
          <w:highlight w:val="none"/>
        </w:rPr>
      </w:pPr>
      <w:r>
        <w:rPr>
          <w:color w:val="auto"/>
          <w:highlight w:val="none"/>
        </w:rPr>
        <w:t>电机试运行前应测试其线圈阻值符合说明书之要求。检查电刷与换向器或滑环接触是否良好，转子是否灵活，引出线相位是否正确，连接是否牢固。电机每次启动应为空载运行，运行时间为 2 小时。试运时，如发现旋向不对，换向器、滑环及电刷工作不正常，电机温升过高，电机振动过大，应立即停机检修。电机空载运行正常，无异常现象，才能投入负载运行。</w:t>
      </w:r>
    </w:p>
    <w:p>
      <w:pPr>
        <w:pStyle w:val="8"/>
        <w:numPr>
          <w:ilvl w:val="0"/>
          <w:numId w:val="107"/>
        </w:numPr>
        <w:rPr>
          <w:color w:val="auto"/>
          <w:highlight w:val="none"/>
        </w:rPr>
      </w:pPr>
      <w:r>
        <w:rPr>
          <w:color w:val="auto"/>
          <w:highlight w:val="none"/>
        </w:rPr>
        <w:t>通电试运行</w:t>
      </w:r>
    </w:p>
    <w:p>
      <w:pPr>
        <w:pStyle w:val="34"/>
        <w:ind w:firstLine="480"/>
        <w:rPr>
          <w:color w:val="auto"/>
          <w:highlight w:val="none"/>
        </w:rPr>
      </w:pPr>
      <w:r>
        <w:rPr>
          <w:color w:val="auto"/>
          <w:highlight w:val="none"/>
        </w:rPr>
        <w:t>变压器通电试运行前应做好全面检查，确认符合试运行条件时，方可投入运行。</w:t>
      </w:r>
    </w:p>
    <w:p>
      <w:pPr>
        <w:pStyle w:val="8"/>
        <w:numPr>
          <w:ilvl w:val="0"/>
          <w:numId w:val="107"/>
        </w:numPr>
        <w:rPr>
          <w:color w:val="auto"/>
          <w:highlight w:val="none"/>
        </w:rPr>
      </w:pPr>
      <w:r>
        <w:rPr>
          <w:color w:val="auto"/>
          <w:highlight w:val="none"/>
        </w:rPr>
        <w:t>给水系统调试</w:t>
      </w:r>
    </w:p>
    <w:p>
      <w:pPr>
        <w:pStyle w:val="34"/>
        <w:ind w:firstLine="480"/>
        <w:rPr>
          <w:color w:val="auto"/>
          <w:highlight w:val="none"/>
        </w:rPr>
      </w:pPr>
      <w:r>
        <w:rPr>
          <w:color w:val="auto"/>
          <w:highlight w:val="none"/>
        </w:rPr>
        <w:t>给水系统调试主要内容是管道系统试压、冲洗、消毒试验，通水能力检查。</w:t>
      </w:r>
    </w:p>
    <w:p>
      <w:pPr>
        <w:pStyle w:val="9"/>
        <w:numPr>
          <w:ilvl w:val="1"/>
          <w:numId w:val="169"/>
        </w:numPr>
        <w:rPr>
          <w:color w:val="auto"/>
          <w:highlight w:val="none"/>
        </w:rPr>
      </w:pPr>
      <w:r>
        <w:rPr>
          <w:color w:val="auto"/>
          <w:highlight w:val="none"/>
        </w:rPr>
        <w:t>系统试压</w:t>
      </w:r>
    </w:p>
    <w:p>
      <w:pPr>
        <w:pStyle w:val="10"/>
        <w:numPr>
          <w:ilvl w:val="2"/>
          <w:numId w:val="36"/>
        </w:numPr>
        <w:rPr>
          <w:color w:val="auto"/>
          <w:highlight w:val="none"/>
        </w:rPr>
      </w:pPr>
      <w:r>
        <w:rPr>
          <w:color w:val="auto"/>
          <w:highlight w:val="none"/>
        </w:rPr>
        <w:t>灌水前的检查工作：检查全系统管路、设备、阀件、支架等必修安装无误。各连接处均无遗漏； 检查全系统试压的实际情况，检查系统上各类阀门的开、关状态，不得漏检，保证各用水点的阀门全部关闭严密；检查试压用的压力表灵敏度；水压试验系统中的阀门都处于全关闭状态，待试压中需要开启时再打开， 控制阀门打开后，派专人巡视。</w:t>
      </w:r>
    </w:p>
    <w:p>
      <w:pPr>
        <w:pStyle w:val="10"/>
        <w:numPr>
          <w:ilvl w:val="2"/>
          <w:numId w:val="36"/>
        </w:numPr>
        <w:rPr>
          <w:color w:val="auto"/>
          <w:highlight w:val="none"/>
        </w:rPr>
      </w:pPr>
      <w:r>
        <w:rPr>
          <w:color w:val="auto"/>
          <w:highlight w:val="none"/>
        </w:rPr>
        <w:t>向管道系统注水：用生活水泵从下往上向系统送水，注水时，应该将楼内给水系统最高点的阀门打开，并安排专人进行看守；待管道系统内的空气全部排净见水后，才可将阀门关闭，此时表明管道系统注水已满（应反复关闭数次进行验证）。</w:t>
      </w:r>
    </w:p>
    <w:p>
      <w:pPr>
        <w:pStyle w:val="10"/>
        <w:numPr>
          <w:ilvl w:val="2"/>
          <w:numId w:val="36"/>
        </w:numPr>
        <w:rPr>
          <w:color w:val="auto"/>
          <w:highlight w:val="none"/>
        </w:rPr>
      </w:pPr>
      <w:r>
        <w:rPr>
          <w:color w:val="auto"/>
          <w:highlight w:val="none"/>
        </w:rPr>
        <w:t>向管道系统加压：管道系统注满水后，启动加压泵使系统水压逐渐升高， 先升至工作压力，停泵检查，观察各部位无破裂、无渗漏时，再将压力升至试验压力 (工作压力的 1.5 倍)，并稳压 10 分钟，压力降不大于 0.02MPa，表明系统强度试验合格。然后再将试验压力缓慢降至工作压力，保持压力不小于 2 小时，压力不下降并且管道各连接处无渗漏现象，试压合格。</w:t>
      </w:r>
    </w:p>
    <w:p>
      <w:pPr>
        <w:pStyle w:val="10"/>
        <w:numPr>
          <w:ilvl w:val="2"/>
          <w:numId w:val="36"/>
        </w:numPr>
        <w:rPr>
          <w:color w:val="auto"/>
          <w:highlight w:val="none"/>
        </w:rPr>
      </w:pPr>
      <w:r>
        <w:rPr>
          <w:color w:val="auto"/>
          <w:highlight w:val="none"/>
        </w:rPr>
        <w:t>泄水：系统试压合格后，放掉管道内的全部存水，特别注意将系统低处的存水泄掉。</w:t>
      </w:r>
    </w:p>
    <w:p>
      <w:pPr>
        <w:pStyle w:val="9"/>
        <w:numPr>
          <w:ilvl w:val="1"/>
          <w:numId w:val="36"/>
        </w:numPr>
        <w:rPr>
          <w:color w:val="auto"/>
          <w:highlight w:val="none"/>
        </w:rPr>
      </w:pPr>
      <w:r>
        <w:rPr>
          <w:color w:val="auto"/>
          <w:highlight w:val="none"/>
        </w:rPr>
        <w:t>冲洗、消毒</w:t>
      </w:r>
    </w:p>
    <w:p>
      <w:pPr>
        <w:pStyle w:val="10"/>
        <w:numPr>
          <w:ilvl w:val="2"/>
          <w:numId w:val="36"/>
        </w:numPr>
        <w:rPr>
          <w:color w:val="auto"/>
          <w:highlight w:val="none"/>
        </w:rPr>
      </w:pPr>
      <w:r>
        <w:rPr>
          <w:color w:val="auto"/>
          <w:highlight w:val="none"/>
        </w:rPr>
        <w:t>给水系统冲洗应该先冲洗底部干管，后冲洗各环路支管。冲洗前，将管道系统内的止回阀阀芯等拆除，待冲洗合格后重新安上。</w:t>
      </w:r>
    </w:p>
    <w:p>
      <w:pPr>
        <w:pStyle w:val="10"/>
        <w:numPr>
          <w:ilvl w:val="2"/>
          <w:numId w:val="36"/>
        </w:numPr>
        <w:rPr>
          <w:color w:val="auto"/>
          <w:highlight w:val="none"/>
        </w:rPr>
      </w:pPr>
      <w:r>
        <w:rPr>
          <w:color w:val="auto"/>
          <w:highlight w:val="none"/>
        </w:rPr>
        <w:t>将临时自来水接至供水水平主管向系统供水。关闭其他支管控制阀门， 只开启干管末端支管最底层的阀门，由底层放水并引至排水系统内。观察出水口处水质的变化。底层干管冲洗后再依次冲洗各分支。直至全系统管路冲洗完毕为止。</w:t>
      </w:r>
    </w:p>
    <w:p>
      <w:pPr>
        <w:pStyle w:val="10"/>
        <w:numPr>
          <w:ilvl w:val="2"/>
          <w:numId w:val="36"/>
        </w:numPr>
        <w:rPr>
          <w:color w:val="auto"/>
          <w:highlight w:val="none"/>
        </w:rPr>
      </w:pPr>
      <w:r>
        <w:rPr>
          <w:color w:val="auto"/>
          <w:highlight w:val="none"/>
        </w:rPr>
        <w:t>冲洗时水压应该大于系统供水工作压力，保证出水口的排水流速 υ</w:t>
      </w:r>
      <w:r>
        <w:rPr>
          <w:rFonts w:hint="eastAsia"/>
          <w:color w:val="auto"/>
          <w:highlight w:val="none"/>
        </w:rPr>
        <w:t>≮</w:t>
      </w:r>
      <w:r>
        <w:rPr>
          <w:color w:val="auto"/>
          <w:highlight w:val="none"/>
        </w:rPr>
        <w:t>1.5m/s。</w:t>
      </w:r>
    </w:p>
    <w:p>
      <w:pPr>
        <w:pStyle w:val="10"/>
        <w:numPr>
          <w:ilvl w:val="2"/>
          <w:numId w:val="36"/>
        </w:numPr>
        <w:rPr>
          <w:color w:val="auto"/>
          <w:highlight w:val="none"/>
        </w:rPr>
      </w:pPr>
      <w:r>
        <w:rPr>
          <w:color w:val="auto"/>
          <w:highlight w:val="none"/>
        </w:rPr>
        <w:t>出水口处的管径截面不小于被冲洗管径截面的 3/5。</w:t>
      </w:r>
    </w:p>
    <w:p>
      <w:pPr>
        <w:pStyle w:val="10"/>
        <w:numPr>
          <w:ilvl w:val="2"/>
          <w:numId w:val="36"/>
        </w:numPr>
        <w:rPr>
          <w:color w:val="auto"/>
          <w:highlight w:val="none"/>
        </w:rPr>
      </w:pPr>
      <w:r>
        <w:rPr>
          <w:color w:val="auto"/>
          <w:highlight w:val="none"/>
        </w:rPr>
        <w:t>冲洗前，结合生活饮用水消毒规定，先进行处理，即用每升水中含20~30mg 游离氯的水灌满管道，并在管中留置 24 小时以上，然后再进行冲洗。</w:t>
      </w:r>
    </w:p>
    <w:p>
      <w:pPr>
        <w:pStyle w:val="10"/>
        <w:numPr>
          <w:ilvl w:val="2"/>
          <w:numId w:val="36"/>
        </w:numPr>
        <w:rPr>
          <w:color w:val="auto"/>
          <w:highlight w:val="none"/>
        </w:rPr>
      </w:pPr>
      <w:r>
        <w:rPr>
          <w:color w:val="auto"/>
          <w:highlight w:val="none"/>
        </w:rPr>
        <w:t>系统通水能力：室内生活通水能力检查，按设计要求同时开放最大数量配水点是否全部达到额定流量。</w:t>
      </w:r>
    </w:p>
    <w:p>
      <w:pPr>
        <w:pStyle w:val="8"/>
        <w:numPr>
          <w:ilvl w:val="0"/>
          <w:numId w:val="107"/>
        </w:numPr>
        <w:rPr>
          <w:color w:val="auto"/>
          <w:highlight w:val="none"/>
        </w:rPr>
      </w:pPr>
      <w:r>
        <w:rPr>
          <w:color w:val="auto"/>
          <w:highlight w:val="none"/>
        </w:rPr>
        <w:t>排水系统调试</w:t>
      </w:r>
    </w:p>
    <w:p>
      <w:pPr>
        <w:pStyle w:val="9"/>
        <w:numPr>
          <w:ilvl w:val="1"/>
          <w:numId w:val="170"/>
        </w:numPr>
        <w:rPr>
          <w:color w:val="auto"/>
          <w:highlight w:val="none"/>
        </w:rPr>
      </w:pPr>
      <w:r>
        <w:rPr>
          <w:color w:val="auto"/>
          <w:highlight w:val="none"/>
        </w:rPr>
        <w:t>排水系统调试主要内容为排水管道系统的灌水、通球、通水试验。</w:t>
      </w:r>
    </w:p>
    <w:p>
      <w:pPr>
        <w:pStyle w:val="9"/>
        <w:numPr>
          <w:ilvl w:val="1"/>
          <w:numId w:val="75"/>
        </w:numPr>
        <w:rPr>
          <w:color w:val="auto"/>
          <w:highlight w:val="none"/>
        </w:rPr>
      </w:pPr>
      <w:r>
        <w:rPr>
          <w:color w:val="auto"/>
          <w:highlight w:val="none"/>
        </w:rPr>
        <w:t>排水管道的灌水试验在施工过程中需按照规范要求进行。</w:t>
      </w:r>
    </w:p>
    <w:p>
      <w:pPr>
        <w:pStyle w:val="9"/>
        <w:numPr>
          <w:ilvl w:val="1"/>
          <w:numId w:val="75"/>
        </w:numPr>
        <w:rPr>
          <w:color w:val="auto"/>
          <w:highlight w:val="none"/>
        </w:rPr>
      </w:pPr>
      <w:r>
        <w:rPr>
          <w:color w:val="auto"/>
          <w:highlight w:val="none"/>
        </w:rPr>
        <w:t>通球试验：通球的直径不小于排水管道管径的 2/3，通球率必须达到100%。</w:t>
      </w:r>
    </w:p>
    <w:p>
      <w:pPr>
        <w:pStyle w:val="9"/>
        <w:numPr>
          <w:ilvl w:val="1"/>
          <w:numId w:val="75"/>
        </w:numPr>
        <w:rPr>
          <w:color w:val="auto"/>
          <w:highlight w:val="none"/>
        </w:rPr>
      </w:pPr>
      <w:r>
        <w:rPr>
          <w:color w:val="auto"/>
          <w:highlight w:val="none"/>
        </w:rPr>
        <w:t>通水试验步骤：</w:t>
      </w:r>
    </w:p>
    <w:p>
      <w:pPr>
        <w:pStyle w:val="10"/>
        <w:numPr>
          <w:ilvl w:val="2"/>
          <w:numId w:val="36"/>
        </w:numPr>
        <w:rPr>
          <w:color w:val="auto"/>
          <w:highlight w:val="none"/>
        </w:rPr>
      </w:pPr>
      <w:r>
        <w:rPr>
          <w:color w:val="auto"/>
          <w:highlight w:val="none"/>
        </w:rPr>
        <w:t>检查各排水系统，均应与室外排水系统接通，并可以向室外排水。</w:t>
      </w:r>
    </w:p>
    <w:p>
      <w:pPr>
        <w:pStyle w:val="10"/>
        <w:numPr>
          <w:ilvl w:val="2"/>
          <w:numId w:val="36"/>
        </w:numPr>
        <w:rPr>
          <w:color w:val="auto"/>
          <w:highlight w:val="none"/>
        </w:rPr>
      </w:pPr>
      <w:r>
        <w:rPr>
          <w:color w:val="auto"/>
          <w:highlight w:val="none"/>
        </w:rPr>
        <w:t>将排水立管进行编号，逐步开启各路排水立管顶层各配水阀件至最大水量，使其处于向对应的排水点排水状态。</w:t>
      </w:r>
    </w:p>
    <w:p>
      <w:pPr>
        <w:pStyle w:val="10"/>
        <w:numPr>
          <w:ilvl w:val="2"/>
          <w:numId w:val="36"/>
        </w:numPr>
        <w:rPr>
          <w:color w:val="auto"/>
          <w:highlight w:val="none"/>
        </w:rPr>
      </w:pPr>
      <w:r>
        <w:rPr>
          <w:color w:val="auto"/>
          <w:highlight w:val="none"/>
        </w:rPr>
        <w:t>检查排水立管从顶层到第一排水检查井各管段及排水点，对渗漏和排水不畅处，进行及时处理，再次通水检查。</w:t>
      </w:r>
    </w:p>
    <w:p>
      <w:pPr>
        <w:pStyle w:val="10"/>
        <w:numPr>
          <w:ilvl w:val="2"/>
          <w:numId w:val="36"/>
        </w:numPr>
        <w:rPr>
          <w:color w:val="auto"/>
          <w:highlight w:val="none"/>
        </w:rPr>
      </w:pPr>
      <w:r>
        <w:rPr>
          <w:color w:val="auto"/>
          <w:highlight w:val="none"/>
        </w:rPr>
        <w:t>检查室内排水系统，设计要求同时开放的最大的数量配水点是否达到额定流量。</w:t>
      </w:r>
    </w:p>
    <w:p>
      <w:pPr>
        <w:pStyle w:val="10"/>
        <w:numPr>
          <w:ilvl w:val="2"/>
          <w:numId w:val="36"/>
        </w:numPr>
        <w:rPr>
          <w:color w:val="auto"/>
          <w:highlight w:val="none"/>
        </w:rPr>
      </w:pPr>
      <w:r>
        <w:rPr>
          <w:color w:val="auto"/>
          <w:highlight w:val="none"/>
        </w:rPr>
        <w:t>将室内排水系统，按给水系统的 1/3 配水点同时开放，检查各排水点是否畅通，接口处有无渗漏。</w:t>
      </w:r>
    </w:p>
    <w:p>
      <w:pPr>
        <w:pStyle w:val="8"/>
        <w:numPr>
          <w:ilvl w:val="0"/>
          <w:numId w:val="107"/>
        </w:numPr>
        <w:rPr>
          <w:color w:val="auto"/>
          <w:highlight w:val="none"/>
        </w:rPr>
      </w:pPr>
      <w:r>
        <w:rPr>
          <w:color w:val="auto"/>
          <w:highlight w:val="none"/>
        </w:rPr>
        <w:t>水泵等设备调试</w:t>
      </w:r>
    </w:p>
    <w:p>
      <w:pPr>
        <w:pStyle w:val="9"/>
        <w:numPr>
          <w:ilvl w:val="1"/>
          <w:numId w:val="171"/>
        </w:numPr>
        <w:rPr>
          <w:color w:val="auto"/>
          <w:highlight w:val="none"/>
        </w:rPr>
      </w:pPr>
      <w:r>
        <w:rPr>
          <w:color w:val="auto"/>
          <w:highlight w:val="none"/>
        </w:rPr>
        <w:t>试运转前检查</w:t>
      </w:r>
    </w:p>
    <w:p>
      <w:pPr>
        <w:pStyle w:val="10"/>
        <w:numPr>
          <w:ilvl w:val="2"/>
          <w:numId w:val="36"/>
        </w:numPr>
        <w:rPr>
          <w:color w:val="auto"/>
          <w:highlight w:val="none"/>
        </w:rPr>
      </w:pPr>
      <w:r>
        <w:rPr>
          <w:color w:val="auto"/>
          <w:highlight w:val="none"/>
        </w:rPr>
        <w:t>清洗泵外表，检查泵体有无杂物。</w:t>
      </w:r>
    </w:p>
    <w:p>
      <w:pPr>
        <w:pStyle w:val="10"/>
        <w:numPr>
          <w:ilvl w:val="2"/>
          <w:numId w:val="36"/>
        </w:numPr>
        <w:rPr>
          <w:color w:val="auto"/>
          <w:highlight w:val="none"/>
        </w:rPr>
      </w:pPr>
      <w:r>
        <w:rPr>
          <w:color w:val="auto"/>
          <w:highlight w:val="none"/>
        </w:rPr>
        <w:t>各紧固件连接部位、地脚螺栓的紧固情况，不得有松动情况。</w:t>
      </w:r>
    </w:p>
    <w:p>
      <w:pPr>
        <w:pStyle w:val="10"/>
        <w:numPr>
          <w:ilvl w:val="2"/>
          <w:numId w:val="36"/>
        </w:numPr>
        <w:rPr>
          <w:color w:val="auto"/>
          <w:highlight w:val="none"/>
        </w:rPr>
      </w:pPr>
      <w:r>
        <w:rPr>
          <w:color w:val="auto"/>
          <w:highlight w:val="none"/>
        </w:rPr>
        <w:t>润滑状况良好，润滑油已按规定加入。</w:t>
      </w:r>
    </w:p>
    <w:p>
      <w:pPr>
        <w:pStyle w:val="10"/>
        <w:numPr>
          <w:ilvl w:val="2"/>
          <w:numId w:val="36"/>
        </w:numPr>
        <w:rPr>
          <w:color w:val="auto"/>
          <w:highlight w:val="none"/>
        </w:rPr>
      </w:pPr>
      <w:r>
        <w:rPr>
          <w:color w:val="auto"/>
          <w:highlight w:val="none"/>
        </w:rPr>
        <w:t>附属设备及管路是否冲洗干净，管路是否保持畅通，吸入口有无杂物。</w:t>
      </w:r>
    </w:p>
    <w:p>
      <w:pPr>
        <w:pStyle w:val="10"/>
        <w:numPr>
          <w:ilvl w:val="2"/>
          <w:numId w:val="36"/>
        </w:numPr>
        <w:rPr>
          <w:color w:val="auto"/>
          <w:highlight w:val="none"/>
        </w:rPr>
      </w:pPr>
      <w:r>
        <w:rPr>
          <w:color w:val="auto"/>
          <w:highlight w:val="none"/>
        </w:rPr>
        <w:t>盘车灵活，声音正常。</w:t>
      </w:r>
    </w:p>
    <w:p>
      <w:pPr>
        <w:pStyle w:val="10"/>
        <w:numPr>
          <w:ilvl w:val="2"/>
          <w:numId w:val="36"/>
        </w:numPr>
        <w:rPr>
          <w:color w:val="auto"/>
          <w:highlight w:val="none"/>
        </w:rPr>
      </w:pPr>
      <w:r>
        <w:rPr>
          <w:color w:val="auto"/>
          <w:highlight w:val="none"/>
        </w:rPr>
        <w:t>各指示仪表、安全保护装置及电控装置应灵活、准确、可靠。</w:t>
      </w:r>
    </w:p>
    <w:p>
      <w:pPr>
        <w:pStyle w:val="10"/>
        <w:numPr>
          <w:ilvl w:val="2"/>
          <w:numId w:val="36"/>
        </w:numPr>
        <w:rPr>
          <w:color w:val="auto"/>
          <w:highlight w:val="none"/>
        </w:rPr>
      </w:pPr>
      <w:r>
        <w:rPr>
          <w:color w:val="auto"/>
          <w:highlight w:val="none"/>
        </w:rPr>
        <w:t>检查所有接地装置；水泵试运转前必须进行绝缘测试。</w:t>
      </w:r>
    </w:p>
    <w:p>
      <w:pPr>
        <w:pStyle w:val="10"/>
        <w:numPr>
          <w:ilvl w:val="2"/>
          <w:numId w:val="36"/>
        </w:numPr>
        <w:rPr>
          <w:color w:val="auto"/>
          <w:highlight w:val="none"/>
        </w:rPr>
      </w:pPr>
      <w:r>
        <w:rPr>
          <w:color w:val="auto"/>
          <w:highlight w:val="none"/>
        </w:rPr>
        <w:t>查电源供应及电压是否正常。</w:t>
      </w:r>
    </w:p>
    <w:p>
      <w:pPr>
        <w:pStyle w:val="10"/>
        <w:numPr>
          <w:ilvl w:val="2"/>
          <w:numId w:val="36"/>
        </w:numPr>
        <w:rPr>
          <w:color w:val="auto"/>
          <w:highlight w:val="none"/>
        </w:rPr>
      </w:pPr>
      <w:r>
        <w:rPr>
          <w:color w:val="auto"/>
          <w:highlight w:val="none"/>
        </w:rPr>
        <w:t>水泵、阀门、泵送排水管道等的安装是否符合要求。</w:t>
      </w:r>
    </w:p>
    <w:p>
      <w:pPr>
        <w:pStyle w:val="10"/>
        <w:numPr>
          <w:ilvl w:val="2"/>
          <w:numId w:val="36"/>
        </w:numPr>
        <w:rPr>
          <w:color w:val="auto"/>
          <w:highlight w:val="none"/>
        </w:rPr>
      </w:pPr>
      <w:r>
        <w:rPr>
          <w:color w:val="auto"/>
          <w:highlight w:val="none"/>
        </w:rPr>
        <w:t>检查水位控制器的安装是否符检合要求。</w:t>
      </w:r>
    </w:p>
    <w:p>
      <w:pPr>
        <w:pStyle w:val="10"/>
        <w:numPr>
          <w:ilvl w:val="2"/>
          <w:numId w:val="36"/>
        </w:numPr>
        <w:rPr>
          <w:color w:val="auto"/>
          <w:highlight w:val="none"/>
        </w:rPr>
      </w:pPr>
      <w:r>
        <w:rPr>
          <w:color w:val="auto"/>
          <w:highlight w:val="none"/>
        </w:rPr>
        <w:t>检查水泵轴封是否有泄漏。</w:t>
      </w:r>
    </w:p>
    <w:p>
      <w:pPr>
        <w:pStyle w:val="9"/>
        <w:numPr>
          <w:ilvl w:val="1"/>
          <w:numId w:val="75"/>
        </w:numPr>
        <w:rPr>
          <w:color w:val="auto"/>
          <w:highlight w:val="none"/>
        </w:rPr>
      </w:pPr>
      <w:r>
        <w:rPr>
          <w:color w:val="auto"/>
          <w:highlight w:val="none"/>
        </w:rPr>
        <w:t>无负荷试运转</w:t>
      </w:r>
    </w:p>
    <w:p>
      <w:pPr>
        <w:pStyle w:val="10"/>
        <w:numPr>
          <w:ilvl w:val="2"/>
          <w:numId w:val="36"/>
        </w:numPr>
        <w:rPr>
          <w:color w:val="auto"/>
          <w:highlight w:val="none"/>
        </w:rPr>
      </w:pPr>
      <w:r>
        <w:rPr>
          <w:color w:val="auto"/>
          <w:highlight w:val="none"/>
        </w:rPr>
        <w:t>全开启入口阀门，全关闭出口阀门，防止水泵启动电流过大。</w:t>
      </w:r>
    </w:p>
    <w:p>
      <w:pPr>
        <w:pStyle w:val="10"/>
        <w:numPr>
          <w:ilvl w:val="2"/>
          <w:numId w:val="36"/>
        </w:numPr>
        <w:rPr>
          <w:color w:val="auto"/>
          <w:highlight w:val="none"/>
        </w:rPr>
      </w:pPr>
      <w:r>
        <w:rPr>
          <w:color w:val="auto"/>
          <w:highlight w:val="none"/>
        </w:rPr>
        <w:t>启动泵，运转 1~3 分钟后停车。</w:t>
      </w:r>
    </w:p>
    <w:p>
      <w:pPr>
        <w:pStyle w:val="10"/>
        <w:numPr>
          <w:ilvl w:val="2"/>
          <w:numId w:val="36"/>
        </w:numPr>
        <w:rPr>
          <w:color w:val="auto"/>
          <w:highlight w:val="none"/>
        </w:rPr>
      </w:pPr>
      <w:r>
        <w:rPr>
          <w:color w:val="auto"/>
          <w:highlight w:val="none"/>
        </w:rPr>
        <w:t>运转中有无不正常声响，各紧固部分无松动现象，轴承无明显的温升。</w:t>
      </w:r>
    </w:p>
    <w:p>
      <w:pPr>
        <w:pStyle w:val="9"/>
        <w:numPr>
          <w:ilvl w:val="1"/>
          <w:numId w:val="75"/>
        </w:numPr>
        <w:rPr>
          <w:color w:val="auto"/>
          <w:highlight w:val="none"/>
        </w:rPr>
      </w:pPr>
      <w:r>
        <w:rPr>
          <w:color w:val="auto"/>
          <w:highlight w:val="none"/>
        </w:rPr>
        <w:t>负荷试运转</w:t>
      </w:r>
    </w:p>
    <w:p>
      <w:pPr>
        <w:pStyle w:val="10"/>
        <w:numPr>
          <w:ilvl w:val="2"/>
          <w:numId w:val="36"/>
        </w:numPr>
        <w:rPr>
          <w:color w:val="auto"/>
          <w:highlight w:val="none"/>
        </w:rPr>
      </w:pPr>
      <w:r>
        <w:rPr>
          <w:color w:val="auto"/>
          <w:highlight w:val="none"/>
        </w:rPr>
        <w:t>系统运行正常，其压力、温度、流量等符合设计要求。</w:t>
      </w:r>
    </w:p>
    <w:p>
      <w:pPr>
        <w:pStyle w:val="10"/>
        <w:numPr>
          <w:ilvl w:val="2"/>
          <w:numId w:val="36"/>
        </w:numPr>
        <w:rPr>
          <w:color w:val="auto"/>
          <w:highlight w:val="none"/>
        </w:rPr>
      </w:pPr>
      <w:r>
        <w:rPr>
          <w:color w:val="auto"/>
          <w:highlight w:val="none"/>
        </w:rPr>
        <w:t>泵运转无杂声，泵体无泄漏。</w:t>
      </w:r>
    </w:p>
    <w:p>
      <w:pPr>
        <w:pStyle w:val="10"/>
        <w:numPr>
          <w:ilvl w:val="2"/>
          <w:numId w:val="36"/>
        </w:numPr>
        <w:rPr>
          <w:color w:val="auto"/>
          <w:highlight w:val="none"/>
        </w:rPr>
      </w:pPr>
      <w:r>
        <w:rPr>
          <w:color w:val="auto"/>
          <w:highlight w:val="none"/>
        </w:rPr>
        <w:t>各紧固部位无松动。</w:t>
      </w:r>
    </w:p>
    <w:p>
      <w:pPr>
        <w:pStyle w:val="10"/>
        <w:numPr>
          <w:ilvl w:val="2"/>
          <w:numId w:val="36"/>
        </w:numPr>
        <w:rPr>
          <w:color w:val="auto"/>
          <w:highlight w:val="none"/>
        </w:rPr>
      </w:pPr>
      <w:r>
        <w:rPr>
          <w:color w:val="auto"/>
          <w:highlight w:val="none"/>
        </w:rPr>
        <w:t>电动机起动电流和负荷运转电流符合要求。</w:t>
      </w:r>
    </w:p>
    <w:p>
      <w:pPr>
        <w:pStyle w:val="9"/>
        <w:numPr>
          <w:ilvl w:val="1"/>
          <w:numId w:val="75"/>
        </w:numPr>
        <w:rPr>
          <w:color w:val="auto"/>
          <w:highlight w:val="none"/>
        </w:rPr>
      </w:pPr>
      <w:r>
        <w:rPr>
          <w:color w:val="auto"/>
          <w:highlight w:val="none"/>
        </w:rPr>
        <w:t>给水减压阀调试要求</w:t>
      </w:r>
    </w:p>
    <w:p>
      <w:pPr>
        <w:pStyle w:val="10"/>
        <w:numPr>
          <w:ilvl w:val="2"/>
          <w:numId w:val="0"/>
        </w:numPr>
        <w:ind w:left="1884"/>
        <w:rPr>
          <w:color w:val="auto"/>
          <w:highlight w:val="none"/>
        </w:rPr>
      </w:pPr>
      <w:r>
        <w:rPr>
          <w:color w:val="auto"/>
          <w:highlight w:val="none"/>
        </w:rPr>
        <w:t>给水减压阀组正式交付使用前应进行现场调试和安装检验。</w:t>
      </w:r>
    </w:p>
    <w:p>
      <w:pPr>
        <w:pStyle w:val="10"/>
        <w:numPr>
          <w:ilvl w:val="2"/>
          <w:numId w:val="36"/>
        </w:numPr>
        <w:rPr>
          <w:b/>
          <w:bCs/>
          <w:color w:val="auto"/>
          <w:highlight w:val="none"/>
        </w:rPr>
      </w:pPr>
      <w:r>
        <w:rPr>
          <w:b/>
          <w:bCs/>
          <w:color w:val="auto"/>
          <w:highlight w:val="none"/>
        </w:rPr>
        <w:t>给水减压阀组的安装检验应包括以下内容：</w:t>
      </w:r>
    </w:p>
    <w:p>
      <w:pPr>
        <w:pStyle w:val="10"/>
        <w:numPr>
          <w:ilvl w:val="2"/>
          <w:numId w:val="0"/>
        </w:numPr>
        <w:ind w:left="1884"/>
        <w:rPr>
          <w:color w:val="auto"/>
          <w:highlight w:val="none"/>
        </w:rPr>
      </w:pPr>
      <w:r>
        <w:rPr>
          <w:color w:val="auto"/>
          <w:highlight w:val="none"/>
        </w:rPr>
        <w:t>检查阀组安装的完整性，不应漏装，确认阀组水流方向正确；检查阀组设置场所排水设施的可靠性；检查阀组及其连接部位的密封性能；检查正常供水情况下减压阀组的减压功能和可调节性能；检查给水减压阀出口压力的动静压力是否符合要求；检查采用并联减压阀组的出口压力应一致；现场评估减压阀失效后的安全措施是否可靠。</w:t>
      </w:r>
    </w:p>
    <w:p>
      <w:pPr>
        <w:pStyle w:val="10"/>
        <w:numPr>
          <w:ilvl w:val="2"/>
          <w:numId w:val="36"/>
        </w:numPr>
        <w:rPr>
          <w:b/>
          <w:bCs/>
          <w:color w:val="auto"/>
          <w:highlight w:val="none"/>
        </w:rPr>
      </w:pPr>
      <w:r>
        <w:rPr>
          <w:b/>
          <w:bCs/>
          <w:color w:val="auto"/>
          <w:highlight w:val="none"/>
        </w:rPr>
        <w:t>给水减压阀组的现场调试应包括以下内容：</w:t>
      </w:r>
    </w:p>
    <w:p>
      <w:pPr>
        <w:pStyle w:val="10"/>
        <w:numPr>
          <w:ilvl w:val="2"/>
          <w:numId w:val="0"/>
        </w:numPr>
        <w:ind w:left="1884"/>
        <w:rPr>
          <w:color w:val="auto"/>
          <w:highlight w:val="none"/>
        </w:rPr>
      </w:pPr>
      <w:r>
        <w:rPr>
          <w:color w:val="auto"/>
          <w:highlight w:val="none"/>
        </w:rPr>
        <w:t>调试前，应确认阀组上游管道已冲洗干净，阀组前、后检修阀处于关闭状态；按设计要求调定减压阀出口压力；检查减压分区内最不利点的供水压力和底层供水压力，并符合设计要求；对阀组超压报警装置和泄压保护装置进行调试和试验，确认其有效性。</w:t>
      </w:r>
    </w:p>
    <w:p>
      <w:pPr>
        <w:pStyle w:val="10"/>
        <w:numPr>
          <w:ilvl w:val="2"/>
          <w:numId w:val="36"/>
        </w:numPr>
        <w:rPr>
          <w:color w:val="auto"/>
          <w:highlight w:val="none"/>
        </w:rPr>
      </w:pPr>
      <w:r>
        <w:rPr>
          <w:color w:val="auto"/>
          <w:highlight w:val="none"/>
        </w:rPr>
        <w:t>各类型给水减压阀出口压力的调定方式按现行国家有关标准的规定执行。</w:t>
      </w:r>
    </w:p>
    <w:p>
      <w:pPr>
        <w:pStyle w:val="9"/>
        <w:numPr>
          <w:ilvl w:val="1"/>
          <w:numId w:val="75"/>
        </w:numPr>
        <w:rPr>
          <w:color w:val="auto"/>
          <w:highlight w:val="none"/>
        </w:rPr>
      </w:pPr>
      <w:r>
        <w:rPr>
          <w:color w:val="auto"/>
          <w:highlight w:val="none"/>
        </w:rPr>
        <w:t>排水泵的调试</w:t>
      </w:r>
    </w:p>
    <w:p>
      <w:pPr>
        <w:pStyle w:val="10"/>
        <w:numPr>
          <w:ilvl w:val="2"/>
          <w:numId w:val="36"/>
        </w:numPr>
        <w:rPr>
          <w:color w:val="auto"/>
          <w:highlight w:val="none"/>
        </w:rPr>
      </w:pPr>
      <w:r>
        <w:rPr>
          <w:color w:val="auto"/>
          <w:highlight w:val="none"/>
        </w:rPr>
        <w:t>启动排水泵，检查转向是否正常；记录空载启动电流、空载运行电流、负载启动电流、运行电流。</w:t>
      </w:r>
    </w:p>
    <w:p>
      <w:pPr>
        <w:pStyle w:val="10"/>
        <w:numPr>
          <w:ilvl w:val="2"/>
          <w:numId w:val="36"/>
        </w:numPr>
        <w:rPr>
          <w:color w:val="auto"/>
          <w:highlight w:val="none"/>
        </w:rPr>
      </w:pPr>
      <w:r>
        <w:rPr>
          <w:color w:val="auto"/>
          <w:highlight w:val="none"/>
        </w:rPr>
        <w:t>测试集水井的高水位报警，并调校过载保护设定值。</w:t>
      </w:r>
    </w:p>
    <w:p>
      <w:pPr>
        <w:pStyle w:val="5"/>
        <w:rPr>
          <w:color w:val="auto"/>
          <w:highlight w:val="none"/>
        </w:rPr>
      </w:pPr>
      <w:r>
        <w:rPr>
          <w:rFonts w:hint="eastAsia"/>
          <w:color w:val="auto"/>
          <w:highlight w:val="none"/>
        </w:rPr>
        <w:t>机电系统（材料）技术要求</w:t>
      </w:r>
    </w:p>
    <w:p>
      <w:pPr>
        <w:pStyle w:val="7"/>
        <w:rPr>
          <w:color w:val="auto"/>
          <w:highlight w:val="none"/>
        </w:rPr>
      </w:pPr>
      <w:r>
        <w:rPr>
          <w:rFonts w:hint="eastAsia"/>
          <w:color w:val="auto"/>
          <w:highlight w:val="none"/>
        </w:rPr>
        <w:t>总体要求</w:t>
      </w:r>
    </w:p>
    <w:p>
      <w:pPr>
        <w:pStyle w:val="8"/>
        <w:numPr>
          <w:ilvl w:val="0"/>
          <w:numId w:val="172"/>
        </w:numPr>
        <w:rPr>
          <w:color w:val="auto"/>
          <w:highlight w:val="none"/>
        </w:rPr>
      </w:pPr>
      <w:r>
        <w:rPr>
          <w:rFonts w:hint="eastAsia"/>
          <w:color w:val="auto"/>
          <w:highlight w:val="none"/>
        </w:rPr>
        <w:t>承包人在本项目中所提供的所有材料和设备，必须符合设计图纸要求，必须达到或超过相关国家标准、行业标准和企业内部的出厂检验标准。</w:t>
      </w:r>
    </w:p>
    <w:p>
      <w:pPr>
        <w:pStyle w:val="8"/>
        <w:numPr>
          <w:ilvl w:val="0"/>
          <w:numId w:val="107"/>
        </w:numPr>
        <w:rPr>
          <w:color w:val="auto"/>
          <w:highlight w:val="none"/>
        </w:rPr>
      </w:pPr>
      <w:r>
        <w:rPr>
          <w:rFonts w:hint="eastAsia"/>
          <w:color w:val="auto"/>
          <w:highlight w:val="none"/>
        </w:rPr>
        <w:t>承包人须提交有关制造商的营业执照和资质证明文件；材料、构件、设备的合格证，检验报告和样品；法定检验机构检测的有效检验报告以及工业生产许可证、</w:t>
      </w:r>
      <w:r>
        <w:rPr>
          <w:color w:val="auto"/>
          <w:highlight w:val="none"/>
        </w:rPr>
        <w:t>3C</w:t>
      </w:r>
      <w:r>
        <w:rPr>
          <w:rFonts w:hint="eastAsia"/>
          <w:color w:val="auto"/>
          <w:highlight w:val="none"/>
        </w:rPr>
        <w:t>认证证书。</w:t>
      </w:r>
    </w:p>
    <w:p>
      <w:pPr>
        <w:pStyle w:val="8"/>
        <w:numPr>
          <w:ilvl w:val="0"/>
          <w:numId w:val="107"/>
        </w:numPr>
        <w:rPr>
          <w:color w:val="auto"/>
          <w:highlight w:val="none"/>
        </w:rPr>
      </w:pPr>
      <w:r>
        <w:rPr>
          <w:rFonts w:hint="eastAsia"/>
          <w:color w:val="auto"/>
          <w:highlight w:val="none"/>
        </w:rPr>
        <w:t>设备进场前需提供针对本项目的供货证明或授权书及保证售后服务、保证产品质量的承诺函。</w:t>
      </w:r>
    </w:p>
    <w:p>
      <w:pPr>
        <w:pStyle w:val="8"/>
        <w:numPr>
          <w:ilvl w:val="0"/>
          <w:numId w:val="107"/>
        </w:numPr>
        <w:rPr>
          <w:color w:val="auto"/>
          <w:highlight w:val="none"/>
        </w:rPr>
      </w:pPr>
      <w:r>
        <w:rPr>
          <w:rFonts w:hint="eastAsia"/>
          <w:color w:val="auto"/>
          <w:highlight w:val="none"/>
        </w:rPr>
        <w:t>材料根据相关规范和当地政府规定进行有见证送检，送检费用由承包人负责。</w:t>
      </w:r>
    </w:p>
    <w:p>
      <w:pPr>
        <w:pStyle w:val="8"/>
        <w:numPr>
          <w:ilvl w:val="0"/>
          <w:numId w:val="107"/>
        </w:numPr>
        <w:rPr>
          <w:color w:val="auto"/>
          <w:highlight w:val="none"/>
        </w:rPr>
      </w:pPr>
      <w:r>
        <w:rPr>
          <w:rFonts w:hint="eastAsia"/>
          <w:color w:val="auto"/>
          <w:highlight w:val="none"/>
        </w:rPr>
        <w:t>应急灯具需有消防局签发的生产许可证，外省市产品需有本省、市消防局签发的进境许可证和国家消防电子产品质量监督检验中心做出的“检验报告”。</w:t>
      </w:r>
    </w:p>
    <w:p>
      <w:pPr>
        <w:pStyle w:val="8"/>
        <w:numPr>
          <w:ilvl w:val="0"/>
          <w:numId w:val="107"/>
        </w:numPr>
        <w:rPr>
          <w:color w:val="auto"/>
          <w:highlight w:val="none"/>
        </w:rPr>
      </w:pPr>
      <w:r>
        <w:rPr>
          <w:rFonts w:hint="eastAsia"/>
          <w:color w:val="auto"/>
          <w:highlight w:val="none"/>
        </w:rPr>
        <w:t>主要设备需附相关证明材料，动力配电箱（柜）、照明配电箱（盘）和控制柜（屏、台）及各类箱屏，必须采用国家权威部门认可的定点生产的产品，外省市进境，必须附有两部局认可的定点厂的证书复印件。进口的电气产品，必须经国家商检局检定合格。</w:t>
      </w:r>
    </w:p>
    <w:p>
      <w:pPr>
        <w:pStyle w:val="8"/>
        <w:numPr>
          <w:ilvl w:val="0"/>
          <w:numId w:val="107"/>
        </w:numPr>
        <w:rPr>
          <w:color w:val="auto"/>
          <w:highlight w:val="none"/>
        </w:rPr>
      </w:pPr>
      <w:r>
        <w:rPr>
          <w:rFonts w:hint="eastAsia"/>
          <w:color w:val="auto"/>
          <w:highlight w:val="none"/>
        </w:rPr>
        <w:t>安装工程施工中所使用的新技术，新材料，新产品，新工艺，必须先经试验（试点）和国家规定组织鉴定，有相应的规程和标准，未经试验或未达到技术指标要求的不得在工程是使用。</w:t>
      </w:r>
    </w:p>
    <w:p>
      <w:pPr>
        <w:pStyle w:val="8"/>
        <w:numPr>
          <w:ilvl w:val="0"/>
          <w:numId w:val="107"/>
        </w:numPr>
        <w:rPr>
          <w:color w:val="auto"/>
          <w:highlight w:val="none"/>
        </w:rPr>
      </w:pPr>
      <w:r>
        <w:rPr>
          <w:rFonts w:hint="eastAsia"/>
          <w:color w:val="auto"/>
          <w:highlight w:val="none"/>
        </w:rPr>
        <w:t xml:space="preserve">不符合要求的材料、设备严禁入场。发包人有权拒绝不符合招标文件和规范要求的材料、设备进入施工现场；若发现承包人使用，有权命令拆除和更换，由此引致工期延误和费用由承包人负责。 </w:t>
      </w:r>
    </w:p>
    <w:p>
      <w:pPr>
        <w:pStyle w:val="7"/>
        <w:rPr>
          <w:color w:val="auto"/>
          <w:highlight w:val="none"/>
        </w:rPr>
      </w:pPr>
      <w:r>
        <w:rPr>
          <w:rFonts w:hint="eastAsia"/>
          <w:color w:val="auto"/>
          <w:highlight w:val="none"/>
        </w:rPr>
        <w:t>适用的规范、标准和当地条例</w:t>
      </w:r>
    </w:p>
    <w:p>
      <w:pPr>
        <w:pStyle w:val="8"/>
        <w:numPr>
          <w:ilvl w:val="0"/>
          <w:numId w:val="173"/>
        </w:numPr>
        <w:rPr>
          <w:color w:val="auto"/>
          <w:highlight w:val="none"/>
        </w:rPr>
      </w:pPr>
      <w:r>
        <w:rPr>
          <w:rFonts w:hint="eastAsia"/>
          <w:color w:val="auto"/>
          <w:highlight w:val="none"/>
        </w:rPr>
        <w:t>本技术规格说明书内所列的有关规范和标准是指签订合同时所颁布的最新修订版本。</w:t>
      </w:r>
    </w:p>
    <w:p>
      <w:pPr>
        <w:pStyle w:val="8"/>
        <w:numPr>
          <w:ilvl w:val="0"/>
          <w:numId w:val="107"/>
        </w:numPr>
        <w:rPr>
          <w:color w:val="auto"/>
          <w:highlight w:val="none"/>
        </w:rPr>
      </w:pPr>
      <w:r>
        <w:rPr>
          <w:rFonts w:hint="eastAsia"/>
          <w:color w:val="auto"/>
          <w:highlight w:val="none"/>
        </w:rPr>
        <w:t>若技术规格说明书内对某些要求未有列明标准，则有关的细节、材料、设备和工艺要求应遵照相关的国内或行业标准，取较高者为依据。</w:t>
      </w:r>
    </w:p>
    <w:p>
      <w:pPr>
        <w:pStyle w:val="8"/>
        <w:numPr>
          <w:ilvl w:val="0"/>
          <w:numId w:val="107"/>
        </w:numPr>
        <w:rPr>
          <w:color w:val="auto"/>
          <w:highlight w:val="none"/>
        </w:rPr>
      </w:pPr>
      <w:r>
        <w:rPr>
          <w:rFonts w:hint="eastAsia"/>
          <w:color w:val="auto"/>
          <w:highlight w:val="none"/>
        </w:rPr>
        <w:t>若上述各技术要求之间发生矛盾，则应按下列顺序优选选择：</w:t>
      </w:r>
    </w:p>
    <w:p>
      <w:pPr>
        <w:pStyle w:val="9"/>
        <w:numPr>
          <w:ilvl w:val="1"/>
          <w:numId w:val="174"/>
        </w:numPr>
        <w:rPr>
          <w:color w:val="auto"/>
          <w:highlight w:val="none"/>
        </w:rPr>
      </w:pPr>
      <w:r>
        <w:rPr>
          <w:rFonts w:hint="eastAsia"/>
          <w:color w:val="auto"/>
          <w:highlight w:val="none"/>
        </w:rPr>
        <w:t>当地政府的条例、规定和规范</w:t>
      </w:r>
    </w:p>
    <w:p>
      <w:pPr>
        <w:pStyle w:val="9"/>
        <w:numPr>
          <w:ilvl w:val="1"/>
          <w:numId w:val="75"/>
        </w:numPr>
        <w:rPr>
          <w:color w:val="auto"/>
          <w:highlight w:val="none"/>
        </w:rPr>
      </w:pPr>
      <w:r>
        <w:rPr>
          <w:rFonts w:hint="eastAsia"/>
          <w:color w:val="auto"/>
          <w:highlight w:val="none"/>
        </w:rPr>
        <w:t>本技术说明书和图纸</w:t>
      </w:r>
    </w:p>
    <w:p>
      <w:pPr>
        <w:pStyle w:val="9"/>
        <w:numPr>
          <w:ilvl w:val="1"/>
          <w:numId w:val="75"/>
        </w:numPr>
        <w:rPr>
          <w:color w:val="auto"/>
          <w:highlight w:val="none"/>
        </w:rPr>
      </w:pPr>
      <w:r>
        <w:rPr>
          <w:rFonts w:hint="eastAsia"/>
          <w:color w:val="auto"/>
          <w:highlight w:val="none"/>
        </w:rPr>
        <w:t>其它认可的标准</w:t>
      </w:r>
    </w:p>
    <w:p>
      <w:pPr>
        <w:pStyle w:val="7"/>
        <w:rPr>
          <w:color w:val="auto"/>
          <w:highlight w:val="none"/>
        </w:rPr>
      </w:pPr>
      <w:r>
        <w:rPr>
          <w:rFonts w:hint="eastAsia"/>
          <w:color w:val="auto"/>
          <w:highlight w:val="none"/>
        </w:rPr>
        <w:t>保证</w:t>
      </w:r>
    </w:p>
    <w:p>
      <w:pPr>
        <w:pStyle w:val="8"/>
        <w:numPr>
          <w:ilvl w:val="0"/>
          <w:numId w:val="175"/>
        </w:numPr>
        <w:rPr>
          <w:color w:val="auto"/>
          <w:highlight w:val="none"/>
        </w:rPr>
      </w:pPr>
      <w:r>
        <w:rPr>
          <w:rFonts w:hint="eastAsia"/>
          <w:color w:val="auto"/>
          <w:highlight w:val="none"/>
        </w:rPr>
        <w:t>承包人需保证各系统的安装及运行，均达到设计要求及用户需求。电气设备调试的试验记录应符合国家规定的项目和内容。</w:t>
      </w:r>
    </w:p>
    <w:p>
      <w:pPr>
        <w:pStyle w:val="8"/>
        <w:numPr>
          <w:ilvl w:val="0"/>
          <w:numId w:val="107"/>
        </w:numPr>
        <w:rPr>
          <w:color w:val="auto"/>
          <w:highlight w:val="none"/>
        </w:rPr>
      </w:pPr>
      <w:r>
        <w:rPr>
          <w:rFonts w:hint="eastAsia"/>
          <w:color w:val="auto"/>
          <w:highlight w:val="none"/>
        </w:rPr>
        <w:t>承包人必须保证所提供的设备或配件均能按设计要求在任何工作环境正常操作</w:t>
      </w:r>
    </w:p>
    <w:p>
      <w:pPr>
        <w:pStyle w:val="8"/>
        <w:numPr>
          <w:ilvl w:val="0"/>
          <w:numId w:val="107"/>
        </w:numPr>
        <w:rPr>
          <w:color w:val="auto"/>
          <w:highlight w:val="none"/>
        </w:rPr>
      </w:pPr>
      <w:r>
        <w:rPr>
          <w:rFonts w:hint="eastAsia"/>
          <w:color w:val="auto"/>
          <w:highlight w:val="none"/>
        </w:rPr>
        <w:t>保证期是指自合同生效直至竣工证书发出日起计两年为止。</w:t>
      </w:r>
    </w:p>
    <w:p>
      <w:pPr>
        <w:pStyle w:val="8"/>
        <w:numPr>
          <w:ilvl w:val="0"/>
          <w:numId w:val="107"/>
        </w:numPr>
        <w:rPr>
          <w:color w:val="auto"/>
          <w:highlight w:val="none"/>
        </w:rPr>
      </w:pPr>
      <w:r>
        <w:rPr>
          <w:rFonts w:hint="eastAsia"/>
          <w:color w:val="auto"/>
          <w:highlight w:val="none"/>
        </w:rPr>
        <w:t>承包人如认为本技术规程说明书或图纸中的要求或说明与承包人所负的责任不适用时，必须在投标时提出。</w:t>
      </w:r>
    </w:p>
    <w:p>
      <w:pPr>
        <w:pStyle w:val="8"/>
        <w:numPr>
          <w:ilvl w:val="0"/>
          <w:numId w:val="107"/>
        </w:numPr>
        <w:rPr>
          <w:color w:val="auto"/>
          <w:highlight w:val="none"/>
        </w:rPr>
      </w:pPr>
      <w:r>
        <w:rPr>
          <w:rFonts w:hint="eastAsia"/>
          <w:color w:val="auto"/>
          <w:highlight w:val="none"/>
        </w:rPr>
        <w:t>任何制造商的产品保证在工程完工后仍然有效，该保证的权属应自动转归发包人所有，其后有关制造商保证中的权利和责任也转为发包人所有。</w:t>
      </w:r>
    </w:p>
    <w:p>
      <w:pPr>
        <w:pStyle w:val="8"/>
        <w:numPr>
          <w:ilvl w:val="0"/>
          <w:numId w:val="107"/>
        </w:numPr>
        <w:rPr>
          <w:color w:val="auto"/>
          <w:highlight w:val="none"/>
        </w:rPr>
      </w:pPr>
      <w:r>
        <w:rPr>
          <w:rFonts w:hint="eastAsia"/>
          <w:color w:val="auto"/>
          <w:highlight w:val="none"/>
        </w:rPr>
        <w:t>若在保证期满后，发现系统上潜在的缺陷，经技术专家鉴定是由于承包人的工料和施工方法不符合本技术规格说明书和图纸要求引起，承包人须负全责免费更换或整改，而不得推诿。</w:t>
      </w:r>
    </w:p>
    <w:p>
      <w:pPr>
        <w:pStyle w:val="7"/>
        <w:rPr>
          <w:color w:val="auto"/>
          <w:highlight w:val="none"/>
        </w:rPr>
      </w:pPr>
      <w:r>
        <w:rPr>
          <w:rFonts w:hint="eastAsia"/>
          <w:color w:val="auto"/>
          <w:highlight w:val="none"/>
        </w:rPr>
        <w:t>设备的更改</w:t>
      </w:r>
    </w:p>
    <w:p>
      <w:pPr>
        <w:pStyle w:val="8"/>
        <w:numPr>
          <w:ilvl w:val="0"/>
          <w:numId w:val="176"/>
        </w:numPr>
        <w:rPr>
          <w:color w:val="auto"/>
          <w:highlight w:val="none"/>
        </w:rPr>
      </w:pPr>
      <w:r>
        <w:rPr>
          <w:rFonts w:hint="eastAsia"/>
          <w:color w:val="auto"/>
          <w:highlight w:val="none"/>
        </w:rPr>
        <w:t>在合同生效后，在特殊情况下，承包人需要更改某些设备或材料须以书面提交合理的解释及证明文件，并提出建议；重新选定设备或材料制造商，必须在本议标书的可接受的生产商范围内挑选并同时经发包人书面批准方可使用。同时更改后的材料和设备必须达到本技术规格说明书的要求。此外，如有额外费用及合同责任应由承包人负责。</w:t>
      </w:r>
    </w:p>
    <w:p>
      <w:pPr>
        <w:pStyle w:val="8"/>
        <w:numPr>
          <w:ilvl w:val="0"/>
          <w:numId w:val="107"/>
        </w:numPr>
        <w:rPr>
          <w:color w:val="auto"/>
          <w:highlight w:val="none"/>
        </w:rPr>
      </w:pPr>
      <w:r>
        <w:rPr>
          <w:rFonts w:hint="eastAsia"/>
          <w:color w:val="auto"/>
          <w:highlight w:val="none"/>
        </w:rPr>
        <w:t>承包人更改材料和设备而延误的工期，由承包人全部负责。</w:t>
      </w:r>
    </w:p>
    <w:p>
      <w:pPr>
        <w:pStyle w:val="8"/>
        <w:numPr>
          <w:ilvl w:val="0"/>
          <w:numId w:val="107"/>
        </w:numPr>
        <w:rPr>
          <w:color w:val="auto"/>
          <w:highlight w:val="none"/>
        </w:rPr>
      </w:pPr>
      <w:r>
        <w:rPr>
          <w:rFonts w:hint="eastAsia"/>
          <w:color w:val="auto"/>
          <w:highlight w:val="none"/>
        </w:rPr>
        <w:t>因更改材料和设备导致有关建筑和结构的改动，对承包人及其它承包人所产生的影响及由此而引起的额外费用由承包人负责。</w:t>
      </w:r>
    </w:p>
    <w:p>
      <w:pPr>
        <w:pStyle w:val="8"/>
        <w:numPr>
          <w:ilvl w:val="0"/>
          <w:numId w:val="107"/>
        </w:numPr>
        <w:rPr>
          <w:color w:val="auto"/>
          <w:highlight w:val="none"/>
        </w:rPr>
      </w:pPr>
      <w:r>
        <w:rPr>
          <w:rFonts w:hint="eastAsia"/>
          <w:color w:val="auto"/>
          <w:highlight w:val="none"/>
        </w:rPr>
        <w:t xml:space="preserve">因更改材料和设备而引致和相关的管道、电缆、导管和设备的数量及排列的变化，承包人需提供因变化所需的材料和附件并承担所有增加的费用。 </w:t>
      </w:r>
    </w:p>
    <w:p>
      <w:pPr>
        <w:pStyle w:val="7"/>
        <w:rPr>
          <w:color w:val="auto"/>
          <w:highlight w:val="none"/>
        </w:rPr>
      </w:pPr>
      <w:r>
        <w:rPr>
          <w:rFonts w:hint="eastAsia"/>
          <w:color w:val="auto"/>
          <w:highlight w:val="none"/>
        </w:rPr>
        <w:t>工件的包装和保护</w:t>
      </w:r>
    </w:p>
    <w:p>
      <w:pPr>
        <w:pStyle w:val="8"/>
        <w:numPr>
          <w:ilvl w:val="0"/>
          <w:numId w:val="177"/>
        </w:numPr>
        <w:rPr>
          <w:color w:val="auto"/>
          <w:highlight w:val="none"/>
        </w:rPr>
      </w:pPr>
      <w:r>
        <w:rPr>
          <w:rFonts w:hint="eastAsia"/>
          <w:color w:val="auto"/>
          <w:highlight w:val="none"/>
        </w:rPr>
        <w:t>所有运送到工地的设备和材料均应保持全新状态，并应有适当的包装和保护。</w:t>
      </w:r>
    </w:p>
    <w:p>
      <w:pPr>
        <w:pStyle w:val="8"/>
        <w:numPr>
          <w:ilvl w:val="0"/>
          <w:numId w:val="107"/>
        </w:numPr>
        <w:rPr>
          <w:color w:val="auto"/>
          <w:highlight w:val="none"/>
        </w:rPr>
      </w:pPr>
      <w:r>
        <w:rPr>
          <w:rFonts w:hint="eastAsia"/>
          <w:color w:val="auto"/>
          <w:highlight w:val="none"/>
        </w:rPr>
        <w:t>所有运送过程中或在工地上受损的设备和材料，不得使用，承包人必须无偿更换，因此而引起的工期延误承包人负责。</w:t>
      </w:r>
    </w:p>
    <w:p>
      <w:pPr>
        <w:pStyle w:val="8"/>
        <w:numPr>
          <w:ilvl w:val="0"/>
          <w:numId w:val="107"/>
        </w:numPr>
        <w:rPr>
          <w:color w:val="auto"/>
          <w:highlight w:val="none"/>
        </w:rPr>
      </w:pPr>
      <w:r>
        <w:rPr>
          <w:rFonts w:hint="eastAsia"/>
          <w:color w:val="auto"/>
          <w:highlight w:val="none"/>
        </w:rPr>
        <w:t>承包人对大型设备的进场必须事先有详细的计划和安排，并提出切实可行的运送方案，工地一般不可能提供临时贮存场地。</w:t>
      </w:r>
    </w:p>
    <w:p>
      <w:pPr>
        <w:pStyle w:val="7"/>
        <w:rPr>
          <w:color w:val="auto"/>
          <w:highlight w:val="none"/>
        </w:rPr>
      </w:pPr>
      <w:r>
        <w:rPr>
          <w:rFonts w:hint="eastAsia"/>
          <w:color w:val="auto"/>
          <w:highlight w:val="none"/>
        </w:rPr>
        <w:t>对机件和设备的责任和拥有权。</w:t>
      </w:r>
    </w:p>
    <w:p>
      <w:pPr>
        <w:pStyle w:val="8"/>
        <w:numPr>
          <w:ilvl w:val="0"/>
          <w:numId w:val="178"/>
        </w:numPr>
        <w:rPr>
          <w:color w:val="auto"/>
          <w:highlight w:val="none"/>
        </w:rPr>
      </w:pPr>
      <w:r>
        <w:rPr>
          <w:rFonts w:hint="eastAsia"/>
          <w:color w:val="auto"/>
          <w:highlight w:val="none"/>
        </w:rPr>
        <w:t>在工程施工期间，承包人必须对所有材料、设备、机件的破损和遗失负责。</w:t>
      </w:r>
    </w:p>
    <w:p>
      <w:pPr>
        <w:pStyle w:val="8"/>
        <w:numPr>
          <w:ilvl w:val="0"/>
          <w:numId w:val="107"/>
        </w:numPr>
        <w:rPr>
          <w:color w:val="auto"/>
          <w:highlight w:val="none"/>
        </w:rPr>
      </w:pPr>
      <w:r>
        <w:rPr>
          <w:rFonts w:hint="eastAsia"/>
          <w:color w:val="auto"/>
          <w:highlight w:val="none"/>
        </w:rPr>
        <w:t>在本合同范围内所提供的一切材料、设备、机件一经送达工地，其拥有权归发包人所有。没有发包人的批准不得移离工地。</w:t>
      </w:r>
    </w:p>
    <w:p>
      <w:pPr>
        <w:pStyle w:val="7"/>
        <w:rPr>
          <w:color w:val="auto"/>
          <w:highlight w:val="none"/>
        </w:rPr>
      </w:pPr>
      <w:r>
        <w:rPr>
          <w:rFonts w:hint="eastAsia"/>
          <w:color w:val="auto"/>
          <w:highlight w:val="none"/>
        </w:rPr>
        <w:t>装置的大小及设备交送通道</w:t>
      </w:r>
    </w:p>
    <w:p>
      <w:pPr>
        <w:pStyle w:val="8"/>
        <w:numPr>
          <w:ilvl w:val="0"/>
          <w:numId w:val="179"/>
        </w:numPr>
        <w:rPr>
          <w:color w:val="auto"/>
          <w:highlight w:val="none"/>
        </w:rPr>
      </w:pPr>
      <w:r>
        <w:rPr>
          <w:rFonts w:hint="eastAsia"/>
          <w:color w:val="auto"/>
          <w:highlight w:val="none"/>
        </w:rPr>
        <w:t>所提供的装置和设备的大小尺寸应能适合指定的安装空间，并须考虑提供足够的维修及保养通道。</w:t>
      </w:r>
    </w:p>
    <w:p>
      <w:pPr>
        <w:pStyle w:val="8"/>
        <w:numPr>
          <w:ilvl w:val="0"/>
          <w:numId w:val="107"/>
        </w:numPr>
        <w:rPr>
          <w:color w:val="auto"/>
          <w:highlight w:val="none"/>
        </w:rPr>
      </w:pPr>
      <w:r>
        <w:rPr>
          <w:rFonts w:hint="eastAsia"/>
          <w:color w:val="auto"/>
          <w:highlight w:val="none"/>
        </w:rPr>
        <w:t>承包人应负责把全部材料运送到安装现场，对于大型重要设备的运送应拟定方案，事先交现场监理工程师审查。若承包人所提供的设备规格尺寸与图纸不符，由此造成的一切改动和费用，须由承包人负责。</w:t>
      </w:r>
    </w:p>
    <w:p>
      <w:pPr>
        <w:pStyle w:val="7"/>
        <w:rPr>
          <w:color w:val="auto"/>
          <w:highlight w:val="none"/>
        </w:rPr>
      </w:pPr>
      <w:r>
        <w:rPr>
          <w:rFonts w:hint="eastAsia"/>
          <w:color w:val="auto"/>
          <w:highlight w:val="none"/>
        </w:rPr>
        <w:t>样品审批</w:t>
      </w:r>
    </w:p>
    <w:p>
      <w:pPr>
        <w:pStyle w:val="8"/>
        <w:numPr>
          <w:ilvl w:val="0"/>
          <w:numId w:val="180"/>
        </w:numPr>
        <w:rPr>
          <w:color w:val="auto"/>
          <w:highlight w:val="none"/>
        </w:rPr>
      </w:pPr>
      <w:r>
        <w:rPr>
          <w:rFonts w:hint="eastAsia"/>
          <w:color w:val="auto"/>
          <w:highlight w:val="none"/>
        </w:rPr>
        <w:t>承包人须在合同生效后，在发包人要求时间内，提交一份具体的样品清单给现场工程师审批。清单内应注明设备材料名称，制造商名称、产地、规格型号、预定交货的日期。如现场工程师认为有必要，可要求承包人补充清单以外的样品。</w:t>
      </w:r>
    </w:p>
    <w:p>
      <w:pPr>
        <w:pStyle w:val="8"/>
        <w:numPr>
          <w:ilvl w:val="0"/>
          <w:numId w:val="107"/>
        </w:numPr>
        <w:rPr>
          <w:color w:val="auto"/>
          <w:highlight w:val="none"/>
        </w:rPr>
      </w:pPr>
      <w:r>
        <w:rPr>
          <w:rFonts w:hint="eastAsia"/>
          <w:color w:val="auto"/>
          <w:highlight w:val="none"/>
        </w:rPr>
        <w:t>送审的样品需采用木板挂成行列提交，样品板应按发包人指定的统一模式制造。所有材料及工艺的样品须先获得现场监理工程师的书面批准才可在现场使用。</w:t>
      </w:r>
    </w:p>
    <w:p>
      <w:pPr>
        <w:pStyle w:val="8"/>
        <w:numPr>
          <w:ilvl w:val="0"/>
          <w:numId w:val="107"/>
        </w:numPr>
        <w:rPr>
          <w:color w:val="auto"/>
          <w:highlight w:val="none"/>
        </w:rPr>
      </w:pPr>
      <w:r>
        <w:rPr>
          <w:rFonts w:hint="eastAsia"/>
          <w:color w:val="auto"/>
          <w:highlight w:val="none"/>
        </w:rPr>
        <w:t>承包人须将获批准的样品板（一式两份），交到工地，一份保留在工地现场，一份保留在发包人处，以备日后对所用材料和工艺的核对和验收。</w:t>
      </w:r>
    </w:p>
    <w:p>
      <w:pPr>
        <w:pStyle w:val="8"/>
        <w:numPr>
          <w:ilvl w:val="0"/>
          <w:numId w:val="107"/>
        </w:numPr>
        <w:rPr>
          <w:color w:val="auto"/>
          <w:highlight w:val="none"/>
        </w:rPr>
      </w:pPr>
      <w:r>
        <w:rPr>
          <w:rFonts w:hint="eastAsia"/>
          <w:color w:val="auto"/>
          <w:highlight w:val="none"/>
        </w:rPr>
        <w:t>在每一个样品上应附有中文说明标签，标明有关承包人商，制造商名称，合同名称，将投入使用的系统名称，还必须有现场工程师的签字。</w:t>
      </w:r>
    </w:p>
    <w:p>
      <w:pPr>
        <w:pStyle w:val="8"/>
        <w:numPr>
          <w:ilvl w:val="0"/>
          <w:numId w:val="107"/>
        </w:numPr>
        <w:rPr>
          <w:color w:val="auto"/>
          <w:highlight w:val="none"/>
        </w:rPr>
      </w:pPr>
      <w:r>
        <w:rPr>
          <w:rFonts w:hint="eastAsia"/>
          <w:color w:val="auto"/>
          <w:highlight w:val="none"/>
        </w:rPr>
        <w:t>承包人还应按本技术规格说明书的要求，提供足够的样品，以备需要时进行破坏性试验用，样品试验所需的费用应由承包人负责。</w:t>
      </w:r>
    </w:p>
    <w:p>
      <w:pPr>
        <w:pStyle w:val="7"/>
        <w:rPr>
          <w:color w:val="auto"/>
          <w:highlight w:val="none"/>
        </w:rPr>
      </w:pPr>
      <w:r>
        <w:rPr>
          <w:rFonts w:hint="eastAsia"/>
          <w:color w:val="auto"/>
          <w:highlight w:val="none"/>
        </w:rPr>
        <w:t>材料和工艺</w:t>
      </w:r>
    </w:p>
    <w:p>
      <w:pPr>
        <w:pStyle w:val="8"/>
        <w:numPr>
          <w:ilvl w:val="0"/>
          <w:numId w:val="181"/>
        </w:numPr>
        <w:rPr>
          <w:color w:val="auto"/>
          <w:highlight w:val="none"/>
        </w:rPr>
      </w:pPr>
      <w:r>
        <w:rPr>
          <w:rFonts w:hint="eastAsia"/>
          <w:color w:val="auto"/>
          <w:highlight w:val="none"/>
        </w:rPr>
        <w:t>除了本技术规格说明书有特殊说明外，本合同范围内所使用的所有材料、设备和配件必须为全新和标准产品，并具有相应的合格等级标准。详细要求请见《</w:t>
      </w:r>
      <w:r>
        <w:rPr>
          <w:color w:val="auto"/>
          <w:highlight w:val="none"/>
        </w:rPr>
        <w:fldChar w:fldCharType="begin"/>
      </w:r>
      <w:r>
        <w:rPr>
          <w:color w:val="auto"/>
          <w:highlight w:val="none"/>
        </w:rPr>
        <w:instrText xml:space="preserve"> </w:instrText>
      </w:r>
      <w:r>
        <w:rPr>
          <w:rFonts w:hint="eastAsia"/>
          <w:color w:val="auto"/>
          <w:highlight w:val="none"/>
        </w:rPr>
        <w:instrText xml:space="preserve">REF _Ref68427070 \h</w:instrText>
      </w:r>
      <w:r>
        <w:rPr>
          <w:color w:val="auto"/>
          <w:highlight w:val="none"/>
        </w:rPr>
        <w:instrText xml:space="preserve">  \* MERGEFORMAT </w:instrText>
      </w:r>
      <w:r>
        <w:rPr>
          <w:color w:val="auto"/>
          <w:highlight w:val="none"/>
        </w:rPr>
        <w:fldChar w:fldCharType="separate"/>
      </w:r>
      <w:r>
        <w:rPr>
          <w:rFonts w:hint="eastAsia"/>
          <w:color w:val="auto"/>
          <w:highlight w:val="none"/>
        </w:rPr>
        <w:t>防护工程主要材料参考品牌及生产厂家或供货单位选用表</w:t>
      </w:r>
      <w:r>
        <w:rPr>
          <w:color w:val="auto"/>
          <w:highlight w:val="none"/>
        </w:rPr>
        <w:fldChar w:fldCharType="end"/>
      </w:r>
      <w:r>
        <w:rPr>
          <w:rFonts w:hint="eastAsia"/>
          <w:color w:val="auto"/>
          <w:highlight w:val="none"/>
        </w:rPr>
        <w:t>》。</w:t>
      </w:r>
    </w:p>
    <w:p>
      <w:pPr>
        <w:pStyle w:val="8"/>
        <w:numPr>
          <w:ilvl w:val="0"/>
          <w:numId w:val="107"/>
        </w:numPr>
        <w:rPr>
          <w:color w:val="auto"/>
          <w:highlight w:val="none"/>
        </w:rPr>
      </w:pPr>
      <w:r>
        <w:rPr>
          <w:rFonts w:hint="eastAsia"/>
          <w:color w:val="auto"/>
          <w:highlight w:val="none"/>
        </w:rPr>
        <w:t>同类型的设备和材料应采用同一制造商的产品。</w:t>
      </w:r>
    </w:p>
    <w:p>
      <w:pPr>
        <w:pStyle w:val="8"/>
        <w:numPr>
          <w:ilvl w:val="0"/>
          <w:numId w:val="107"/>
        </w:numPr>
        <w:rPr>
          <w:color w:val="auto"/>
          <w:highlight w:val="none"/>
        </w:rPr>
      </w:pPr>
      <w:r>
        <w:rPr>
          <w:rFonts w:hint="eastAsia"/>
          <w:color w:val="auto"/>
          <w:highlight w:val="none"/>
        </w:rPr>
        <w:t>同类型的设备的零部件及其组装零件应能互相调换，备用零件与原机零件相同，性能相同。若需使用机械加工的配件，机械加工要求及允许偏差应符合图纸要求。</w:t>
      </w:r>
    </w:p>
    <w:p>
      <w:pPr>
        <w:pStyle w:val="8"/>
        <w:numPr>
          <w:ilvl w:val="0"/>
          <w:numId w:val="107"/>
        </w:numPr>
        <w:rPr>
          <w:color w:val="auto"/>
          <w:highlight w:val="none"/>
        </w:rPr>
      </w:pPr>
      <w:r>
        <w:rPr>
          <w:rFonts w:hint="eastAsia"/>
          <w:color w:val="auto"/>
          <w:highlight w:val="none"/>
        </w:rPr>
        <w:t>所有转动部件须在额定转速和最大负载情况下达到静、动力学平衡要求，同时噪音和震动必须在允许范围之内。</w:t>
      </w:r>
    </w:p>
    <w:p>
      <w:pPr>
        <w:pStyle w:val="8"/>
        <w:numPr>
          <w:ilvl w:val="0"/>
          <w:numId w:val="107"/>
        </w:numPr>
        <w:rPr>
          <w:color w:val="auto"/>
          <w:highlight w:val="none"/>
        </w:rPr>
      </w:pPr>
      <w:r>
        <w:rPr>
          <w:rFonts w:hint="eastAsia"/>
          <w:color w:val="auto"/>
          <w:highlight w:val="none"/>
        </w:rPr>
        <w:t>所有受尘埃影响会出现磨损或损坏的零部件，应设置防尘保护罩。</w:t>
      </w:r>
    </w:p>
    <w:p>
      <w:pPr>
        <w:pStyle w:val="8"/>
        <w:numPr>
          <w:ilvl w:val="0"/>
          <w:numId w:val="107"/>
        </w:numPr>
        <w:rPr>
          <w:color w:val="auto"/>
          <w:highlight w:val="none"/>
        </w:rPr>
      </w:pPr>
      <w:r>
        <w:rPr>
          <w:rFonts w:hint="eastAsia"/>
          <w:color w:val="auto"/>
          <w:highlight w:val="none"/>
        </w:rPr>
        <w:t>本合同范围内的全部施工须由熟练的专业技工进行，并应遵照本说明书所规定的工艺要求施工。发包人监理工程师有权要求承包人提供各专业技工和技术人员的资历作审查。</w:t>
      </w:r>
    </w:p>
    <w:p>
      <w:pPr>
        <w:pStyle w:val="8"/>
        <w:numPr>
          <w:ilvl w:val="0"/>
          <w:numId w:val="107"/>
        </w:numPr>
        <w:rPr>
          <w:color w:val="auto"/>
          <w:highlight w:val="none"/>
        </w:rPr>
      </w:pPr>
      <w:r>
        <w:rPr>
          <w:rFonts w:hint="eastAsia"/>
          <w:color w:val="auto"/>
          <w:highlight w:val="none"/>
        </w:rPr>
        <w:t>所有部件的安装位置方便维修保养和更换。</w:t>
      </w:r>
    </w:p>
    <w:p>
      <w:pPr>
        <w:ind w:firstLine="581"/>
        <w:rPr>
          <w:rFonts w:ascii="Times New Roman" w:hAnsi="Times New Roman" w:cs="Times New Roman"/>
          <w:color w:val="auto"/>
          <w:highlight w:val="none"/>
          <w:lang w:eastAsia="zh-CN"/>
        </w:rPr>
      </w:pPr>
    </w:p>
    <w:p>
      <w:pPr>
        <w:pStyle w:val="4"/>
        <w:rPr>
          <w:color w:val="auto"/>
          <w:highlight w:val="none"/>
        </w:rPr>
      </w:pPr>
      <w:bookmarkStart w:id="60" w:name="_Toc122371853"/>
      <w:bookmarkStart w:id="61" w:name="_Toc24115028"/>
      <w:r>
        <w:rPr>
          <w:rFonts w:hint="eastAsia"/>
          <w:color w:val="auto"/>
          <w:highlight w:val="none"/>
        </w:rPr>
        <w:t>以上各章节之技术要求，如与设计图纸或国家相关规范、规程及行业标准不符，则以较严标准为准。</w:t>
      </w:r>
      <w:bookmarkEnd w:id="60"/>
      <w:bookmarkEnd w:id="61"/>
    </w:p>
    <w:p>
      <w:pPr>
        <w:ind w:firstLine="581"/>
        <w:rPr>
          <w:rFonts w:ascii="Times New Roman" w:hAnsi="Times New Roman" w:cs="Times New Roman"/>
          <w:color w:val="auto"/>
          <w:highlight w:val="none"/>
          <w:lang w:eastAsia="zh-CN"/>
        </w:rPr>
      </w:pPr>
    </w:p>
    <w:p>
      <w:pPr>
        <w:pStyle w:val="2"/>
        <w:rPr>
          <w:color w:val="auto"/>
          <w:highlight w:val="none"/>
          <w:lang w:eastAsia="zh-CN"/>
        </w:rPr>
      </w:pPr>
    </w:p>
    <w:p>
      <w:pPr>
        <w:pStyle w:val="2"/>
        <w:rPr>
          <w:color w:val="auto"/>
          <w:highlight w:val="none"/>
          <w:lang w:eastAsia="zh-CN"/>
        </w:rPr>
      </w:pPr>
    </w:p>
    <w:p>
      <w:pPr>
        <w:pStyle w:val="2"/>
        <w:rPr>
          <w:color w:val="auto"/>
          <w:highlight w:val="none"/>
          <w:lang w:eastAsia="zh-CN"/>
        </w:rPr>
      </w:pPr>
    </w:p>
    <w:p>
      <w:pPr>
        <w:pStyle w:val="2"/>
        <w:rPr>
          <w:color w:val="auto"/>
          <w:highlight w:val="none"/>
          <w:lang w:eastAsia="zh-CN"/>
        </w:rPr>
      </w:pPr>
    </w:p>
    <w:p>
      <w:pPr>
        <w:pStyle w:val="2"/>
        <w:rPr>
          <w:color w:val="auto"/>
          <w:highlight w:val="none"/>
          <w:lang w:eastAsia="zh-CN"/>
        </w:rPr>
      </w:pPr>
    </w:p>
    <w:p>
      <w:pPr>
        <w:pStyle w:val="2"/>
        <w:rPr>
          <w:color w:val="auto"/>
          <w:highlight w:val="none"/>
          <w:lang w:eastAsia="zh-CN"/>
        </w:rPr>
      </w:pPr>
    </w:p>
    <w:p>
      <w:pPr>
        <w:pStyle w:val="2"/>
        <w:rPr>
          <w:color w:val="auto"/>
          <w:highlight w:val="none"/>
          <w:lang w:eastAsia="zh-CN"/>
        </w:rPr>
      </w:pPr>
    </w:p>
    <w:p>
      <w:pPr>
        <w:pStyle w:val="3"/>
        <w:rPr>
          <w:color w:val="auto"/>
          <w:highlight w:val="none"/>
        </w:rPr>
      </w:pPr>
      <w:r>
        <w:rPr>
          <w:rFonts w:hint="eastAsia"/>
          <w:color w:val="auto"/>
          <w:highlight w:val="none"/>
        </w:rPr>
        <w:t>医疗工艺及净化工程技术要求</w:t>
      </w:r>
    </w:p>
    <w:p>
      <w:pPr>
        <w:rPr>
          <w:color w:val="auto"/>
          <w:highlight w:val="none"/>
          <w:lang w:eastAsia="zh-CN"/>
        </w:rPr>
      </w:pPr>
    </w:p>
    <w:p>
      <w:pPr>
        <w:pStyle w:val="4"/>
        <w:spacing w:before="120" w:beforeLines="50"/>
        <w:ind w:left="0" w:firstLine="0"/>
        <w:rPr>
          <w:color w:val="auto"/>
          <w:highlight w:val="none"/>
        </w:rPr>
      </w:pPr>
      <w:r>
        <w:rPr>
          <w:rFonts w:hint="eastAsia"/>
          <w:color w:val="auto"/>
          <w:highlight w:val="none"/>
        </w:rPr>
        <w:t>主要材料、设备技术要求、施工及管理技术要求</w:t>
      </w:r>
    </w:p>
    <w:p>
      <w:pPr>
        <w:pStyle w:val="6"/>
        <w:spacing w:line="360" w:lineRule="auto"/>
        <w:rPr>
          <w:color w:val="auto"/>
          <w:highlight w:val="none"/>
        </w:rPr>
      </w:pPr>
      <w:r>
        <w:rPr>
          <w:rFonts w:hint="eastAsia"/>
          <w:color w:val="auto"/>
          <w:highlight w:val="none"/>
        </w:rPr>
        <w:t xml:space="preserve"> 医疗工艺及洁净装修技术要求</w:t>
      </w:r>
    </w:p>
    <w:tbl>
      <w:tblPr>
        <w:tblStyle w:val="85"/>
        <w:tblW w:w="9497" w:type="dxa"/>
        <w:tblInd w:w="418"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708"/>
        <w:gridCol w:w="1276"/>
        <w:gridCol w:w="6237"/>
        <w:gridCol w:w="1276"/>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736" w:hRule="atLeast"/>
          <w:tblHeader/>
        </w:trPr>
        <w:tc>
          <w:tcPr>
            <w:tcW w:w="708" w:type="dxa"/>
            <w:tcBorders>
              <w:top w:val="single" w:color="000000" w:sz="6" w:space="0"/>
              <w:left w:val="single" w:color="000000" w:sz="6" w:space="0"/>
              <w:bottom w:val="single" w:color="000000" w:sz="6" w:space="0"/>
              <w:right w:val="single" w:color="000000" w:sz="6" w:space="0"/>
            </w:tcBorders>
            <w:vAlign w:val="center"/>
          </w:tcPr>
          <w:p>
            <w:pPr>
              <w:jc w:val="center"/>
              <w:rPr>
                <w:color w:val="auto"/>
                <w:highlight w:val="none"/>
              </w:rPr>
            </w:pPr>
            <w:r>
              <w:rPr>
                <w:rFonts w:hint="eastAsia"/>
                <w:color w:val="auto"/>
                <w:highlight w:val="none"/>
              </w:rPr>
              <w:t>序号</w:t>
            </w:r>
          </w:p>
        </w:tc>
        <w:tc>
          <w:tcPr>
            <w:tcW w:w="1276" w:type="dxa"/>
            <w:tcBorders>
              <w:top w:val="single" w:color="000000" w:sz="6" w:space="0"/>
              <w:left w:val="single" w:color="000000" w:sz="6" w:space="0"/>
              <w:bottom w:val="single" w:color="000000" w:sz="6" w:space="0"/>
              <w:right w:val="single" w:color="000000" w:sz="6" w:space="0"/>
            </w:tcBorders>
            <w:vAlign w:val="center"/>
          </w:tcPr>
          <w:p>
            <w:pPr>
              <w:jc w:val="center"/>
              <w:rPr>
                <w:color w:val="auto"/>
                <w:highlight w:val="none"/>
              </w:rPr>
            </w:pPr>
            <w:r>
              <w:rPr>
                <w:rFonts w:hint="eastAsia"/>
                <w:color w:val="auto"/>
                <w:highlight w:val="none"/>
              </w:rPr>
              <w:t>产品名称</w:t>
            </w:r>
          </w:p>
        </w:tc>
        <w:tc>
          <w:tcPr>
            <w:tcW w:w="6237" w:type="dxa"/>
            <w:tcBorders>
              <w:top w:val="single" w:color="000000" w:sz="6" w:space="0"/>
              <w:left w:val="single" w:color="000000" w:sz="6" w:space="0"/>
              <w:bottom w:val="single" w:color="000000" w:sz="6" w:space="0"/>
              <w:right w:val="single" w:color="000000" w:sz="6" w:space="0"/>
            </w:tcBorders>
            <w:vAlign w:val="center"/>
          </w:tcPr>
          <w:p>
            <w:pPr>
              <w:jc w:val="center"/>
              <w:rPr>
                <w:color w:val="auto"/>
                <w:highlight w:val="none"/>
              </w:rPr>
            </w:pPr>
            <w:r>
              <w:rPr>
                <w:rFonts w:hint="eastAsia"/>
                <w:color w:val="auto"/>
                <w:highlight w:val="none"/>
              </w:rPr>
              <w:t>技术要求</w:t>
            </w:r>
          </w:p>
        </w:tc>
        <w:tc>
          <w:tcPr>
            <w:tcW w:w="1276" w:type="dxa"/>
            <w:tcBorders>
              <w:top w:val="single" w:color="000000" w:sz="6" w:space="0"/>
              <w:left w:val="single" w:color="000000" w:sz="6" w:space="0"/>
              <w:bottom w:val="single" w:color="000000" w:sz="6" w:space="0"/>
              <w:right w:val="single" w:color="000000" w:sz="6" w:space="0"/>
            </w:tcBorders>
            <w:vAlign w:val="center"/>
          </w:tcPr>
          <w:p>
            <w:pPr>
              <w:jc w:val="center"/>
              <w:rPr>
                <w:color w:val="auto"/>
                <w:highlight w:val="none"/>
              </w:rPr>
            </w:pPr>
            <w:r>
              <w:rPr>
                <w:rFonts w:hint="eastAsia"/>
                <w:color w:val="auto"/>
                <w:highlight w:val="none"/>
              </w:rPr>
              <w:t>参考品牌</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708" w:type="dxa"/>
            <w:tcBorders>
              <w:right w:val="single" w:color="000000" w:sz="6" w:space="0"/>
            </w:tcBorders>
            <w:vAlign w:val="center"/>
          </w:tcPr>
          <w:p>
            <w:pPr>
              <w:rPr>
                <w:color w:val="auto"/>
                <w:highlight w:val="none"/>
              </w:rPr>
            </w:pPr>
          </w:p>
        </w:tc>
        <w:tc>
          <w:tcPr>
            <w:tcW w:w="1276" w:type="dxa"/>
            <w:tcBorders>
              <w:left w:val="single" w:color="000000" w:sz="6" w:space="0"/>
              <w:right w:val="single" w:color="000000" w:sz="6" w:space="0"/>
            </w:tcBorders>
            <w:vAlign w:val="center"/>
          </w:tcPr>
          <w:p>
            <w:pPr>
              <w:rPr>
                <w:color w:val="auto"/>
                <w:highlight w:val="none"/>
                <w:lang w:eastAsia="zh-CN"/>
              </w:rPr>
            </w:pPr>
            <w:r>
              <w:rPr>
                <w:rFonts w:hint="eastAsia"/>
                <w:color w:val="auto"/>
                <w:highlight w:val="none"/>
                <w:lang w:eastAsia="zh-CN"/>
              </w:rPr>
              <w:t>医疗工艺及洁净装修技术要求</w:t>
            </w:r>
          </w:p>
        </w:tc>
        <w:tc>
          <w:tcPr>
            <w:tcW w:w="6237" w:type="dxa"/>
            <w:tcBorders>
              <w:left w:val="single" w:color="000000" w:sz="6" w:space="0"/>
              <w:right w:val="single" w:color="000000" w:sz="6" w:space="0"/>
            </w:tcBorders>
            <w:vAlign w:val="center"/>
          </w:tcPr>
          <w:p>
            <w:pPr>
              <w:rPr>
                <w:color w:val="auto"/>
                <w:highlight w:val="none"/>
                <w:lang w:eastAsia="zh-CN"/>
              </w:rPr>
            </w:pPr>
            <w:r>
              <w:rPr>
                <w:rFonts w:hint="eastAsia"/>
                <w:color w:val="auto"/>
                <w:highlight w:val="none"/>
                <w:lang w:eastAsia="zh-CN"/>
              </w:rPr>
              <w:t>一、一般要求：</w:t>
            </w:r>
          </w:p>
          <w:p>
            <w:pPr>
              <w:rPr>
                <w:color w:val="auto"/>
                <w:highlight w:val="none"/>
                <w:lang w:eastAsia="zh-CN"/>
              </w:rPr>
            </w:pPr>
            <w:r>
              <w:rPr>
                <w:color w:val="auto"/>
                <w:highlight w:val="none"/>
                <w:lang w:eastAsia="zh-CN"/>
              </w:rPr>
              <w:t>1</w:t>
            </w:r>
            <w:r>
              <w:rPr>
                <w:rFonts w:hint="eastAsia"/>
                <w:color w:val="auto"/>
                <w:highlight w:val="none"/>
                <w:lang w:eastAsia="zh-CN"/>
              </w:rPr>
              <w:t>）投标人应根据本技术要求与设计院设计的洁净设计图纸一起使用，如本技术要求与相关图纸不符合时应以两者中较高要求为准。</w:t>
            </w:r>
          </w:p>
          <w:p>
            <w:pPr>
              <w:rPr>
                <w:color w:val="auto"/>
                <w:highlight w:val="none"/>
                <w:lang w:eastAsia="zh-CN"/>
              </w:rPr>
            </w:pPr>
            <w:r>
              <w:rPr>
                <w:color w:val="auto"/>
                <w:highlight w:val="none"/>
                <w:lang w:eastAsia="zh-CN"/>
              </w:rPr>
              <w:t>2</w:t>
            </w:r>
            <w:r>
              <w:rPr>
                <w:rFonts w:hint="eastAsia"/>
                <w:color w:val="auto"/>
                <w:highlight w:val="none"/>
                <w:lang w:eastAsia="zh-CN"/>
              </w:rPr>
              <w:t>）在符合本工程技术要求外</w:t>
            </w:r>
            <w:r>
              <w:rPr>
                <w:color w:val="auto"/>
                <w:highlight w:val="none"/>
                <w:lang w:eastAsia="zh-CN"/>
              </w:rPr>
              <w:t xml:space="preserve"> </w:t>
            </w:r>
            <w:r>
              <w:rPr>
                <w:rFonts w:hint="eastAsia"/>
                <w:color w:val="auto"/>
                <w:highlight w:val="none"/>
                <w:lang w:eastAsia="zh-CN"/>
              </w:rPr>
              <w:t>，承包人更应符合国家与地方的法律、法规、规范、规程的要求。</w:t>
            </w:r>
          </w:p>
          <w:p>
            <w:pPr>
              <w:rPr>
                <w:color w:val="auto"/>
                <w:highlight w:val="none"/>
                <w:lang w:eastAsia="zh-CN"/>
              </w:rPr>
            </w:pPr>
            <w:r>
              <w:rPr>
                <w:color w:val="auto"/>
                <w:highlight w:val="none"/>
                <w:lang w:eastAsia="zh-CN"/>
              </w:rPr>
              <w:t>3</w:t>
            </w:r>
            <w:r>
              <w:rPr>
                <w:rFonts w:hint="eastAsia"/>
                <w:color w:val="auto"/>
                <w:highlight w:val="none"/>
                <w:lang w:eastAsia="zh-CN"/>
              </w:rPr>
              <w:t>）样品：承包人应提供所有外表可见的产品及颜色的样品报监理、发包人和设计方联合审批，并封板留存供验收参考。</w:t>
            </w:r>
          </w:p>
          <w:p>
            <w:pPr>
              <w:rPr>
                <w:color w:val="auto"/>
                <w:highlight w:val="none"/>
                <w:lang w:eastAsia="zh-CN"/>
              </w:rPr>
            </w:pPr>
            <w:r>
              <w:rPr>
                <w:rFonts w:hint="eastAsia"/>
                <w:color w:val="auto"/>
                <w:highlight w:val="none"/>
                <w:lang w:eastAsia="zh-CN"/>
              </w:rPr>
              <w:t>二、规范标准：</w:t>
            </w:r>
          </w:p>
          <w:p>
            <w:pPr>
              <w:rPr>
                <w:color w:val="auto"/>
                <w:highlight w:val="none"/>
                <w:lang w:eastAsia="zh-CN"/>
              </w:rPr>
            </w:pPr>
            <w:r>
              <w:rPr>
                <w:rFonts w:hint="eastAsia"/>
                <w:color w:val="auto"/>
                <w:highlight w:val="none"/>
                <w:lang w:eastAsia="zh-CN"/>
              </w:rPr>
              <w:t>本项目应严格按照国家与地方的有关法律法规及相关技术规范进行施工。相关技术规范规程如下</w:t>
            </w:r>
            <w:r>
              <w:rPr>
                <w:color w:val="auto"/>
                <w:highlight w:val="none"/>
                <w:lang w:eastAsia="zh-CN"/>
              </w:rPr>
              <w:t>(</w:t>
            </w:r>
            <w:r>
              <w:rPr>
                <w:rFonts w:hint="eastAsia"/>
                <w:color w:val="auto"/>
                <w:highlight w:val="none"/>
                <w:lang w:eastAsia="zh-CN"/>
              </w:rPr>
              <w:t>包括但不限于</w:t>
            </w:r>
            <w:r>
              <w:rPr>
                <w:color w:val="auto"/>
                <w:highlight w:val="none"/>
                <w:lang w:eastAsia="zh-CN"/>
              </w:rPr>
              <w:t>)</w:t>
            </w:r>
            <w:r>
              <w:rPr>
                <w:rFonts w:hint="eastAsia"/>
                <w:color w:val="auto"/>
                <w:highlight w:val="none"/>
                <w:lang w:eastAsia="zh-CN"/>
              </w:rPr>
              <w:t>：</w:t>
            </w:r>
          </w:p>
          <w:p>
            <w:pPr>
              <w:rPr>
                <w:color w:val="auto"/>
                <w:highlight w:val="none"/>
                <w:lang w:eastAsia="zh-CN"/>
              </w:rPr>
            </w:pPr>
            <w:r>
              <w:rPr>
                <w:color w:val="auto"/>
                <w:highlight w:val="none"/>
                <w:lang w:eastAsia="zh-CN"/>
              </w:rPr>
              <w:t>1</w:t>
            </w:r>
            <w:r>
              <w:rPr>
                <w:rFonts w:hint="eastAsia"/>
                <w:color w:val="auto"/>
                <w:highlight w:val="none"/>
                <w:lang w:eastAsia="zh-CN"/>
              </w:rPr>
              <w:t>、《中华人民共和国建筑法》</w:t>
            </w:r>
          </w:p>
          <w:p>
            <w:pPr>
              <w:rPr>
                <w:color w:val="auto"/>
                <w:highlight w:val="none"/>
                <w:lang w:eastAsia="zh-CN"/>
              </w:rPr>
            </w:pPr>
            <w:r>
              <w:rPr>
                <w:color w:val="auto"/>
                <w:highlight w:val="none"/>
                <w:lang w:eastAsia="zh-CN"/>
              </w:rPr>
              <w:t>2</w:t>
            </w:r>
            <w:r>
              <w:rPr>
                <w:rFonts w:hint="eastAsia"/>
                <w:color w:val="auto"/>
                <w:highlight w:val="none"/>
                <w:lang w:eastAsia="zh-CN"/>
              </w:rPr>
              <w:t>、《中华人民共和国消防法》</w:t>
            </w:r>
          </w:p>
          <w:p>
            <w:pPr>
              <w:rPr>
                <w:color w:val="auto"/>
                <w:highlight w:val="none"/>
                <w:lang w:eastAsia="zh-CN"/>
              </w:rPr>
            </w:pPr>
            <w:r>
              <w:rPr>
                <w:color w:val="auto"/>
                <w:highlight w:val="none"/>
                <w:lang w:eastAsia="zh-CN"/>
              </w:rPr>
              <w:t>3</w:t>
            </w:r>
            <w:r>
              <w:rPr>
                <w:rFonts w:hint="eastAsia"/>
                <w:color w:val="auto"/>
                <w:highlight w:val="none"/>
                <w:lang w:eastAsia="zh-CN"/>
              </w:rPr>
              <w:t>、《民用建筑设计通则》（</w:t>
            </w:r>
            <w:r>
              <w:rPr>
                <w:color w:val="auto"/>
                <w:highlight w:val="none"/>
                <w:lang w:eastAsia="zh-CN"/>
              </w:rPr>
              <w:t>GB50352—2005</w:t>
            </w:r>
            <w:r>
              <w:rPr>
                <w:rFonts w:hint="eastAsia"/>
                <w:color w:val="auto"/>
                <w:highlight w:val="none"/>
                <w:lang w:eastAsia="zh-CN"/>
              </w:rPr>
              <w:t>）</w:t>
            </w:r>
          </w:p>
          <w:p>
            <w:pPr>
              <w:rPr>
                <w:color w:val="auto"/>
                <w:highlight w:val="none"/>
                <w:lang w:eastAsia="zh-CN"/>
              </w:rPr>
            </w:pPr>
            <w:r>
              <w:rPr>
                <w:color w:val="auto"/>
                <w:highlight w:val="none"/>
                <w:lang w:eastAsia="zh-CN"/>
              </w:rPr>
              <w:t>4</w:t>
            </w:r>
            <w:r>
              <w:rPr>
                <w:rFonts w:hint="eastAsia"/>
                <w:color w:val="auto"/>
                <w:highlight w:val="none"/>
                <w:lang w:eastAsia="zh-CN"/>
              </w:rPr>
              <w:t>、《建筑工程质量验收统一标准》（</w:t>
            </w:r>
            <w:r>
              <w:rPr>
                <w:color w:val="auto"/>
                <w:highlight w:val="none"/>
                <w:lang w:eastAsia="zh-CN"/>
              </w:rPr>
              <w:t>GB50300—2001</w:t>
            </w:r>
            <w:r>
              <w:rPr>
                <w:rFonts w:hint="eastAsia"/>
                <w:color w:val="auto"/>
                <w:highlight w:val="none"/>
                <w:lang w:eastAsia="zh-CN"/>
              </w:rPr>
              <w:t>）</w:t>
            </w:r>
          </w:p>
          <w:p>
            <w:pPr>
              <w:rPr>
                <w:color w:val="auto"/>
                <w:highlight w:val="none"/>
                <w:lang w:eastAsia="zh-CN"/>
              </w:rPr>
            </w:pPr>
            <w:r>
              <w:rPr>
                <w:color w:val="auto"/>
                <w:highlight w:val="none"/>
                <w:lang w:eastAsia="zh-CN"/>
              </w:rPr>
              <w:t>5</w:t>
            </w:r>
            <w:r>
              <w:rPr>
                <w:rFonts w:hint="eastAsia"/>
                <w:color w:val="auto"/>
                <w:highlight w:val="none"/>
                <w:lang w:eastAsia="zh-CN"/>
              </w:rPr>
              <w:t>、《砌体工程施工质量验收规范》</w:t>
            </w:r>
            <w:r>
              <w:rPr>
                <w:color w:val="auto"/>
                <w:highlight w:val="none"/>
                <w:lang w:eastAsia="zh-CN"/>
              </w:rPr>
              <w:t>(GB50203—2002)</w:t>
            </w:r>
          </w:p>
          <w:p>
            <w:pPr>
              <w:rPr>
                <w:color w:val="auto"/>
                <w:highlight w:val="none"/>
                <w:lang w:eastAsia="zh-CN"/>
              </w:rPr>
            </w:pPr>
            <w:r>
              <w:rPr>
                <w:rFonts w:hint="eastAsia"/>
                <w:color w:val="auto"/>
                <w:highlight w:val="none"/>
                <w:lang w:eastAsia="zh-CN"/>
              </w:rPr>
              <w:t>《建筑装饰装修工程质量验收规范》（</w:t>
            </w:r>
            <w:r>
              <w:rPr>
                <w:color w:val="auto"/>
                <w:highlight w:val="none"/>
                <w:lang w:eastAsia="zh-CN"/>
              </w:rPr>
              <w:t>GB50210—2001</w:t>
            </w:r>
            <w:r>
              <w:rPr>
                <w:rFonts w:hint="eastAsia"/>
                <w:color w:val="auto"/>
                <w:highlight w:val="none"/>
                <w:lang w:eastAsia="zh-CN"/>
              </w:rPr>
              <w:t>）</w:t>
            </w:r>
          </w:p>
          <w:p>
            <w:pPr>
              <w:rPr>
                <w:color w:val="auto"/>
                <w:highlight w:val="none"/>
                <w:lang w:eastAsia="zh-CN"/>
              </w:rPr>
            </w:pPr>
            <w:r>
              <w:rPr>
                <w:color w:val="auto"/>
                <w:highlight w:val="none"/>
                <w:lang w:eastAsia="zh-CN"/>
              </w:rPr>
              <w:t xml:space="preserve">  </w:t>
            </w:r>
            <w:r>
              <w:rPr>
                <w:rFonts w:hint="eastAsia"/>
                <w:color w:val="auto"/>
                <w:highlight w:val="none"/>
                <w:lang w:eastAsia="zh-CN"/>
              </w:rPr>
              <w:t>《钢结构工程施工质量及验收规范》（</w:t>
            </w:r>
            <w:r>
              <w:rPr>
                <w:color w:val="auto"/>
                <w:highlight w:val="none"/>
                <w:lang w:eastAsia="zh-CN"/>
              </w:rPr>
              <w:t>GB50205—2001</w:t>
            </w:r>
            <w:r>
              <w:rPr>
                <w:rFonts w:hint="eastAsia"/>
                <w:color w:val="auto"/>
                <w:highlight w:val="none"/>
                <w:lang w:eastAsia="zh-CN"/>
              </w:rPr>
              <w:t>）</w:t>
            </w:r>
          </w:p>
          <w:p>
            <w:pPr>
              <w:rPr>
                <w:color w:val="auto"/>
                <w:highlight w:val="none"/>
                <w:lang w:eastAsia="zh-CN"/>
              </w:rPr>
            </w:pPr>
            <w:r>
              <w:rPr>
                <w:color w:val="auto"/>
                <w:highlight w:val="none"/>
                <w:lang w:eastAsia="zh-CN"/>
              </w:rPr>
              <w:t xml:space="preserve">  </w:t>
            </w:r>
            <w:r>
              <w:rPr>
                <w:rFonts w:hint="eastAsia"/>
                <w:color w:val="auto"/>
                <w:highlight w:val="none"/>
                <w:lang w:eastAsia="zh-CN"/>
              </w:rPr>
              <w:t>《建筑工程施工质量评价标准》（</w:t>
            </w:r>
            <w:r>
              <w:rPr>
                <w:color w:val="auto"/>
                <w:highlight w:val="none"/>
                <w:lang w:eastAsia="zh-CN"/>
              </w:rPr>
              <w:t>GB/T50375</w:t>
            </w:r>
            <w:r>
              <w:rPr>
                <w:rFonts w:hint="eastAsia"/>
                <w:color w:val="auto"/>
                <w:highlight w:val="none"/>
                <w:lang w:eastAsia="zh-CN"/>
              </w:rPr>
              <w:t>－</w:t>
            </w:r>
            <w:r>
              <w:rPr>
                <w:color w:val="auto"/>
                <w:highlight w:val="none"/>
                <w:lang w:eastAsia="zh-CN"/>
              </w:rPr>
              <w:t>2006</w:t>
            </w:r>
            <w:r>
              <w:rPr>
                <w:rFonts w:hint="eastAsia"/>
                <w:color w:val="auto"/>
                <w:highlight w:val="none"/>
                <w:lang w:eastAsia="zh-CN"/>
              </w:rPr>
              <w:t>）</w:t>
            </w:r>
          </w:p>
          <w:p>
            <w:pPr>
              <w:rPr>
                <w:color w:val="auto"/>
                <w:highlight w:val="none"/>
                <w:lang w:eastAsia="zh-CN"/>
              </w:rPr>
            </w:pPr>
            <w:r>
              <w:rPr>
                <w:color w:val="auto"/>
                <w:highlight w:val="none"/>
                <w:lang w:eastAsia="zh-CN"/>
              </w:rPr>
              <w:t xml:space="preserve">  </w:t>
            </w:r>
            <w:r>
              <w:rPr>
                <w:rFonts w:hint="eastAsia"/>
                <w:color w:val="auto"/>
                <w:highlight w:val="none"/>
                <w:lang w:eastAsia="zh-CN"/>
              </w:rPr>
              <w:t>《建筑内部装修防火施工及验收规范》（</w:t>
            </w:r>
            <w:r>
              <w:rPr>
                <w:color w:val="auto"/>
                <w:highlight w:val="none"/>
                <w:lang w:eastAsia="zh-CN"/>
              </w:rPr>
              <w:t>GB50354</w:t>
            </w:r>
            <w:r>
              <w:rPr>
                <w:rFonts w:hint="eastAsia"/>
                <w:color w:val="auto"/>
                <w:highlight w:val="none"/>
                <w:lang w:eastAsia="zh-CN"/>
              </w:rPr>
              <w:t>－</w:t>
            </w:r>
            <w:r>
              <w:rPr>
                <w:color w:val="auto"/>
                <w:highlight w:val="none"/>
                <w:lang w:eastAsia="zh-CN"/>
              </w:rPr>
              <w:t>2005</w:t>
            </w:r>
            <w:r>
              <w:rPr>
                <w:rFonts w:hint="eastAsia"/>
                <w:color w:val="auto"/>
                <w:highlight w:val="none"/>
                <w:lang w:eastAsia="zh-CN"/>
              </w:rPr>
              <w:t>）</w:t>
            </w:r>
          </w:p>
          <w:p>
            <w:pPr>
              <w:rPr>
                <w:color w:val="auto"/>
                <w:highlight w:val="none"/>
                <w:lang w:eastAsia="zh-CN"/>
              </w:rPr>
            </w:pPr>
            <w:r>
              <w:rPr>
                <w:color w:val="auto"/>
                <w:highlight w:val="none"/>
                <w:lang w:eastAsia="zh-CN"/>
              </w:rPr>
              <w:t>6</w:t>
            </w:r>
            <w:r>
              <w:rPr>
                <w:rFonts w:hint="eastAsia"/>
                <w:color w:val="auto"/>
                <w:highlight w:val="none"/>
                <w:lang w:eastAsia="zh-CN"/>
              </w:rPr>
              <w:t>、《建筑地面工程施工质量验收规范》</w:t>
            </w:r>
            <w:r>
              <w:rPr>
                <w:color w:val="auto"/>
                <w:highlight w:val="none"/>
                <w:lang w:eastAsia="zh-CN"/>
              </w:rPr>
              <w:t>(GB50209—2002)</w:t>
            </w:r>
          </w:p>
          <w:p>
            <w:pPr>
              <w:rPr>
                <w:color w:val="auto"/>
                <w:highlight w:val="none"/>
                <w:lang w:eastAsia="zh-CN"/>
              </w:rPr>
            </w:pPr>
            <w:r>
              <w:rPr>
                <w:color w:val="auto"/>
                <w:highlight w:val="none"/>
                <w:lang w:eastAsia="zh-CN"/>
              </w:rPr>
              <w:t>7</w:t>
            </w:r>
            <w:r>
              <w:rPr>
                <w:rFonts w:hint="eastAsia"/>
                <w:color w:val="auto"/>
                <w:highlight w:val="none"/>
                <w:lang w:eastAsia="zh-CN"/>
              </w:rPr>
              <w:t>、《民用建筑工程室内环境污染控制规范》</w:t>
            </w:r>
            <w:r>
              <w:rPr>
                <w:color w:val="auto"/>
                <w:highlight w:val="none"/>
                <w:lang w:eastAsia="zh-CN"/>
              </w:rPr>
              <w:t>(GB50325—2001)</w:t>
            </w:r>
          </w:p>
          <w:p>
            <w:pPr>
              <w:rPr>
                <w:color w:val="auto"/>
                <w:highlight w:val="none"/>
                <w:lang w:eastAsia="zh-CN"/>
              </w:rPr>
            </w:pPr>
            <w:r>
              <w:rPr>
                <w:color w:val="auto"/>
                <w:highlight w:val="none"/>
                <w:lang w:eastAsia="zh-CN"/>
              </w:rPr>
              <w:t>8</w:t>
            </w:r>
            <w:r>
              <w:rPr>
                <w:rFonts w:hint="eastAsia"/>
                <w:color w:val="auto"/>
                <w:highlight w:val="none"/>
                <w:lang w:eastAsia="zh-CN"/>
              </w:rPr>
              <w:t>、《普通混凝土小型空心砌块》</w:t>
            </w:r>
            <w:r>
              <w:rPr>
                <w:color w:val="auto"/>
                <w:highlight w:val="none"/>
                <w:lang w:eastAsia="zh-CN"/>
              </w:rPr>
              <w:t>(GB8239—1997)</w:t>
            </w:r>
          </w:p>
          <w:p>
            <w:pPr>
              <w:rPr>
                <w:color w:val="auto"/>
                <w:highlight w:val="none"/>
                <w:lang w:eastAsia="zh-CN"/>
              </w:rPr>
            </w:pPr>
            <w:r>
              <w:rPr>
                <w:color w:val="auto"/>
                <w:highlight w:val="none"/>
                <w:lang w:eastAsia="zh-CN"/>
              </w:rPr>
              <w:t>9</w:t>
            </w:r>
            <w:r>
              <w:rPr>
                <w:rFonts w:hint="eastAsia"/>
                <w:color w:val="auto"/>
                <w:highlight w:val="none"/>
                <w:lang w:eastAsia="zh-CN"/>
              </w:rPr>
              <w:t>、《硅酸盐水泥、普通硅酸盐水泥》</w:t>
            </w:r>
            <w:r>
              <w:rPr>
                <w:color w:val="auto"/>
                <w:highlight w:val="none"/>
                <w:lang w:eastAsia="zh-CN"/>
              </w:rPr>
              <w:t>(GBl75—1999)</w:t>
            </w:r>
          </w:p>
          <w:p>
            <w:pPr>
              <w:rPr>
                <w:color w:val="auto"/>
                <w:highlight w:val="none"/>
                <w:lang w:eastAsia="zh-CN"/>
              </w:rPr>
            </w:pPr>
            <w:r>
              <w:rPr>
                <w:color w:val="auto"/>
                <w:highlight w:val="none"/>
                <w:lang w:eastAsia="zh-CN"/>
              </w:rPr>
              <w:t>10</w:t>
            </w:r>
            <w:r>
              <w:rPr>
                <w:rFonts w:hint="eastAsia"/>
                <w:color w:val="auto"/>
                <w:highlight w:val="none"/>
                <w:lang w:eastAsia="zh-CN"/>
              </w:rPr>
              <w:t>、《矿渣硅酸盐水泥、火山灰质硅酸盐水泥及粉煤灰硅酸盐水泥》</w:t>
            </w:r>
            <w:r>
              <w:rPr>
                <w:color w:val="auto"/>
                <w:highlight w:val="none"/>
                <w:lang w:eastAsia="zh-CN"/>
              </w:rPr>
              <w:t>(GBl344—1999)</w:t>
            </w:r>
          </w:p>
          <w:p>
            <w:pPr>
              <w:rPr>
                <w:color w:val="auto"/>
                <w:highlight w:val="none"/>
                <w:lang w:eastAsia="zh-CN"/>
              </w:rPr>
            </w:pPr>
            <w:r>
              <w:rPr>
                <w:color w:val="auto"/>
                <w:highlight w:val="none"/>
                <w:lang w:eastAsia="zh-CN"/>
              </w:rPr>
              <w:t>11</w:t>
            </w:r>
            <w:r>
              <w:rPr>
                <w:rFonts w:hint="eastAsia"/>
                <w:color w:val="auto"/>
                <w:highlight w:val="none"/>
                <w:lang w:eastAsia="zh-CN"/>
              </w:rPr>
              <w:t>、《室内装饰装修材料</w:t>
            </w:r>
            <w:r>
              <w:rPr>
                <w:color w:val="auto"/>
                <w:highlight w:val="none"/>
                <w:lang w:eastAsia="zh-CN"/>
              </w:rPr>
              <w:t xml:space="preserve"> </w:t>
            </w:r>
            <w:r>
              <w:rPr>
                <w:rFonts w:hint="eastAsia"/>
                <w:color w:val="auto"/>
                <w:highlight w:val="none"/>
                <w:lang w:eastAsia="zh-CN"/>
              </w:rPr>
              <w:t>人造板及其制品中甲醛释放限量》（</w:t>
            </w:r>
            <w:r>
              <w:rPr>
                <w:color w:val="auto"/>
                <w:highlight w:val="none"/>
                <w:lang w:eastAsia="zh-CN"/>
              </w:rPr>
              <w:t>GB 18580-2001</w:t>
            </w:r>
            <w:r>
              <w:rPr>
                <w:rFonts w:hint="eastAsia"/>
                <w:color w:val="auto"/>
                <w:highlight w:val="none"/>
                <w:lang w:eastAsia="zh-CN"/>
              </w:rPr>
              <w:t>）</w:t>
            </w:r>
          </w:p>
          <w:p>
            <w:pPr>
              <w:rPr>
                <w:color w:val="auto"/>
                <w:highlight w:val="none"/>
                <w:lang w:eastAsia="zh-CN"/>
              </w:rPr>
            </w:pPr>
            <w:r>
              <w:rPr>
                <w:color w:val="auto"/>
                <w:highlight w:val="none"/>
                <w:lang w:eastAsia="zh-CN"/>
              </w:rPr>
              <w:t>12</w:t>
            </w:r>
            <w:r>
              <w:rPr>
                <w:rFonts w:hint="eastAsia"/>
                <w:color w:val="auto"/>
                <w:highlight w:val="none"/>
                <w:lang w:eastAsia="zh-CN"/>
              </w:rPr>
              <w:t>、《室内装饰装修材料溶剂型木器涂料中有害物质限量》</w:t>
            </w:r>
            <w:r>
              <w:rPr>
                <w:color w:val="auto"/>
                <w:highlight w:val="none"/>
                <w:lang w:eastAsia="zh-CN"/>
              </w:rPr>
              <w:t>GB18581-2001</w:t>
            </w:r>
          </w:p>
          <w:p>
            <w:pPr>
              <w:rPr>
                <w:color w:val="auto"/>
                <w:highlight w:val="none"/>
                <w:lang w:eastAsia="zh-CN"/>
              </w:rPr>
            </w:pPr>
            <w:r>
              <w:rPr>
                <w:color w:val="auto"/>
                <w:highlight w:val="none"/>
                <w:lang w:eastAsia="zh-CN"/>
              </w:rPr>
              <w:t>13</w:t>
            </w:r>
            <w:r>
              <w:rPr>
                <w:rFonts w:hint="eastAsia"/>
                <w:color w:val="auto"/>
                <w:highlight w:val="none"/>
                <w:lang w:eastAsia="zh-CN"/>
              </w:rPr>
              <w:t>、《室内装饰装修墙涂料中有害物质限量》</w:t>
            </w:r>
            <w:r>
              <w:rPr>
                <w:color w:val="auto"/>
                <w:highlight w:val="none"/>
                <w:lang w:eastAsia="zh-CN"/>
              </w:rPr>
              <w:t>GB18582-2001</w:t>
            </w:r>
          </w:p>
          <w:p>
            <w:pPr>
              <w:rPr>
                <w:color w:val="auto"/>
                <w:highlight w:val="none"/>
                <w:lang w:eastAsia="zh-CN"/>
              </w:rPr>
            </w:pPr>
            <w:r>
              <w:rPr>
                <w:color w:val="auto"/>
                <w:highlight w:val="none"/>
                <w:lang w:eastAsia="zh-CN"/>
              </w:rPr>
              <w:t>14</w:t>
            </w:r>
            <w:r>
              <w:rPr>
                <w:rFonts w:hint="eastAsia"/>
                <w:color w:val="auto"/>
                <w:highlight w:val="none"/>
                <w:lang w:eastAsia="zh-CN"/>
              </w:rPr>
              <w:t>、《室内装饰装修材料胶粘剂中有害物质限量》</w:t>
            </w:r>
            <w:r>
              <w:rPr>
                <w:color w:val="auto"/>
                <w:highlight w:val="none"/>
                <w:lang w:eastAsia="zh-CN"/>
              </w:rPr>
              <w:t>GB18583-2001</w:t>
            </w:r>
          </w:p>
          <w:p>
            <w:pPr>
              <w:rPr>
                <w:color w:val="auto"/>
                <w:highlight w:val="none"/>
                <w:lang w:eastAsia="zh-CN"/>
              </w:rPr>
            </w:pPr>
            <w:r>
              <w:rPr>
                <w:color w:val="auto"/>
                <w:highlight w:val="none"/>
                <w:lang w:eastAsia="zh-CN"/>
              </w:rPr>
              <w:t>15</w:t>
            </w:r>
            <w:r>
              <w:rPr>
                <w:rFonts w:hint="eastAsia"/>
                <w:color w:val="auto"/>
                <w:highlight w:val="none"/>
                <w:lang w:eastAsia="zh-CN"/>
              </w:rPr>
              <w:t>、《室内装饰装修材料木家具中有害物质限量》</w:t>
            </w:r>
            <w:r>
              <w:rPr>
                <w:color w:val="auto"/>
                <w:highlight w:val="none"/>
                <w:lang w:eastAsia="zh-CN"/>
              </w:rPr>
              <w:t>GB18584-2001</w:t>
            </w:r>
          </w:p>
          <w:p>
            <w:pPr>
              <w:rPr>
                <w:color w:val="auto"/>
                <w:highlight w:val="none"/>
                <w:lang w:eastAsia="zh-CN"/>
              </w:rPr>
            </w:pPr>
            <w:r>
              <w:rPr>
                <w:color w:val="auto"/>
                <w:highlight w:val="none"/>
                <w:lang w:eastAsia="zh-CN"/>
              </w:rPr>
              <w:t>16</w:t>
            </w:r>
            <w:r>
              <w:rPr>
                <w:rFonts w:hint="eastAsia"/>
                <w:color w:val="auto"/>
                <w:highlight w:val="none"/>
                <w:lang w:eastAsia="zh-CN"/>
              </w:rPr>
              <w:t>、《室内装饰装修材料聚氯乙稀卷材地板中有害物质限量》</w:t>
            </w:r>
            <w:r>
              <w:rPr>
                <w:color w:val="auto"/>
                <w:highlight w:val="none"/>
                <w:lang w:eastAsia="zh-CN"/>
              </w:rPr>
              <w:t>GB18586-2001</w:t>
            </w:r>
          </w:p>
          <w:p>
            <w:pPr>
              <w:rPr>
                <w:color w:val="auto"/>
                <w:highlight w:val="none"/>
              </w:rPr>
            </w:pPr>
            <w:r>
              <w:rPr>
                <w:color w:val="auto"/>
                <w:highlight w:val="none"/>
              </w:rPr>
              <w:t>17</w:t>
            </w:r>
            <w:r>
              <w:rPr>
                <w:rFonts w:hint="eastAsia"/>
                <w:color w:val="auto"/>
                <w:highlight w:val="none"/>
              </w:rPr>
              <w:t>、《建筑材料放射性核素限量》</w:t>
            </w:r>
            <w:r>
              <w:rPr>
                <w:color w:val="auto"/>
                <w:highlight w:val="none"/>
              </w:rPr>
              <w:t>GB 6566-2001</w:t>
            </w:r>
          </w:p>
          <w:p>
            <w:pPr>
              <w:rPr>
                <w:color w:val="auto"/>
                <w:highlight w:val="none"/>
                <w:lang w:eastAsia="zh-CN"/>
              </w:rPr>
            </w:pPr>
            <w:r>
              <w:rPr>
                <w:color w:val="auto"/>
                <w:highlight w:val="none"/>
                <w:lang w:eastAsia="zh-CN"/>
              </w:rPr>
              <w:t>18</w:t>
            </w:r>
            <w:r>
              <w:rPr>
                <w:rFonts w:hint="eastAsia"/>
                <w:color w:val="auto"/>
                <w:highlight w:val="none"/>
                <w:lang w:eastAsia="zh-CN"/>
              </w:rPr>
              <w:t>、《天然石材产品放射性分类控制标准》</w:t>
            </w:r>
            <w:r>
              <w:rPr>
                <w:color w:val="auto"/>
                <w:highlight w:val="none"/>
                <w:lang w:eastAsia="zh-CN"/>
              </w:rPr>
              <w:t>JC518</w:t>
            </w:r>
            <w:r>
              <w:rPr>
                <w:rFonts w:hint="eastAsia"/>
                <w:color w:val="auto"/>
                <w:highlight w:val="none"/>
                <w:lang w:eastAsia="zh-CN"/>
              </w:rPr>
              <w:t>－</w:t>
            </w:r>
            <w:r>
              <w:rPr>
                <w:color w:val="auto"/>
                <w:highlight w:val="none"/>
                <w:lang w:eastAsia="zh-CN"/>
              </w:rPr>
              <w:t>93</w:t>
            </w:r>
          </w:p>
          <w:p>
            <w:pPr>
              <w:rPr>
                <w:color w:val="auto"/>
                <w:highlight w:val="none"/>
                <w:lang w:eastAsia="zh-CN"/>
              </w:rPr>
            </w:pPr>
            <w:r>
              <w:rPr>
                <w:color w:val="auto"/>
                <w:highlight w:val="none"/>
                <w:lang w:eastAsia="zh-CN"/>
              </w:rPr>
              <w:t>19</w:t>
            </w:r>
            <w:r>
              <w:rPr>
                <w:rFonts w:hint="eastAsia"/>
                <w:color w:val="auto"/>
                <w:highlight w:val="none"/>
                <w:lang w:eastAsia="zh-CN"/>
              </w:rPr>
              <w:t>、《关于加强建筑工程室内环境质量的若干意见》（建办质【</w:t>
            </w:r>
            <w:r>
              <w:rPr>
                <w:color w:val="auto"/>
                <w:highlight w:val="none"/>
                <w:lang w:eastAsia="zh-CN"/>
              </w:rPr>
              <w:t>2002</w:t>
            </w:r>
            <w:r>
              <w:rPr>
                <w:rFonts w:hint="eastAsia"/>
                <w:color w:val="auto"/>
                <w:highlight w:val="none"/>
                <w:lang w:eastAsia="zh-CN"/>
              </w:rPr>
              <w:t>】</w:t>
            </w:r>
            <w:r>
              <w:rPr>
                <w:color w:val="auto"/>
                <w:highlight w:val="none"/>
                <w:lang w:eastAsia="zh-CN"/>
              </w:rPr>
              <w:t>17</w:t>
            </w:r>
            <w:r>
              <w:rPr>
                <w:rFonts w:hint="eastAsia"/>
                <w:color w:val="auto"/>
                <w:highlight w:val="none"/>
                <w:lang w:eastAsia="zh-CN"/>
              </w:rPr>
              <w:t>号）</w:t>
            </w:r>
          </w:p>
          <w:p>
            <w:pPr>
              <w:rPr>
                <w:color w:val="auto"/>
                <w:highlight w:val="none"/>
                <w:lang w:eastAsia="zh-CN"/>
              </w:rPr>
            </w:pPr>
            <w:r>
              <w:rPr>
                <w:color w:val="auto"/>
                <w:highlight w:val="none"/>
                <w:lang w:eastAsia="zh-CN"/>
              </w:rPr>
              <w:t>20</w:t>
            </w:r>
            <w:r>
              <w:rPr>
                <w:rFonts w:hint="eastAsia"/>
                <w:color w:val="auto"/>
                <w:highlight w:val="none"/>
                <w:lang w:eastAsia="zh-CN"/>
              </w:rPr>
              <w:t>、《紧固件机械性能</w:t>
            </w:r>
            <w:r>
              <w:rPr>
                <w:color w:val="auto"/>
                <w:highlight w:val="none"/>
                <w:lang w:eastAsia="zh-CN"/>
              </w:rPr>
              <w:t xml:space="preserve"> </w:t>
            </w:r>
            <w:r>
              <w:rPr>
                <w:rFonts w:hint="eastAsia"/>
                <w:color w:val="auto"/>
                <w:highlight w:val="none"/>
                <w:lang w:eastAsia="zh-CN"/>
              </w:rPr>
              <w:t>不锈钢螺栓、螺钉和螺柱》</w:t>
            </w:r>
            <w:r>
              <w:rPr>
                <w:color w:val="auto"/>
                <w:highlight w:val="none"/>
                <w:lang w:eastAsia="zh-CN"/>
              </w:rPr>
              <w:t>GB/T3098.6-2000</w:t>
            </w:r>
          </w:p>
          <w:p>
            <w:pPr>
              <w:rPr>
                <w:color w:val="auto"/>
                <w:highlight w:val="none"/>
              </w:rPr>
            </w:pPr>
            <w:r>
              <w:rPr>
                <w:color w:val="auto"/>
                <w:highlight w:val="none"/>
              </w:rPr>
              <w:t>21</w:t>
            </w:r>
            <w:r>
              <w:rPr>
                <w:rFonts w:hint="eastAsia"/>
                <w:color w:val="auto"/>
                <w:highlight w:val="none"/>
              </w:rPr>
              <w:t>、《建筑用安全玻璃、防火玻璃》</w:t>
            </w:r>
            <w:r>
              <w:rPr>
                <w:color w:val="auto"/>
                <w:highlight w:val="none"/>
              </w:rPr>
              <w:t>GB15763.1-2001</w:t>
            </w:r>
          </w:p>
          <w:p>
            <w:pPr>
              <w:rPr>
                <w:color w:val="auto"/>
                <w:highlight w:val="none"/>
                <w:lang w:eastAsia="zh-CN"/>
              </w:rPr>
            </w:pPr>
            <w:r>
              <w:rPr>
                <w:color w:val="auto"/>
                <w:highlight w:val="none"/>
                <w:lang w:eastAsia="zh-CN"/>
              </w:rPr>
              <w:t>22</w:t>
            </w:r>
            <w:r>
              <w:rPr>
                <w:rFonts w:hint="eastAsia"/>
                <w:color w:val="auto"/>
                <w:highlight w:val="none"/>
                <w:lang w:eastAsia="zh-CN"/>
              </w:rPr>
              <w:t>、《钢化玻璃》</w:t>
            </w:r>
            <w:r>
              <w:rPr>
                <w:color w:val="auto"/>
                <w:highlight w:val="none"/>
                <w:lang w:eastAsia="zh-CN"/>
              </w:rPr>
              <w:t>GB/T9963</w:t>
            </w:r>
            <w:r>
              <w:rPr>
                <w:rFonts w:hint="eastAsia"/>
                <w:color w:val="auto"/>
                <w:highlight w:val="none"/>
                <w:lang w:eastAsia="zh-CN"/>
              </w:rPr>
              <w:t>－</w:t>
            </w:r>
            <w:r>
              <w:rPr>
                <w:color w:val="auto"/>
                <w:highlight w:val="none"/>
                <w:lang w:eastAsia="zh-CN"/>
              </w:rPr>
              <w:t>1998</w:t>
            </w:r>
          </w:p>
          <w:p>
            <w:pPr>
              <w:rPr>
                <w:color w:val="auto"/>
                <w:highlight w:val="none"/>
                <w:lang w:eastAsia="zh-CN"/>
              </w:rPr>
            </w:pPr>
            <w:r>
              <w:rPr>
                <w:color w:val="auto"/>
                <w:highlight w:val="none"/>
                <w:lang w:eastAsia="zh-CN"/>
              </w:rPr>
              <w:t>23</w:t>
            </w:r>
            <w:r>
              <w:rPr>
                <w:rFonts w:hint="eastAsia"/>
                <w:color w:val="auto"/>
                <w:highlight w:val="none"/>
                <w:lang w:eastAsia="zh-CN"/>
              </w:rPr>
              <w:t>、《夹层玻璃》</w:t>
            </w:r>
            <w:r>
              <w:rPr>
                <w:color w:val="auto"/>
                <w:highlight w:val="none"/>
                <w:lang w:eastAsia="zh-CN"/>
              </w:rPr>
              <w:t>GB9962-1999</w:t>
            </w:r>
          </w:p>
          <w:p>
            <w:pPr>
              <w:rPr>
                <w:color w:val="auto"/>
                <w:highlight w:val="none"/>
                <w:lang w:eastAsia="zh-CN"/>
              </w:rPr>
            </w:pPr>
            <w:r>
              <w:rPr>
                <w:color w:val="auto"/>
                <w:highlight w:val="none"/>
                <w:lang w:eastAsia="zh-CN"/>
              </w:rPr>
              <w:t>24</w:t>
            </w:r>
            <w:r>
              <w:rPr>
                <w:rFonts w:hint="eastAsia"/>
                <w:color w:val="auto"/>
                <w:highlight w:val="none"/>
                <w:lang w:eastAsia="zh-CN"/>
              </w:rPr>
              <w:t>、《建筑玻璃应用技术规程》</w:t>
            </w:r>
            <w:r>
              <w:rPr>
                <w:color w:val="auto"/>
                <w:highlight w:val="none"/>
                <w:lang w:eastAsia="zh-CN"/>
              </w:rPr>
              <w:t>JGJ113-2003</w:t>
            </w:r>
          </w:p>
          <w:p>
            <w:pPr>
              <w:rPr>
                <w:color w:val="auto"/>
                <w:highlight w:val="none"/>
                <w:lang w:eastAsia="zh-CN"/>
              </w:rPr>
            </w:pPr>
            <w:r>
              <w:rPr>
                <w:color w:val="auto"/>
                <w:highlight w:val="none"/>
                <w:lang w:eastAsia="zh-CN"/>
              </w:rPr>
              <w:t>25</w:t>
            </w:r>
            <w:r>
              <w:rPr>
                <w:rFonts w:hint="eastAsia"/>
                <w:color w:val="auto"/>
                <w:highlight w:val="none"/>
                <w:lang w:eastAsia="zh-CN"/>
              </w:rPr>
              <w:t>、《白色硅酸盐水泥》</w:t>
            </w:r>
            <w:r>
              <w:rPr>
                <w:color w:val="auto"/>
                <w:highlight w:val="none"/>
                <w:lang w:eastAsia="zh-CN"/>
              </w:rPr>
              <w:t>GB2015</w:t>
            </w:r>
            <w:r>
              <w:rPr>
                <w:rFonts w:hint="eastAsia"/>
                <w:color w:val="auto"/>
                <w:highlight w:val="none"/>
                <w:lang w:eastAsia="zh-CN"/>
              </w:rPr>
              <w:t>－</w:t>
            </w:r>
            <w:r>
              <w:rPr>
                <w:color w:val="auto"/>
                <w:highlight w:val="none"/>
                <w:lang w:eastAsia="zh-CN"/>
              </w:rPr>
              <w:t>91</w:t>
            </w:r>
          </w:p>
          <w:p>
            <w:pPr>
              <w:rPr>
                <w:color w:val="auto"/>
                <w:highlight w:val="none"/>
                <w:lang w:eastAsia="zh-CN"/>
              </w:rPr>
            </w:pPr>
            <w:r>
              <w:rPr>
                <w:color w:val="auto"/>
                <w:highlight w:val="none"/>
                <w:lang w:eastAsia="zh-CN"/>
              </w:rPr>
              <w:t>26</w:t>
            </w:r>
            <w:r>
              <w:rPr>
                <w:rFonts w:hint="eastAsia"/>
                <w:color w:val="auto"/>
                <w:highlight w:val="none"/>
                <w:lang w:eastAsia="zh-CN"/>
              </w:rPr>
              <w:t>、《陶瓷砖》</w:t>
            </w:r>
            <w:r>
              <w:rPr>
                <w:color w:val="auto"/>
                <w:highlight w:val="none"/>
                <w:lang w:eastAsia="zh-CN"/>
              </w:rPr>
              <w:t>GB/T4100—2006</w:t>
            </w:r>
          </w:p>
          <w:p>
            <w:pPr>
              <w:rPr>
                <w:color w:val="auto"/>
                <w:highlight w:val="none"/>
                <w:lang w:eastAsia="zh-CN"/>
              </w:rPr>
            </w:pPr>
            <w:r>
              <w:rPr>
                <w:rFonts w:hint="eastAsia"/>
                <w:color w:val="auto"/>
                <w:highlight w:val="none"/>
                <w:lang w:eastAsia="zh-CN"/>
              </w:rPr>
              <w:t>《釉面内墙砖》</w:t>
            </w:r>
            <w:r>
              <w:rPr>
                <w:color w:val="auto"/>
                <w:highlight w:val="none"/>
                <w:lang w:eastAsia="zh-CN"/>
              </w:rPr>
              <w:t>GB/T4100—92</w:t>
            </w:r>
          </w:p>
          <w:p>
            <w:pPr>
              <w:rPr>
                <w:color w:val="auto"/>
                <w:highlight w:val="none"/>
                <w:lang w:eastAsia="zh-CN"/>
              </w:rPr>
            </w:pPr>
            <w:r>
              <w:rPr>
                <w:color w:val="auto"/>
                <w:highlight w:val="none"/>
                <w:lang w:eastAsia="zh-CN"/>
              </w:rPr>
              <w:t>27</w:t>
            </w:r>
            <w:r>
              <w:rPr>
                <w:rFonts w:hint="eastAsia"/>
                <w:color w:val="auto"/>
                <w:highlight w:val="none"/>
                <w:lang w:eastAsia="zh-CN"/>
              </w:rPr>
              <w:t>、《彩色釉面陶瓷墙地砖》</w:t>
            </w:r>
            <w:r>
              <w:rPr>
                <w:color w:val="auto"/>
                <w:highlight w:val="none"/>
                <w:lang w:eastAsia="zh-CN"/>
              </w:rPr>
              <w:t>GB11947</w:t>
            </w:r>
            <w:r>
              <w:rPr>
                <w:rFonts w:hint="eastAsia"/>
                <w:color w:val="auto"/>
                <w:highlight w:val="none"/>
                <w:lang w:eastAsia="zh-CN"/>
              </w:rPr>
              <w:t>－</w:t>
            </w:r>
            <w:r>
              <w:rPr>
                <w:color w:val="auto"/>
                <w:highlight w:val="none"/>
                <w:lang w:eastAsia="zh-CN"/>
              </w:rPr>
              <w:t>89</w:t>
            </w:r>
          </w:p>
          <w:p>
            <w:pPr>
              <w:rPr>
                <w:color w:val="auto"/>
                <w:highlight w:val="none"/>
              </w:rPr>
            </w:pPr>
            <w:r>
              <w:rPr>
                <w:color w:val="auto"/>
                <w:highlight w:val="none"/>
              </w:rPr>
              <w:t>28</w:t>
            </w:r>
            <w:r>
              <w:rPr>
                <w:rFonts w:hint="eastAsia"/>
                <w:color w:val="auto"/>
                <w:highlight w:val="none"/>
              </w:rPr>
              <w:t>、《建筑石膏》</w:t>
            </w:r>
            <w:r>
              <w:rPr>
                <w:color w:val="auto"/>
                <w:highlight w:val="none"/>
              </w:rPr>
              <w:t>GB9776</w:t>
            </w:r>
            <w:r>
              <w:rPr>
                <w:rFonts w:hint="eastAsia"/>
                <w:color w:val="auto"/>
                <w:highlight w:val="none"/>
              </w:rPr>
              <w:t>－</w:t>
            </w:r>
            <w:r>
              <w:rPr>
                <w:color w:val="auto"/>
                <w:highlight w:val="none"/>
              </w:rPr>
              <w:t>88</w:t>
            </w:r>
          </w:p>
          <w:p>
            <w:pPr>
              <w:rPr>
                <w:color w:val="auto"/>
                <w:highlight w:val="none"/>
              </w:rPr>
            </w:pPr>
            <w:r>
              <w:rPr>
                <w:color w:val="auto"/>
                <w:highlight w:val="none"/>
              </w:rPr>
              <w:t>29</w:t>
            </w:r>
            <w:r>
              <w:rPr>
                <w:rFonts w:hint="eastAsia"/>
                <w:color w:val="auto"/>
                <w:highlight w:val="none"/>
              </w:rPr>
              <w:t>、《建筑生石灰》</w:t>
            </w:r>
            <w:r>
              <w:rPr>
                <w:color w:val="auto"/>
                <w:highlight w:val="none"/>
              </w:rPr>
              <w:t>JC/T479</w:t>
            </w:r>
            <w:r>
              <w:rPr>
                <w:rFonts w:hint="eastAsia"/>
                <w:color w:val="auto"/>
                <w:highlight w:val="none"/>
              </w:rPr>
              <w:t>－</w:t>
            </w:r>
            <w:r>
              <w:rPr>
                <w:color w:val="auto"/>
                <w:highlight w:val="none"/>
              </w:rPr>
              <w:t>92</w:t>
            </w:r>
          </w:p>
          <w:p>
            <w:pPr>
              <w:rPr>
                <w:color w:val="auto"/>
                <w:highlight w:val="none"/>
              </w:rPr>
            </w:pPr>
            <w:r>
              <w:rPr>
                <w:color w:val="auto"/>
                <w:highlight w:val="none"/>
              </w:rPr>
              <w:t>30</w:t>
            </w:r>
            <w:r>
              <w:rPr>
                <w:rFonts w:hint="eastAsia"/>
                <w:color w:val="auto"/>
                <w:highlight w:val="none"/>
              </w:rPr>
              <w:t>、《天然大理石建筑板材》</w:t>
            </w:r>
            <w:r>
              <w:rPr>
                <w:color w:val="auto"/>
                <w:highlight w:val="none"/>
              </w:rPr>
              <w:t>JC/T 79</w:t>
            </w:r>
            <w:r>
              <w:rPr>
                <w:rFonts w:hint="eastAsia"/>
                <w:color w:val="auto"/>
                <w:highlight w:val="none"/>
              </w:rPr>
              <w:t>－</w:t>
            </w:r>
            <w:r>
              <w:rPr>
                <w:color w:val="auto"/>
                <w:highlight w:val="none"/>
              </w:rPr>
              <w:t>2001</w:t>
            </w:r>
          </w:p>
          <w:p>
            <w:pPr>
              <w:rPr>
                <w:color w:val="auto"/>
                <w:highlight w:val="none"/>
                <w:lang w:eastAsia="zh-CN"/>
              </w:rPr>
            </w:pPr>
            <w:r>
              <w:rPr>
                <w:color w:val="auto"/>
                <w:highlight w:val="none"/>
                <w:lang w:eastAsia="zh-CN"/>
              </w:rPr>
              <w:t>31</w:t>
            </w:r>
            <w:r>
              <w:rPr>
                <w:rFonts w:hint="eastAsia"/>
                <w:color w:val="auto"/>
                <w:highlight w:val="none"/>
                <w:lang w:eastAsia="zh-CN"/>
              </w:rPr>
              <w:t>、《天然花岗石建筑板材》</w:t>
            </w:r>
            <w:r>
              <w:rPr>
                <w:color w:val="auto"/>
                <w:highlight w:val="none"/>
                <w:lang w:eastAsia="zh-CN"/>
              </w:rPr>
              <w:t>GB/T18601</w:t>
            </w:r>
            <w:r>
              <w:rPr>
                <w:rFonts w:hint="eastAsia"/>
                <w:color w:val="auto"/>
                <w:highlight w:val="none"/>
                <w:lang w:eastAsia="zh-CN"/>
              </w:rPr>
              <w:t>－</w:t>
            </w:r>
            <w:r>
              <w:rPr>
                <w:color w:val="auto"/>
                <w:highlight w:val="none"/>
                <w:lang w:eastAsia="zh-CN"/>
              </w:rPr>
              <w:t>2001</w:t>
            </w:r>
          </w:p>
          <w:p>
            <w:pPr>
              <w:rPr>
                <w:color w:val="auto"/>
                <w:highlight w:val="none"/>
                <w:lang w:eastAsia="zh-CN"/>
              </w:rPr>
            </w:pPr>
            <w:r>
              <w:rPr>
                <w:color w:val="auto"/>
                <w:highlight w:val="none"/>
                <w:lang w:eastAsia="zh-CN"/>
              </w:rPr>
              <w:t>32</w:t>
            </w:r>
            <w:r>
              <w:rPr>
                <w:rFonts w:hint="eastAsia"/>
                <w:color w:val="auto"/>
                <w:highlight w:val="none"/>
                <w:lang w:eastAsia="zh-CN"/>
              </w:rPr>
              <w:t>、《水溶性内墙涂料》</w:t>
            </w:r>
            <w:r>
              <w:rPr>
                <w:color w:val="auto"/>
                <w:highlight w:val="none"/>
                <w:lang w:eastAsia="zh-CN"/>
              </w:rPr>
              <w:t>JC/T 423</w:t>
            </w:r>
            <w:r>
              <w:rPr>
                <w:rFonts w:hint="eastAsia"/>
                <w:color w:val="auto"/>
                <w:highlight w:val="none"/>
                <w:lang w:eastAsia="zh-CN"/>
              </w:rPr>
              <w:t>－</w:t>
            </w:r>
            <w:r>
              <w:rPr>
                <w:color w:val="auto"/>
                <w:highlight w:val="none"/>
                <w:lang w:eastAsia="zh-CN"/>
              </w:rPr>
              <w:t>91</w:t>
            </w:r>
          </w:p>
          <w:p>
            <w:pPr>
              <w:rPr>
                <w:color w:val="auto"/>
                <w:highlight w:val="none"/>
                <w:lang w:eastAsia="zh-CN"/>
              </w:rPr>
            </w:pPr>
            <w:r>
              <w:rPr>
                <w:color w:val="auto"/>
                <w:highlight w:val="none"/>
                <w:lang w:eastAsia="zh-CN"/>
              </w:rPr>
              <w:t>33</w:t>
            </w:r>
            <w:r>
              <w:rPr>
                <w:rFonts w:hint="eastAsia"/>
                <w:color w:val="auto"/>
                <w:highlight w:val="none"/>
                <w:lang w:eastAsia="zh-CN"/>
              </w:rPr>
              <w:t>、《建筑用轻钢龙骨》</w:t>
            </w:r>
            <w:r>
              <w:rPr>
                <w:color w:val="auto"/>
                <w:highlight w:val="none"/>
                <w:lang w:eastAsia="zh-CN"/>
              </w:rPr>
              <w:t>GB11981</w:t>
            </w:r>
            <w:r>
              <w:rPr>
                <w:rFonts w:hint="eastAsia"/>
                <w:color w:val="auto"/>
                <w:highlight w:val="none"/>
                <w:lang w:eastAsia="zh-CN"/>
              </w:rPr>
              <w:t>－</w:t>
            </w:r>
            <w:r>
              <w:rPr>
                <w:color w:val="auto"/>
                <w:highlight w:val="none"/>
                <w:lang w:eastAsia="zh-CN"/>
              </w:rPr>
              <w:t>2001</w:t>
            </w:r>
          </w:p>
          <w:p>
            <w:pPr>
              <w:rPr>
                <w:color w:val="auto"/>
                <w:highlight w:val="none"/>
                <w:lang w:eastAsia="zh-CN"/>
              </w:rPr>
            </w:pPr>
            <w:r>
              <w:rPr>
                <w:color w:val="auto"/>
                <w:highlight w:val="none"/>
                <w:lang w:eastAsia="zh-CN"/>
              </w:rPr>
              <w:t>34</w:t>
            </w:r>
            <w:r>
              <w:rPr>
                <w:rFonts w:hint="eastAsia"/>
                <w:color w:val="auto"/>
                <w:highlight w:val="none"/>
                <w:lang w:eastAsia="zh-CN"/>
              </w:rPr>
              <w:t>、《建筑材料产品及建材用工业废渣放射性物质控制要求》</w:t>
            </w:r>
            <w:r>
              <w:rPr>
                <w:color w:val="auto"/>
                <w:highlight w:val="none"/>
                <w:lang w:eastAsia="zh-CN"/>
              </w:rPr>
              <w:t>GB6763-2000</w:t>
            </w:r>
          </w:p>
          <w:p>
            <w:pPr>
              <w:rPr>
                <w:color w:val="auto"/>
                <w:highlight w:val="none"/>
                <w:lang w:eastAsia="zh-CN"/>
              </w:rPr>
            </w:pPr>
            <w:r>
              <w:rPr>
                <w:color w:val="auto"/>
                <w:highlight w:val="none"/>
                <w:lang w:eastAsia="zh-CN"/>
              </w:rPr>
              <w:t>35</w:t>
            </w:r>
            <w:r>
              <w:rPr>
                <w:rFonts w:hint="eastAsia"/>
                <w:color w:val="auto"/>
                <w:highlight w:val="none"/>
                <w:lang w:eastAsia="zh-CN"/>
              </w:rPr>
              <w:t>、《建筑窗用弹性密封膏》</w:t>
            </w:r>
            <w:r>
              <w:rPr>
                <w:color w:val="auto"/>
                <w:highlight w:val="none"/>
                <w:lang w:eastAsia="zh-CN"/>
              </w:rPr>
              <w:t>JC/T485-1996</w:t>
            </w:r>
          </w:p>
          <w:p>
            <w:pPr>
              <w:rPr>
                <w:color w:val="auto"/>
                <w:highlight w:val="none"/>
                <w:lang w:eastAsia="zh-CN"/>
              </w:rPr>
            </w:pPr>
            <w:r>
              <w:rPr>
                <w:color w:val="auto"/>
                <w:highlight w:val="none"/>
                <w:lang w:eastAsia="zh-CN"/>
              </w:rPr>
              <w:t>36</w:t>
            </w:r>
            <w:r>
              <w:rPr>
                <w:rFonts w:hint="eastAsia"/>
                <w:color w:val="auto"/>
                <w:highlight w:val="none"/>
                <w:lang w:eastAsia="zh-CN"/>
              </w:rPr>
              <w:t>、《建筑室内用腻子》</w:t>
            </w:r>
            <w:r>
              <w:rPr>
                <w:color w:val="auto"/>
                <w:highlight w:val="none"/>
                <w:lang w:eastAsia="zh-CN"/>
              </w:rPr>
              <w:t>JG/T3049-1998</w:t>
            </w:r>
          </w:p>
          <w:p>
            <w:pPr>
              <w:rPr>
                <w:color w:val="auto"/>
                <w:highlight w:val="none"/>
                <w:lang w:eastAsia="zh-CN"/>
              </w:rPr>
            </w:pPr>
            <w:r>
              <w:rPr>
                <w:color w:val="auto"/>
                <w:highlight w:val="none"/>
                <w:lang w:eastAsia="zh-CN"/>
              </w:rPr>
              <w:t>37</w:t>
            </w:r>
            <w:r>
              <w:rPr>
                <w:rFonts w:hint="eastAsia"/>
                <w:color w:val="auto"/>
                <w:highlight w:val="none"/>
                <w:lang w:eastAsia="zh-CN"/>
              </w:rPr>
              <w:t>、《建筑瓷板装饰工程技术规程》</w:t>
            </w:r>
            <w:r>
              <w:rPr>
                <w:color w:val="auto"/>
                <w:highlight w:val="none"/>
                <w:lang w:eastAsia="zh-CN"/>
              </w:rPr>
              <w:t>CECS 101—98</w:t>
            </w:r>
          </w:p>
          <w:p>
            <w:pPr>
              <w:rPr>
                <w:color w:val="auto"/>
                <w:highlight w:val="none"/>
                <w:lang w:eastAsia="zh-CN"/>
              </w:rPr>
            </w:pPr>
            <w:r>
              <w:rPr>
                <w:color w:val="auto"/>
                <w:highlight w:val="none"/>
                <w:lang w:eastAsia="zh-CN"/>
              </w:rPr>
              <w:t>38</w:t>
            </w:r>
            <w:r>
              <w:rPr>
                <w:rFonts w:hint="eastAsia"/>
                <w:color w:val="auto"/>
                <w:highlight w:val="none"/>
                <w:lang w:eastAsia="zh-CN"/>
              </w:rPr>
              <w:t>、《建筑隔声评价标准》</w:t>
            </w:r>
            <w:r>
              <w:rPr>
                <w:color w:val="auto"/>
                <w:highlight w:val="none"/>
                <w:lang w:eastAsia="zh-CN"/>
              </w:rPr>
              <w:t>GBJ121-88</w:t>
            </w:r>
          </w:p>
          <w:p>
            <w:pPr>
              <w:rPr>
                <w:color w:val="auto"/>
                <w:highlight w:val="none"/>
                <w:lang w:eastAsia="zh-CN"/>
              </w:rPr>
            </w:pPr>
            <w:r>
              <w:rPr>
                <w:color w:val="auto"/>
                <w:highlight w:val="none"/>
                <w:lang w:eastAsia="zh-CN"/>
              </w:rPr>
              <w:t>39</w:t>
            </w:r>
            <w:r>
              <w:rPr>
                <w:rFonts w:hint="eastAsia"/>
                <w:color w:val="auto"/>
                <w:highlight w:val="none"/>
                <w:lang w:eastAsia="zh-CN"/>
              </w:rPr>
              <w:t>、《建筑隔声测量规范》</w:t>
            </w:r>
            <w:r>
              <w:rPr>
                <w:color w:val="auto"/>
                <w:highlight w:val="none"/>
                <w:lang w:eastAsia="zh-CN"/>
              </w:rPr>
              <w:t>GBJ75-84</w:t>
            </w:r>
          </w:p>
          <w:p>
            <w:pPr>
              <w:rPr>
                <w:color w:val="auto"/>
                <w:highlight w:val="none"/>
                <w:lang w:eastAsia="zh-CN"/>
              </w:rPr>
            </w:pPr>
            <w:r>
              <w:rPr>
                <w:color w:val="auto"/>
                <w:highlight w:val="none"/>
                <w:lang w:eastAsia="zh-CN"/>
              </w:rPr>
              <w:t>40</w:t>
            </w:r>
            <w:r>
              <w:rPr>
                <w:rFonts w:hint="eastAsia"/>
                <w:color w:val="auto"/>
                <w:highlight w:val="none"/>
                <w:lang w:eastAsia="zh-CN"/>
              </w:rPr>
              <w:t>、《民用建筑隔声设计规范》</w:t>
            </w:r>
            <w:r>
              <w:rPr>
                <w:color w:val="auto"/>
                <w:highlight w:val="none"/>
                <w:lang w:eastAsia="zh-CN"/>
              </w:rPr>
              <w:t xml:space="preserve"> GB50325-2001</w:t>
            </w:r>
          </w:p>
          <w:p>
            <w:pPr>
              <w:rPr>
                <w:color w:val="auto"/>
                <w:highlight w:val="none"/>
                <w:lang w:eastAsia="zh-CN"/>
              </w:rPr>
            </w:pPr>
            <w:r>
              <w:rPr>
                <w:color w:val="auto"/>
                <w:highlight w:val="none"/>
                <w:lang w:eastAsia="zh-CN" w:bidi="ar"/>
              </w:rPr>
              <w:t>41</w:t>
            </w:r>
            <w:r>
              <w:rPr>
                <w:rFonts w:hint="eastAsia"/>
                <w:color w:val="auto"/>
                <w:highlight w:val="none"/>
                <w:lang w:eastAsia="zh-CN" w:bidi="ar"/>
              </w:rPr>
              <w:t>、《建筑内部装修设计防火规范》</w:t>
            </w:r>
            <w:r>
              <w:rPr>
                <w:color w:val="auto"/>
                <w:highlight w:val="none"/>
                <w:lang w:eastAsia="zh-CN" w:bidi="ar"/>
              </w:rPr>
              <w:t>GB-50222-2017</w:t>
            </w:r>
          </w:p>
          <w:p>
            <w:pPr>
              <w:rPr>
                <w:color w:val="auto"/>
                <w:highlight w:val="none"/>
                <w:lang w:eastAsia="zh-CN"/>
              </w:rPr>
            </w:pPr>
            <w:r>
              <w:rPr>
                <w:color w:val="auto"/>
                <w:highlight w:val="none"/>
                <w:lang w:eastAsia="zh-CN" w:bidi="ar"/>
              </w:rPr>
              <w:t>42</w:t>
            </w:r>
            <w:r>
              <w:rPr>
                <w:rFonts w:hint="eastAsia"/>
                <w:color w:val="auto"/>
                <w:highlight w:val="none"/>
                <w:lang w:eastAsia="zh-CN" w:bidi="ar"/>
              </w:rPr>
              <w:t>、《建筑设计防火规范》</w:t>
            </w:r>
            <w:r>
              <w:rPr>
                <w:color w:val="auto"/>
                <w:highlight w:val="none"/>
                <w:lang w:eastAsia="zh-CN" w:bidi="ar"/>
              </w:rPr>
              <w:t>GB50016-2014（2018年版）</w:t>
            </w:r>
          </w:p>
          <w:p>
            <w:pPr>
              <w:rPr>
                <w:color w:val="auto"/>
                <w:highlight w:val="none"/>
                <w:lang w:eastAsia="zh-CN"/>
              </w:rPr>
            </w:pPr>
            <w:r>
              <w:rPr>
                <w:color w:val="auto"/>
                <w:highlight w:val="none"/>
                <w:lang w:eastAsia="zh-CN" w:bidi="ar"/>
              </w:rPr>
              <w:t>43</w:t>
            </w:r>
            <w:r>
              <w:rPr>
                <w:rFonts w:hint="eastAsia"/>
                <w:color w:val="auto"/>
                <w:highlight w:val="none"/>
                <w:lang w:eastAsia="zh-CN" w:bidi="ar"/>
              </w:rPr>
              <w:t>、《砌筑砂浆配合比设计规程》</w:t>
            </w:r>
            <w:r>
              <w:rPr>
                <w:color w:val="auto"/>
                <w:highlight w:val="none"/>
                <w:lang w:eastAsia="zh-CN" w:bidi="ar"/>
              </w:rPr>
              <w:t xml:space="preserve">JGJ98—2000  </w:t>
            </w:r>
          </w:p>
          <w:p>
            <w:pPr>
              <w:rPr>
                <w:color w:val="auto"/>
                <w:highlight w:val="none"/>
                <w:lang w:eastAsia="zh-CN"/>
              </w:rPr>
            </w:pPr>
            <w:r>
              <w:rPr>
                <w:color w:val="auto"/>
                <w:highlight w:val="none"/>
                <w:lang w:eastAsia="zh-CN" w:bidi="ar"/>
              </w:rPr>
              <w:t>44</w:t>
            </w:r>
            <w:r>
              <w:rPr>
                <w:rFonts w:hint="eastAsia"/>
                <w:color w:val="auto"/>
                <w:highlight w:val="none"/>
                <w:lang w:eastAsia="zh-CN" w:bidi="ar"/>
              </w:rPr>
              <w:t>、《轻骨料混凝土技术规程》</w:t>
            </w:r>
            <w:r>
              <w:rPr>
                <w:color w:val="auto"/>
                <w:highlight w:val="none"/>
                <w:lang w:eastAsia="zh-CN" w:bidi="ar"/>
              </w:rPr>
              <w:t>JGJ51—2002</w:t>
            </w:r>
          </w:p>
          <w:p>
            <w:pPr>
              <w:rPr>
                <w:color w:val="auto"/>
                <w:highlight w:val="none"/>
              </w:rPr>
            </w:pPr>
            <w:r>
              <w:rPr>
                <w:color w:val="auto"/>
                <w:highlight w:val="none"/>
                <w:lang w:bidi="ar"/>
              </w:rPr>
              <w:t>45</w:t>
            </w:r>
            <w:r>
              <w:rPr>
                <w:rFonts w:hint="eastAsia"/>
                <w:color w:val="auto"/>
                <w:highlight w:val="none"/>
                <w:lang w:bidi="ar"/>
              </w:rPr>
              <w:t>、《建筑用砂》</w:t>
            </w:r>
            <w:r>
              <w:rPr>
                <w:color w:val="auto"/>
                <w:highlight w:val="none"/>
                <w:lang w:bidi="ar"/>
              </w:rPr>
              <w:t>GB</w:t>
            </w:r>
            <w:r>
              <w:rPr>
                <w:rFonts w:hint="eastAsia"/>
                <w:color w:val="auto"/>
                <w:highlight w:val="none"/>
                <w:lang w:bidi="ar"/>
              </w:rPr>
              <w:t>／</w:t>
            </w:r>
            <w:r>
              <w:rPr>
                <w:color w:val="auto"/>
                <w:highlight w:val="none"/>
                <w:lang w:bidi="ar"/>
              </w:rPr>
              <w:t>T14684—2001</w:t>
            </w:r>
          </w:p>
          <w:p>
            <w:pPr>
              <w:rPr>
                <w:color w:val="auto"/>
                <w:highlight w:val="none"/>
                <w:lang w:eastAsia="zh-CN"/>
              </w:rPr>
            </w:pPr>
            <w:r>
              <w:rPr>
                <w:color w:val="auto"/>
                <w:highlight w:val="none"/>
                <w:lang w:eastAsia="zh-CN" w:bidi="ar"/>
              </w:rPr>
              <w:t>46</w:t>
            </w:r>
            <w:r>
              <w:rPr>
                <w:rFonts w:hint="eastAsia"/>
                <w:color w:val="auto"/>
                <w:highlight w:val="none"/>
                <w:lang w:eastAsia="zh-CN" w:bidi="ar"/>
              </w:rPr>
              <w:t>、《建筑施工安全检查标准》</w:t>
            </w:r>
            <w:r>
              <w:rPr>
                <w:color w:val="auto"/>
                <w:highlight w:val="none"/>
                <w:lang w:eastAsia="zh-CN" w:bidi="ar"/>
              </w:rPr>
              <w:t>JGJ59—99</w:t>
            </w:r>
          </w:p>
          <w:p>
            <w:pPr>
              <w:rPr>
                <w:color w:val="auto"/>
                <w:highlight w:val="none"/>
                <w:lang w:eastAsia="zh-CN"/>
              </w:rPr>
            </w:pPr>
            <w:r>
              <w:rPr>
                <w:color w:val="auto"/>
                <w:highlight w:val="none"/>
                <w:lang w:eastAsia="zh-CN" w:bidi="ar"/>
              </w:rPr>
              <w:t>47</w:t>
            </w:r>
            <w:r>
              <w:rPr>
                <w:rFonts w:hint="eastAsia"/>
                <w:color w:val="auto"/>
                <w:highlight w:val="none"/>
                <w:lang w:eastAsia="zh-CN" w:bidi="ar"/>
              </w:rPr>
              <w:t>、《施工现场临时用电安全技术规范》</w:t>
            </w:r>
            <w:r>
              <w:rPr>
                <w:color w:val="auto"/>
                <w:highlight w:val="none"/>
                <w:lang w:eastAsia="zh-CN" w:bidi="ar"/>
              </w:rPr>
              <w:t>JGJ46—2005</w:t>
            </w:r>
          </w:p>
          <w:p>
            <w:pPr>
              <w:rPr>
                <w:color w:val="auto"/>
                <w:highlight w:val="none"/>
                <w:lang w:eastAsia="zh-CN"/>
              </w:rPr>
            </w:pPr>
            <w:r>
              <w:rPr>
                <w:color w:val="auto"/>
                <w:highlight w:val="none"/>
                <w:lang w:eastAsia="zh-CN" w:bidi="ar"/>
              </w:rPr>
              <w:t>48</w:t>
            </w:r>
            <w:r>
              <w:rPr>
                <w:rFonts w:hint="eastAsia"/>
                <w:color w:val="auto"/>
                <w:highlight w:val="none"/>
                <w:lang w:eastAsia="zh-CN" w:bidi="ar"/>
              </w:rPr>
              <w:t>、《建筑工程施工现场供用电安全规范》</w:t>
            </w:r>
            <w:r>
              <w:rPr>
                <w:color w:val="auto"/>
                <w:highlight w:val="none"/>
                <w:lang w:eastAsia="zh-CN" w:bidi="ar"/>
              </w:rPr>
              <w:t>GB50194—93</w:t>
            </w:r>
          </w:p>
          <w:p>
            <w:pPr>
              <w:rPr>
                <w:color w:val="auto"/>
                <w:highlight w:val="none"/>
                <w:lang w:eastAsia="zh-CN"/>
              </w:rPr>
            </w:pPr>
            <w:r>
              <w:rPr>
                <w:color w:val="auto"/>
                <w:highlight w:val="none"/>
                <w:lang w:eastAsia="zh-CN" w:bidi="ar"/>
              </w:rPr>
              <w:t>49</w:t>
            </w:r>
            <w:r>
              <w:rPr>
                <w:rFonts w:hint="eastAsia"/>
                <w:color w:val="auto"/>
                <w:highlight w:val="none"/>
                <w:lang w:eastAsia="zh-CN" w:bidi="ar"/>
              </w:rPr>
              <w:t>、《建筑材料用工业废渣的放射性物质限制标准》</w:t>
            </w:r>
            <w:r>
              <w:rPr>
                <w:color w:val="auto"/>
                <w:highlight w:val="none"/>
                <w:lang w:eastAsia="zh-CN" w:bidi="ar"/>
              </w:rPr>
              <w:t>(GB6763—86)</w:t>
            </w:r>
          </w:p>
          <w:p>
            <w:pPr>
              <w:rPr>
                <w:color w:val="auto"/>
                <w:highlight w:val="none"/>
                <w:lang w:eastAsia="zh-CN"/>
              </w:rPr>
            </w:pPr>
            <w:r>
              <w:rPr>
                <w:color w:val="auto"/>
                <w:highlight w:val="none"/>
                <w:lang w:eastAsia="zh-CN" w:bidi="ar"/>
              </w:rPr>
              <w:t>50</w:t>
            </w:r>
            <w:r>
              <w:rPr>
                <w:rFonts w:hint="eastAsia"/>
                <w:color w:val="auto"/>
                <w:highlight w:val="none"/>
                <w:lang w:eastAsia="zh-CN" w:bidi="ar"/>
              </w:rPr>
              <w:t>、《掺工业废渣建筑材料产品放射性物质控制标准》</w:t>
            </w:r>
            <w:r>
              <w:rPr>
                <w:color w:val="auto"/>
                <w:highlight w:val="none"/>
                <w:lang w:eastAsia="zh-CN" w:bidi="ar"/>
              </w:rPr>
              <w:t>(GB9196—88)</w:t>
            </w:r>
          </w:p>
          <w:p>
            <w:pPr>
              <w:rPr>
                <w:color w:val="auto"/>
                <w:highlight w:val="none"/>
                <w:lang w:eastAsia="zh-CN"/>
              </w:rPr>
            </w:pPr>
            <w:r>
              <w:rPr>
                <w:color w:val="auto"/>
                <w:highlight w:val="none"/>
                <w:lang w:eastAsia="zh-CN" w:bidi="ar"/>
              </w:rPr>
              <w:t>51</w:t>
            </w:r>
            <w:r>
              <w:rPr>
                <w:rFonts w:hint="eastAsia"/>
                <w:color w:val="auto"/>
                <w:highlight w:val="none"/>
                <w:lang w:eastAsia="zh-CN" w:bidi="ar"/>
              </w:rPr>
              <w:t>、《建筑防水工程技术规范》</w:t>
            </w:r>
            <w:r>
              <w:rPr>
                <w:color w:val="auto"/>
                <w:highlight w:val="none"/>
                <w:lang w:eastAsia="zh-CN" w:bidi="ar"/>
              </w:rPr>
              <w:t>DBJ15-19-97</w:t>
            </w:r>
          </w:p>
          <w:p>
            <w:pPr>
              <w:rPr>
                <w:color w:val="auto"/>
                <w:highlight w:val="none"/>
                <w:lang w:eastAsia="zh-CN"/>
              </w:rPr>
            </w:pPr>
            <w:r>
              <w:rPr>
                <w:color w:val="auto"/>
                <w:highlight w:val="none"/>
                <w:lang w:eastAsia="zh-CN" w:bidi="ar"/>
              </w:rPr>
              <w:t>52</w:t>
            </w:r>
            <w:r>
              <w:rPr>
                <w:rFonts w:hint="eastAsia"/>
                <w:color w:val="auto"/>
                <w:highlight w:val="none"/>
                <w:lang w:eastAsia="zh-CN" w:bidi="ar"/>
              </w:rPr>
              <w:t>、《公共建筑节能设计规范》（</w:t>
            </w:r>
            <w:r>
              <w:rPr>
                <w:color w:val="auto"/>
                <w:highlight w:val="none"/>
                <w:lang w:eastAsia="zh-CN" w:bidi="ar"/>
              </w:rPr>
              <w:t>GB50189-2005</w:t>
            </w:r>
            <w:r>
              <w:rPr>
                <w:rFonts w:hint="eastAsia"/>
                <w:color w:val="auto"/>
                <w:highlight w:val="none"/>
                <w:lang w:eastAsia="zh-CN" w:bidi="ar"/>
              </w:rPr>
              <w:t>）</w:t>
            </w:r>
          </w:p>
          <w:p>
            <w:pPr>
              <w:rPr>
                <w:color w:val="auto"/>
                <w:highlight w:val="none"/>
                <w:lang w:eastAsia="zh-CN"/>
              </w:rPr>
            </w:pPr>
            <w:r>
              <w:rPr>
                <w:color w:val="auto"/>
                <w:highlight w:val="none"/>
                <w:lang w:eastAsia="zh-CN" w:bidi="ar"/>
              </w:rPr>
              <w:t>53</w:t>
            </w:r>
            <w:r>
              <w:rPr>
                <w:rFonts w:hint="eastAsia"/>
                <w:color w:val="auto"/>
                <w:highlight w:val="none"/>
                <w:lang w:eastAsia="zh-CN" w:bidi="ar"/>
              </w:rPr>
              <w:t>、《湛江市建设工程质量管理条例》</w:t>
            </w:r>
          </w:p>
          <w:p>
            <w:pPr>
              <w:rPr>
                <w:color w:val="auto"/>
                <w:highlight w:val="none"/>
                <w:lang w:eastAsia="zh-CN"/>
              </w:rPr>
            </w:pPr>
            <w:r>
              <w:rPr>
                <w:color w:val="auto"/>
                <w:highlight w:val="none"/>
                <w:lang w:eastAsia="zh-CN" w:bidi="ar"/>
              </w:rPr>
              <w:t>54</w:t>
            </w:r>
            <w:r>
              <w:rPr>
                <w:rFonts w:hint="eastAsia"/>
                <w:color w:val="auto"/>
                <w:highlight w:val="none"/>
                <w:lang w:eastAsia="zh-CN" w:bidi="ar"/>
              </w:rPr>
              <w:t>、《建筑节能工程施工质量验收规范》</w:t>
            </w:r>
          </w:p>
          <w:p>
            <w:pPr>
              <w:rPr>
                <w:color w:val="auto"/>
                <w:highlight w:val="none"/>
                <w:lang w:eastAsia="zh-CN"/>
              </w:rPr>
            </w:pPr>
            <w:r>
              <w:rPr>
                <w:color w:val="auto"/>
                <w:highlight w:val="none"/>
                <w:lang w:eastAsia="zh-CN" w:bidi="ar"/>
              </w:rPr>
              <w:t>55</w:t>
            </w:r>
            <w:r>
              <w:rPr>
                <w:rFonts w:hint="eastAsia"/>
                <w:color w:val="auto"/>
                <w:highlight w:val="none"/>
                <w:lang w:eastAsia="zh-CN" w:bidi="ar"/>
              </w:rPr>
              <w:t>、《湛江经济特区建筑节能条例》</w:t>
            </w:r>
          </w:p>
          <w:p>
            <w:pPr>
              <w:rPr>
                <w:color w:val="auto"/>
                <w:highlight w:val="none"/>
                <w:lang w:eastAsia="zh-CN"/>
              </w:rPr>
            </w:pPr>
            <w:r>
              <w:rPr>
                <w:color w:val="auto"/>
                <w:highlight w:val="none"/>
                <w:lang w:eastAsia="zh-CN" w:bidi="ar"/>
              </w:rPr>
              <w:t>56</w:t>
            </w:r>
            <w:r>
              <w:rPr>
                <w:rFonts w:hint="eastAsia"/>
                <w:color w:val="auto"/>
                <w:highlight w:val="none"/>
                <w:lang w:eastAsia="zh-CN" w:bidi="ar"/>
              </w:rPr>
              <w:t>、《洁净室施工及验收规范》</w:t>
            </w:r>
            <w:r>
              <w:rPr>
                <w:color w:val="auto"/>
                <w:highlight w:val="none"/>
                <w:lang w:eastAsia="zh-CN" w:bidi="ar"/>
              </w:rPr>
              <w:t>GB50591-2010</w:t>
            </w:r>
          </w:p>
          <w:p>
            <w:pPr>
              <w:rPr>
                <w:color w:val="auto"/>
                <w:highlight w:val="none"/>
                <w:lang w:eastAsia="zh-CN"/>
              </w:rPr>
            </w:pPr>
            <w:r>
              <w:rPr>
                <w:color w:val="auto"/>
                <w:highlight w:val="none"/>
                <w:lang w:eastAsia="zh-CN" w:bidi="ar"/>
              </w:rPr>
              <w:t>57</w:t>
            </w:r>
            <w:r>
              <w:rPr>
                <w:rFonts w:hint="eastAsia"/>
                <w:color w:val="auto"/>
                <w:highlight w:val="none"/>
                <w:lang w:eastAsia="zh-CN" w:bidi="ar"/>
              </w:rPr>
              <w:t>、《医院洁净手术部建筑技术规范》</w:t>
            </w:r>
            <w:r>
              <w:rPr>
                <w:color w:val="auto"/>
                <w:highlight w:val="none"/>
                <w:lang w:eastAsia="zh-CN" w:bidi="ar"/>
              </w:rPr>
              <w:t>GB50333-2013</w:t>
            </w:r>
          </w:p>
          <w:p>
            <w:pPr>
              <w:rPr>
                <w:color w:val="auto"/>
                <w:highlight w:val="none"/>
                <w:lang w:eastAsia="zh-CN"/>
              </w:rPr>
            </w:pPr>
            <w:r>
              <w:rPr>
                <w:color w:val="auto"/>
                <w:highlight w:val="none"/>
                <w:lang w:eastAsia="zh-CN" w:bidi="ar"/>
              </w:rPr>
              <w:t>58</w:t>
            </w:r>
            <w:r>
              <w:rPr>
                <w:rFonts w:hint="eastAsia"/>
                <w:color w:val="auto"/>
                <w:highlight w:val="none"/>
                <w:lang w:eastAsia="zh-CN" w:bidi="ar"/>
              </w:rPr>
              <w:t>、《综合医院建筑设计规范》</w:t>
            </w:r>
            <w:r>
              <w:rPr>
                <w:color w:val="auto"/>
                <w:highlight w:val="none"/>
                <w:lang w:eastAsia="zh-CN" w:bidi="ar"/>
              </w:rPr>
              <w:t>GB51039-2014</w:t>
            </w:r>
          </w:p>
          <w:p>
            <w:pPr>
              <w:rPr>
                <w:color w:val="auto"/>
                <w:highlight w:val="none"/>
                <w:lang w:eastAsia="zh-CN"/>
              </w:rPr>
            </w:pPr>
            <w:r>
              <w:rPr>
                <w:rFonts w:hint="eastAsia"/>
                <w:color w:val="auto"/>
                <w:highlight w:val="none"/>
                <w:lang w:eastAsia="zh-CN"/>
              </w:rPr>
              <w:t>以及其它与本工程相关工程项目有关的规范、规定、条例、法律条文等。</w:t>
            </w:r>
          </w:p>
          <w:p>
            <w:pPr>
              <w:rPr>
                <w:color w:val="auto"/>
                <w:highlight w:val="none"/>
                <w:lang w:eastAsia="zh-CN"/>
              </w:rPr>
            </w:pPr>
            <w:r>
              <w:rPr>
                <w:rFonts w:hint="eastAsia"/>
                <w:color w:val="auto"/>
                <w:highlight w:val="none"/>
                <w:lang w:eastAsia="zh-CN"/>
              </w:rPr>
              <w:t>如上述标准及规范要求有出入则以较严格者为准。若施工期间国家相关部委及省市各级主管部门出台新的法规条例，投标人必须按照最新的法规条例执行。</w:t>
            </w:r>
          </w:p>
          <w:p>
            <w:pPr>
              <w:rPr>
                <w:color w:val="auto"/>
                <w:highlight w:val="none"/>
                <w:lang w:eastAsia="zh-CN"/>
              </w:rPr>
            </w:pPr>
            <w:r>
              <w:rPr>
                <w:rFonts w:hint="eastAsia"/>
                <w:color w:val="auto"/>
                <w:highlight w:val="none"/>
                <w:lang w:eastAsia="zh-CN"/>
              </w:rPr>
              <w:t>若投标人使用的标准在本技术要求规定外，投标人应明确说明用于替代的标准或规范，并提供所使用的标准，该标准必须是国际公认的同等或更高级别的标准，如投标人所使用的标准低于上述标准，业主将不予接受。投标人必须列表将明显的差异详细说明。</w:t>
            </w:r>
          </w:p>
          <w:p>
            <w:pPr>
              <w:rPr>
                <w:color w:val="auto"/>
                <w:highlight w:val="none"/>
                <w:lang w:eastAsia="zh-CN"/>
              </w:rPr>
            </w:pPr>
            <w:r>
              <w:rPr>
                <w:rFonts w:hint="eastAsia"/>
                <w:color w:val="auto"/>
                <w:highlight w:val="none"/>
                <w:lang w:eastAsia="zh-CN"/>
              </w:rPr>
              <w:t>三、深化设计</w:t>
            </w:r>
          </w:p>
          <w:p>
            <w:pPr>
              <w:rPr>
                <w:color w:val="auto"/>
                <w:highlight w:val="none"/>
                <w:lang w:eastAsia="zh-CN"/>
              </w:rPr>
            </w:pPr>
            <w:r>
              <w:rPr>
                <w:rFonts w:hint="eastAsia"/>
                <w:color w:val="auto"/>
                <w:highlight w:val="none"/>
                <w:lang w:eastAsia="zh-CN"/>
              </w:rPr>
              <w:t>（一）深化设计总体要求</w:t>
            </w:r>
          </w:p>
          <w:p>
            <w:pPr>
              <w:rPr>
                <w:color w:val="auto"/>
                <w:highlight w:val="none"/>
                <w:lang w:eastAsia="zh-CN"/>
              </w:rPr>
            </w:pPr>
            <w:r>
              <w:rPr>
                <w:color w:val="auto"/>
                <w:highlight w:val="none"/>
                <w:lang w:eastAsia="zh-CN"/>
              </w:rPr>
              <w:t>1</w:t>
            </w:r>
            <w:r>
              <w:rPr>
                <w:rFonts w:hint="eastAsia"/>
                <w:color w:val="auto"/>
                <w:highlight w:val="none"/>
                <w:lang w:eastAsia="zh-CN"/>
              </w:rPr>
              <w:t>、本项目技术要求详见施工图说明。投标人需充分与使用方沟通确认需求， 深化图纸需经使用方审核确认。</w:t>
            </w:r>
          </w:p>
          <w:p>
            <w:pPr>
              <w:rPr>
                <w:color w:val="auto"/>
                <w:highlight w:val="none"/>
                <w:lang w:eastAsia="zh-CN"/>
              </w:rPr>
            </w:pPr>
            <w:r>
              <w:rPr>
                <w:color w:val="auto"/>
                <w:highlight w:val="none"/>
                <w:lang w:eastAsia="zh-CN"/>
              </w:rPr>
              <w:t>2</w:t>
            </w:r>
            <w:r>
              <w:rPr>
                <w:rFonts w:hint="eastAsia"/>
                <w:color w:val="auto"/>
                <w:highlight w:val="none"/>
                <w:lang w:eastAsia="zh-CN"/>
              </w:rPr>
              <w:t>、本工程施工须按照中国国家施工及验收规范实施。各材料和施工均应严格按照图纸设计进行，在满足设计要求外，更应符合国家和湛江地区之法规、规范要求。</w:t>
            </w:r>
            <w:r>
              <w:rPr>
                <w:color w:val="auto"/>
                <w:highlight w:val="none"/>
                <w:lang w:eastAsia="zh-CN"/>
              </w:rPr>
              <w:t xml:space="preserve"> </w:t>
            </w:r>
          </w:p>
          <w:p>
            <w:pPr>
              <w:rPr>
                <w:color w:val="auto"/>
                <w:highlight w:val="none"/>
                <w:lang w:eastAsia="zh-CN"/>
              </w:rPr>
            </w:pPr>
            <w:r>
              <w:rPr>
                <w:color w:val="auto"/>
                <w:highlight w:val="none"/>
                <w:lang w:eastAsia="zh-CN"/>
              </w:rPr>
              <w:t>3</w:t>
            </w:r>
            <w:r>
              <w:rPr>
                <w:rFonts w:hint="eastAsia"/>
                <w:color w:val="auto"/>
                <w:highlight w:val="none"/>
                <w:lang w:eastAsia="zh-CN"/>
              </w:rPr>
              <w:t>、本工程主要应采用中国国家规范。如国家规范和湛江地区规范有差异时，除原设计建筑设计师或工程师有特别申明外，承包人应按相关规范较严格者为准。</w:t>
            </w:r>
          </w:p>
          <w:p>
            <w:pPr>
              <w:rPr>
                <w:color w:val="auto"/>
                <w:highlight w:val="none"/>
                <w:lang w:eastAsia="zh-CN"/>
              </w:rPr>
            </w:pPr>
            <w:r>
              <w:rPr>
                <w:rFonts w:hint="eastAsia"/>
                <w:color w:val="auto"/>
                <w:highlight w:val="none"/>
                <w:lang w:eastAsia="zh-CN"/>
              </w:rPr>
              <w:t>（二）深化设计的主要内容</w:t>
            </w:r>
          </w:p>
          <w:p>
            <w:pPr>
              <w:rPr>
                <w:color w:val="auto"/>
                <w:highlight w:val="none"/>
                <w:lang w:eastAsia="zh-CN"/>
              </w:rPr>
            </w:pPr>
            <w:r>
              <w:rPr>
                <w:rFonts w:hint="eastAsia"/>
                <w:color w:val="auto"/>
                <w:highlight w:val="none"/>
                <w:lang w:eastAsia="zh-CN"/>
              </w:rPr>
              <w:t>深化设计按设计要求及图纸规定的内容执行，承包人应提供包括施工组织、物料供应、安装、完成及在保修期内免费维修所有工程（按原设计图纸所指定在本工程内需要负责的范围），以及规定的保修等工作所需的一切劳务及材料。</w:t>
            </w:r>
          </w:p>
          <w:p>
            <w:pPr>
              <w:rPr>
                <w:color w:val="auto"/>
                <w:highlight w:val="none"/>
                <w:lang w:eastAsia="zh-CN"/>
              </w:rPr>
            </w:pPr>
            <w:r>
              <w:rPr>
                <w:color w:val="auto"/>
                <w:highlight w:val="none"/>
                <w:lang w:eastAsia="zh-CN"/>
              </w:rPr>
              <w:t>1</w:t>
            </w:r>
            <w:r>
              <w:rPr>
                <w:rFonts w:hint="eastAsia"/>
                <w:color w:val="auto"/>
                <w:highlight w:val="none"/>
                <w:lang w:eastAsia="zh-CN"/>
              </w:rPr>
              <w:t>、深化设计应配合总包协调相互的进度及工地所需。注意和总包、幕墙、消防、弱电、医疗气体等分项工程的配合、工序衔接。本项目分包要负责统筹及协调区域内其它分包的工作，如有需要，在施工图基础上作深化或调整设计，以达到合格工程的要求，并对最后的工程整体效果负责。</w:t>
            </w:r>
          </w:p>
          <w:p>
            <w:pPr>
              <w:rPr>
                <w:color w:val="auto"/>
                <w:highlight w:val="none"/>
                <w:lang w:eastAsia="zh-CN"/>
              </w:rPr>
            </w:pPr>
            <w:r>
              <w:rPr>
                <w:color w:val="auto"/>
                <w:highlight w:val="none"/>
                <w:lang w:eastAsia="zh-CN"/>
              </w:rPr>
              <w:t>3</w:t>
            </w:r>
            <w:r>
              <w:rPr>
                <w:rFonts w:hint="eastAsia"/>
                <w:color w:val="auto"/>
                <w:highlight w:val="none"/>
                <w:lang w:eastAsia="zh-CN"/>
              </w:rPr>
              <w:t>、通过深化设计避免在工程实施过程中对已竣工部分造成破坏或对结构构件及建筑物功能产生不利影响。</w:t>
            </w:r>
          </w:p>
          <w:p>
            <w:pPr>
              <w:rPr>
                <w:color w:val="auto"/>
                <w:highlight w:val="none"/>
                <w:lang w:eastAsia="zh-CN"/>
              </w:rPr>
            </w:pPr>
            <w:r>
              <w:rPr>
                <w:color w:val="auto"/>
                <w:highlight w:val="none"/>
                <w:lang w:eastAsia="zh-CN"/>
              </w:rPr>
              <w:t>4</w:t>
            </w:r>
            <w:r>
              <w:rPr>
                <w:rFonts w:hint="eastAsia"/>
                <w:color w:val="auto"/>
                <w:highlight w:val="none"/>
                <w:lang w:eastAsia="zh-CN"/>
              </w:rPr>
              <w:t>、深化设计中应包括装饰色彩组合设计，在施工过程中得到业主和原设计建筑师的批准。</w:t>
            </w:r>
          </w:p>
          <w:p>
            <w:pPr>
              <w:rPr>
                <w:color w:val="auto"/>
                <w:highlight w:val="none"/>
                <w:lang w:eastAsia="zh-CN"/>
              </w:rPr>
            </w:pPr>
            <w:r>
              <w:rPr>
                <w:color w:val="auto"/>
                <w:highlight w:val="none"/>
                <w:lang w:eastAsia="zh-CN"/>
              </w:rPr>
              <w:t>5</w:t>
            </w:r>
            <w:r>
              <w:rPr>
                <w:rFonts w:hint="eastAsia"/>
                <w:color w:val="auto"/>
                <w:highlight w:val="none"/>
                <w:lang w:eastAsia="zh-CN"/>
              </w:rPr>
              <w:t>、深化设计除了应符合招标规定的主要设备、材料、构配件外，还须包括工程施工及安装工程正常进行中所需的一切配件及辅材设备，以及所需劳务，不论此等配件有否详列于分包合同文件中。</w:t>
            </w:r>
          </w:p>
          <w:p>
            <w:pPr>
              <w:rPr>
                <w:color w:val="auto"/>
                <w:highlight w:val="none"/>
                <w:lang w:eastAsia="zh-CN"/>
              </w:rPr>
            </w:pPr>
            <w:r>
              <w:rPr>
                <w:color w:val="auto"/>
                <w:highlight w:val="none"/>
                <w:lang w:eastAsia="zh-CN"/>
              </w:rPr>
              <w:t>6</w:t>
            </w:r>
            <w:r>
              <w:rPr>
                <w:rFonts w:hint="eastAsia"/>
                <w:color w:val="auto"/>
                <w:highlight w:val="none"/>
                <w:lang w:eastAsia="zh-CN"/>
              </w:rPr>
              <w:t>、深化设计应根据投标人选用的符合招标人要求的设备、材料进行，并须达到或高于工程整体要求水平。</w:t>
            </w:r>
          </w:p>
          <w:p>
            <w:pPr>
              <w:rPr>
                <w:color w:val="auto"/>
                <w:highlight w:val="none"/>
                <w:lang w:eastAsia="zh-CN"/>
              </w:rPr>
            </w:pPr>
            <w:r>
              <w:rPr>
                <w:color w:val="auto"/>
                <w:highlight w:val="none"/>
                <w:lang w:eastAsia="zh-CN"/>
              </w:rPr>
              <w:t>7</w:t>
            </w:r>
            <w:r>
              <w:rPr>
                <w:rFonts w:hint="eastAsia"/>
                <w:color w:val="auto"/>
                <w:highlight w:val="none"/>
                <w:lang w:eastAsia="zh-CN"/>
              </w:rPr>
              <w:t>、深化设计中应对分期施工的衔接处进行设计处理，达到分期投入使用的功能，并确保使用功能和效果。</w:t>
            </w:r>
          </w:p>
          <w:p>
            <w:pPr>
              <w:rPr>
                <w:color w:val="auto"/>
                <w:highlight w:val="none"/>
                <w:lang w:eastAsia="zh-CN"/>
              </w:rPr>
            </w:pPr>
            <w:r>
              <w:rPr>
                <w:color w:val="auto"/>
                <w:highlight w:val="none"/>
                <w:lang w:eastAsia="zh-CN"/>
              </w:rPr>
              <w:t>8</w:t>
            </w:r>
            <w:r>
              <w:rPr>
                <w:rFonts w:hint="eastAsia"/>
                <w:color w:val="auto"/>
                <w:highlight w:val="none"/>
                <w:lang w:eastAsia="zh-CN"/>
              </w:rPr>
              <w:t>、承包人需提供符合工程管理的完整材料报验资料、竣工资料、竣工图纸、维修方案及说明。</w:t>
            </w:r>
          </w:p>
          <w:p>
            <w:pPr>
              <w:rPr>
                <w:color w:val="auto"/>
                <w:highlight w:val="none"/>
                <w:lang w:eastAsia="zh-CN"/>
              </w:rPr>
            </w:pPr>
            <w:r>
              <w:rPr>
                <w:rFonts w:hint="eastAsia"/>
                <w:color w:val="auto"/>
                <w:highlight w:val="none"/>
                <w:lang w:eastAsia="zh-CN"/>
              </w:rPr>
              <w:t>四、专用要求</w:t>
            </w:r>
          </w:p>
          <w:p>
            <w:pPr>
              <w:rPr>
                <w:color w:val="auto"/>
                <w:highlight w:val="none"/>
                <w:lang w:eastAsia="zh-CN"/>
              </w:rPr>
            </w:pPr>
            <w:r>
              <w:rPr>
                <w:color w:val="auto"/>
                <w:highlight w:val="none"/>
                <w:lang w:eastAsia="zh-CN"/>
              </w:rPr>
              <w:t>1</w:t>
            </w:r>
            <w:r>
              <w:rPr>
                <w:rFonts w:hint="eastAsia"/>
                <w:color w:val="auto"/>
                <w:highlight w:val="none"/>
                <w:lang w:eastAsia="zh-CN"/>
              </w:rPr>
              <w:t>、本项目技术要求详见施工图说明</w:t>
            </w:r>
            <w:r>
              <w:rPr>
                <w:color w:val="auto"/>
                <w:highlight w:val="none"/>
                <w:lang w:eastAsia="zh-CN"/>
              </w:rPr>
              <w:t>,</w:t>
            </w:r>
            <w:r>
              <w:rPr>
                <w:rFonts w:hint="eastAsia"/>
                <w:color w:val="auto"/>
                <w:highlight w:val="none"/>
                <w:lang w:eastAsia="zh-CN"/>
              </w:rPr>
              <w:t>若后述之技术要求与施工图说明有不一致</w:t>
            </w:r>
            <w:r>
              <w:rPr>
                <w:color w:val="auto"/>
                <w:highlight w:val="none"/>
                <w:lang w:eastAsia="zh-CN"/>
              </w:rPr>
              <w:t>,</w:t>
            </w:r>
            <w:r>
              <w:rPr>
                <w:rFonts w:hint="eastAsia"/>
                <w:color w:val="auto"/>
                <w:highlight w:val="none"/>
                <w:lang w:eastAsia="zh-CN"/>
              </w:rPr>
              <w:t>则以净化施工图说明为准。</w:t>
            </w:r>
          </w:p>
          <w:p>
            <w:pPr>
              <w:rPr>
                <w:color w:val="auto"/>
                <w:highlight w:val="none"/>
                <w:lang w:eastAsia="zh-CN"/>
              </w:rPr>
            </w:pPr>
            <w:r>
              <w:rPr>
                <w:color w:val="auto"/>
                <w:highlight w:val="none"/>
                <w:lang w:eastAsia="zh-CN"/>
              </w:rPr>
              <w:t>2</w:t>
            </w:r>
            <w:r>
              <w:rPr>
                <w:rFonts w:hint="eastAsia"/>
                <w:color w:val="auto"/>
                <w:highlight w:val="none"/>
                <w:lang w:eastAsia="zh-CN"/>
              </w:rPr>
              <w:t>、本工程施工须按照中国国家施工及验收规范实施。各材料和施工均应严格按照图纸设计进行，在满足设计要求外，更应符合国家和湛江地区之法规、规范要求。</w:t>
            </w:r>
          </w:p>
          <w:p>
            <w:pPr>
              <w:rPr>
                <w:color w:val="auto"/>
                <w:highlight w:val="none"/>
                <w:lang w:eastAsia="zh-CN"/>
              </w:rPr>
            </w:pPr>
            <w:r>
              <w:rPr>
                <w:color w:val="auto"/>
                <w:highlight w:val="none"/>
                <w:lang w:eastAsia="zh-CN"/>
              </w:rPr>
              <w:t>3</w:t>
            </w:r>
            <w:r>
              <w:rPr>
                <w:rFonts w:hint="eastAsia"/>
                <w:color w:val="auto"/>
                <w:highlight w:val="none"/>
                <w:lang w:eastAsia="zh-CN"/>
              </w:rPr>
              <w:t>、本工程主要应采用中国国家规范。如国家规范和湛江地区规范有差异时，除建筑设计师或工程师有特别申明外，承包人应按较严格者为准。</w:t>
            </w:r>
          </w:p>
          <w:p>
            <w:pPr>
              <w:rPr>
                <w:color w:val="auto"/>
                <w:highlight w:val="none"/>
                <w:lang w:eastAsia="zh-CN"/>
              </w:rPr>
            </w:pPr>
            <w:r>
              <w:rPr>
                <w:color w:val="auto"/>
                <w:highlight w:val="none"/>
                <w:lang w:eastAsia="zh-CN"/>
              </w:rPr>
              <w:t>4</w:t>
            </w:r>
            <w:r>
              <w:rPr>
                <w:rFonts w:hint="eastAsia"/>
                <w:color w:val="auto"/>
                <w:highlight w:val="none"/>
                <w:lang w:eastAsia="zh-CN"/>
              </w:rPr>
              <w:t>、承包商须根据招标人要求提供各种建筑构配件、装饰材料的样板，并将获批准的样板（一式两份），交到工地，一份保留在工地现场，一份保留在业主处，相关费用含在本次报价中。</w:t>
            </w:r>
          </w:p>
          <w:p>
            <w:pPr>
              <w:rPr>
                <w:color w:val="auto"/>
                <w:highlight w:val="none"/>
                <w:lang w:eastAsia="zh-CN"/>
              </w:rPr>
            </w:pPr>
            <w:r>
              <w:rPr>
                <w:color w:val="auto"/>
                <w:highlight w:val="none"/>
                <w:lang w:eastAsia="zh-CN"/>
              </w:rPr>
              <w:t>5</w:t>
            </w:r>
            <w:r>
              <w:rPr>
                <w:rFonts w:hint="eastAsia"/>
                <w:color w:val="auto"/>
                <w:highlight w:val="none"/>
                <w:lang w:eastAsia="zh-CN"/>
              </w:rPr>
              <w:t>、施工现场禁止搅拌水泥砂浆，全部采用预拌砂浆。</w:t>
            </w:r>
          </w:p>
          <w:p>
            <w:pPr>
              <w:rPr>
                <w:color w:val="auto"/>
                <w:highlight w:val="none"/>
                <w:lang w:eastAsia="zh-CN"/>
              </w:rPr>
            </w:pPr>
            <w:r>
              <w:rPr>
                <w:color w:val="auto"/>
                <w:highlight w:val="none"/>
                <w:lang w:eastAsia="zh-CN"/>
              </w:rPr>
              <w:t>6</w:t>
            </w:r>
            <w:r>
              <w:rPr>
                <w:rFonts w:hint="eastAsia"/>
                <w:color w:val="auto"/>
                <w:highlight w:val="none"/>
                <w:lang w:eastAsia="zh-CN"/>
              </w:rPr>
              <w:t>、如因承包商与业主、监理缺乏协调而导致已完工程造成质量缺陷的，承包商除需支付所有有关的费用和负由此而导致工期延误的责任外，仍须对业主作出相应的赔偿。</w:t>
            </w:r>
          </w:p>
          <w:p>
            <w:pPr>
              <w:rPr>
                <w:color w:val="auto"/>
                <w:highlight w:val="none"/>
                <w:lang w:eastAsia="zh-CN"/>
              </w:rPr>
            </w:pPr>
            <w:r>
              <w:rPr>
                <w:color w:val="auto"/>
                <w:highlight w:val="none"/>
                <w:lang w:eastAsia="zh-CN"/>
              </w:rPr>
              <w:t>7</w:t>
            </w:r>
            <w:r>
              <w:rPr>
                <w:rFonts w:hint="eastAsia"/>
                <w:color w:val="auto"/>
                <w:highlight w:val="none"/>
                <w:lang w:eastAsia="zh-CN"/>
              </w:rPr>
              <w:t>、净化用气密门必须符合招标技术要求。所有门窗的安装要求根据房间的功能和装修的协调要求而定，以成熟工艺保证设计意图的实现。</w:t>
            </w:r>
          </w:p>
          <w:p>
            <w:pPr>
              <w:rPr>
                <w:color w:val="auto"/>
                <w:highlight w:val="none"/>
                <w:lang w:eastAsia="zh-CN"/>
              </w:rPr>
            </w:pPr>
            <w:r>
              <w:rPr>
                <w:color w:val="auto"/>
                <w:highlight w:val="none"/>
                <w:lang w:eastAsia="zh-CN"/>
              </w:rPr>
              <w:t>8</w:t>
            </w:r>
            <w:r>
              <w:rPr>
                <w:rFonts w:hint="eastAsia"/>
                <w:color w:val="auto"/>
                <w:highlight w:val="none"/>
                <w:lang w:eastAsia="zh-CN"/>
              </w:rPr>
              <w:t>、本工程门、窗及配件均须提供实物样板，质量和外观应符合设计要求。工程施工以获批准的实物样板为准，质量不得低于实物样板。本工程洞口尺寸仅为报价依据，制作时应实地测量洞口尺寸。本招标文件提供的数量，如与施工图不符者以施工图为准。</w:t>
            </w:r>
          </w:p>
          <w:p>
            <w:pPr>
              <w:rPr>
                <w:color w:val="auto"/>
                <w:highlight w:val="none"/>
                <w:lang w:eastAsia="zh-CN"/>
              </w:rPr>
            </w:pPr>
            <w:r>
              <w:rPr>
                <w:color w:val="auto"/>
                <w:highlight w:val="none"/>
                <w:lang w:eastAsia="zh-CN"/>
              </w:rPr>
              <w:t>9</w:t>
            </w:r>
            <w:r>
              <w:rPr>
                <w:rFonts w:hint="eastAsia"/>
                <w:color w:val="auto"/>
                <w:highlight w:val="none"/>
                <w:lang w:eastAsia="zh-CN"/>
              </w:rPr>
              <w:t>、板块面层材料应符合现行行业标准的规定，并应符合现行的国家规范质量的规定。用于擦缝的颜料应采用耐光、耐碱颜料的矿物颜料。</w:t>
            </w:r>
          </w:p>
          <w:p>
            <w:pPr>
              <w:rPr>
                <w:color w:val="auto"/>
                <w:highlight w:val="none"/>
                <w:lang w:eastAsia="zh-CN"/>
              </w:rPr>
            </w:pPr>
            <w:r>
              <w:rPr>
                <w:color w:val="auto"/>
                <w:highlight w:val="none"/>
                <w:lang w:eastAsia="zh-CN"/>
              </w:rPr>
              <w:t>10</w:t>
            </w:r>
            <w:r>
              <w:rPr>
                <w:rFonts w:hint="eastAsia"/>
                <w:color w:val="auto"/>
                <w:highlight w:val="none"/>
                <w:lang w:eastAsia="zh-CN"/>
              </w:rPr>
              <w:t>、吊顶施工前应对设计图纸进行了解，同时针对现场的安装情况进行深化排板，复核现场标高是否能达到设计要求。</w:t>
            </w:r>
          </w:p>
          <w:p>
            <w:pPr>
              <w:rPr>
                <w:color w:val="auto"/>
                <w:highlight w:val="none"/>
                <w:lang w:eastAsia="zh-CN"/>
              </w:rPr>
            </w:pPr>
            <w:r>
              <w:rPr>
                <w:color w:val="auto"/>
                <w:highlight w:val="none"/>
                <w:lang w:eastAsia="zh-CN"/>
              </w:rPr>
              <w:t>11</w:t>
            </w:r>
            <w:r>
              <w:rPr>
                <w:rFonts w:hint="eastAsia"/>
                <w:color w:val="auto"/>
                <w:highlight w:val="none"/>
                <w:lang w:eastAsia="zh-CN"/>
              </w:rPr>
              <w:t>、检查顶棚内所有的水、电、通风、空调等管线是否安装完毕（吊顶应在设备安装基本完成后进行，相对来说，明龙骨吊顶的材料较单薄，截面小易碰撞变形，所以应对产品加强保护）。</w:t>
            </w:r>
          </w:p>
          <w:p>
            <w:pPr>
              <w:rPr>
                <w:color w:val="auto"/>
                <w:highlight w:val="none"/>
                <w:lang w:eastAsia="zh-CN"/>
              </w:rPr>
            </w:pPr>
            <w:r>
              <w:rPr>
                <w:color w:val="auto"/>
                <w:highlight w:val="none"/>
                <w:lang w:eastAsia="zh-CN"/>
              </w:rPr>
              <w:t>12</w:t>
            </w:r>
            <w:r>
              <w:rPr>
                <w:rFonts w:hint="eastAsia"/>
                <w:color w:val="auto"/>
                <w:highlight w:val="none"/>
                <w:lang w:eastAsia="zh-CN"/>
              </w:rPr>
              <w:t>、承包商应在瓷砖墙或地面饰面施工前，组织花纹、颜色的分类和选配工作，以达到同一面墙或同一块地面上的石材、瓷砖、地砖饰面具有统一和谐的外观效果。而同一范围内的同类饰面不得出现明显的色泽、纹理不协调和突兀的情况。材料色泽及纹理组合现场观察样板必须经建筑设计师批准才可施工。</w:t>
            </w:r>
          </w:p>
          <w:p>
            <w:pPr>
              <w:rPr>
                <w:color w:val="auto"/>
                <w:highlight w:val="none"/>
                <w:lang w:eastAsia="zh-CN"/>
              </w:rPr>
            </w:pPr>
            <w:r>
              <w:rPr>
                <w:color w:val="auto"/>
                <w:highlight w:val="none"/>
                <w:lang w:eastAsia="zh-CN"/>
              </w:rPr>
              <w:t>13</w:t>
            </w:r>
            <w:r>
              <w:rPr>
                <w:rFonts w:hint="eastAsia"/>
                <w:color w:val="auto"/>
                <w:highlight w:val="none"/>
                <w:lang w:eastAsia="zh-CN"/>
              </w:rPr>
              <w:t>、承包商必须熟悉各种装饰材料在施工时所需要的环境及卫生条件，并必须提供有关设备室内环境适合该种装饰材料的施工，务必装饰工程效果达到施工图和合同要求。</w:t>
            </w:r>
          </w:p>
          <w:p>
            <w:pPr>
              <w:rPr>
                <w:color w:val="auto"/>
                <w:highlight w:val="none"/>
                <w:lang w:eastAsia="zh-CN"/>
              </w:rPr>
            </w:pPr>
            <w:r>
              <w:rPr>
                <w:color w:val="auto"/>
                <w:highlight w:val="none"/>
                <w:lang w:eastAsia="zh-CN"/>
              </w:rPr>
              <w:t>14</w:t>
            </w:r>
            <w:r>
              <w:rPr>
                <w:rFonts w:hint="eastAsia"/>
                <w:color w:val="auto"/>
                <w:highlight w:val="none"/>
                <w:lang w:eastAsia="zh-CN"/>
              </w:rPr>
              <w:t>、建筑装饰装修工程施工中，严禁违反设计擅自改动建筑主体、承重结构或主要使用功能，严禁未经、监理及业主确认拆改水、暖、电、燃气、通风等配套设施。</w:t>
            </w:r>
          </w:p>
          <w:p>
            <w:pPr>
              <w:rPr>
                <w:color w:val="auto"/>
                <w:highlight w:val="none"/>
                <w:lang w:eastAsia="zh-CN"/>
              </w:rPr>
            </w:pPr>
            <w:r>
              <w:rPr>
                <w:color w:val="auto"/>
                <w:highlight w:val="none"/>
                <w:lang w:eastAsia="zh-CN"/>
              </w:rPr>
              <w:t>15</w:t>
            </w:r>
            <w:r>
              <w:rPr>
                <w:rFonts w:hint="eastAsia"/>
                <w:color w:val="auto"/>
                <w:highlight w:val="none"/>
                <w:lang w:eastAsia="zh-CN"/>
              </w:rPr>
              <w:t>、监造和检验</w:t>
            </w:r>
          </w:p>
          <w:p>
            <w:pPr>
              <w:rPr>
                <w:color w:val="auto"/>
                <w:highlight w:val="none"/>
                <w:lang w:eastAsia="zh-CN"/>
              </w:rPr>
            </w:pPr>
            <w:r>
              <w:rPr>
                <w:rFonts w:hint="eastAsia"/>
                <w:color w:val="auto"/>
                <w:highlight w:val="none"/>
                <w:lang w:eastAsia="zh-CN"/>
              </w:rPr>
              <w:t>（</w:t>
            </w:r>
            <w:r>
              <w:rPr>
                <w:color w:val="auto"/>
                <w:highlight w:val="none"/>
                <w:lang w:eastAsia="zh-CN"/>
              </w:rPr>
              <w:t>1</w:t>
            </w:r>
            <w:r>
              <w:rPr>
                <w:rFonts w:hint="eastAsia"/>
                <w:color w:val="auto"/>
                <w:highlight w:val="none"/>
                <w:lang w:eastAsia="zh-CN"/>
              </w:rPr>
              <w:t>）承包商选择的主要材料生产厂商</w:t>
            </w:r>
            <w:r>
              <w:rPr>
                <w:color w:val="auto"/>
                <w:highlight w:val="none"/>
                <w:lang w:eastAsia="zh-CN"/>
              </w:rPr>
              <w:t>(</w:t>
            </w:r>
            <w:r>
              <w:rPr>
                <w:rFonts w:hint="eastAsia"/>
                <w:color w:val="auto"/>
                <w:highlight w:val="none"/>
                <w:lang w:eastAsia="zh-CN"/>
              </w:rPr>
              <w:t>以下简称厂商</w:t>
            </w:r>
            <w:r>
              <w:rPr>
                <w:color w:val="auto"/>
                <w:highlight w:val="none"/>
                <w:lang w:eastAsia="zh-CN"/>
              </w:rPr>
              <w:t>)</w:t>
            </w:r>
            <w:r>
              <w:rPr>
                <w:rFonts w:hint="eastAsia"/>
                <w:color w:val="auto"/>
                <w:highlight w:val="none"/>
                <w:lang w:eastAsia="zh-CN"/>
              </w:rPr>
              <w:t>在产品生产期间，应邀请发包人代表到主要材料制造厂进行产品监造。当主要材料在中国制造，发包人进行监造时，供货商应提前二周发出通知；如果在规定的时间内发包人代表不到场，在发包人同意的前提下，工作可按发包人在场的情况进行，并应及时把结果报告发包人。</w:t>
            </w:r>
          </w:p>
          <w:p>
            <w:pPr>
              <w:rPr>
                <w:color w:val="auto"/>
                <w:highlight w:val="none"/>
                <w:lang w:eastAsia="zh-CN"/>
              </w:rPr>
            </w:pPr>
            <w:r>
              <w:rPr>
                <w:rFonts w:hint="eastAsia"/>
                <w:color w:val="auto"/>
                <w:highlight w:val="none"/>
                <w:lang w:eastAsia="zh-CN"/>
              </w:rPr>
              <w:t>（</w:t>
            </w:r>
            <w:r>
              <w:rPr>
                <w:color w:val="auto"/>
                <w:highlight w:val="none"/>
                <w:lang w:eastAsia="zh-CN"/>
              </w:rPr>
              <w:t>2</w:t>
            </w:r>
            <w:r>
              <w:rPr>
                <w:rFonts w:hint="eastAsia"/>
                <w:color w:val="auto"/>
                <w:highlight w:val="none"/>
                <w:lang w:eastAsia="zh-CN"/>
              </w:rPr>
              <w:t>）承包商必须在主要材料制造完成后的两周内将所有检验证书和报告提交监理工程师签证。</w:t>
            </w:r>
          </w:p>
          <w:p>
            <w:pPr>
              <w:rPr>
                <w:color w:val="auto"/>
                <w:highlight w:val="none"/>
                <w:lang w:eastAsia="zh-CN"/>
              </w:rPr>
            </w:pPr>
            <w:r>
              <w:rPr>
                <w:rFonts w:hint="eastAsia"/>
                <w:color w:val="auto"/>
                <w:highlight w:val="none"/>
                <w:lang w:eastAsia="zh-CN"/>
              </w:rPr>
              <w:t>（</w:t>
            </w:r>
            <w:r>
              <w:rPr>
                <w:color w:val="auto"/>
                <w:highlight w:val="none"/>
                <w:lang w:eastAsia="zh-CN"/>
              </w:rPr>
              <w:t>3</w:t>
            </w:r>
            <w:r>
              <w:rPr>
                <w:rFonts w:hint="eastAsia"/>
                <w:color w:val="auto"/>
                <w:highlight w:val="none"/>
                <w:lang w:eastAsia="zh-CN"/>
              </w:rPr>
              <w:t>）主要材料的检验应在工厂完成，承包商应提供必要的技术资料、图纸、检验标准和计划，供发包人认可。如果测试工作超出了厂商的能力，则应安排到有测试条件、具备相应资质的第四方</w:t>
            </w:r>
            <w:r>
              <w:rPr>
                <w:color w:val="auto"/>
                <w:highlight w:val="none"/>
                <w:lang w:eastAsia="zh-CN"/>
              </w:rPr>
              <w:t>(</w:t>
            </w:r>
            <w:r>
              <w:rPr>
                <w:rFonts w:hint="eastAsia"/>
                <w:color w:val="auto"/>
                <w:highlight w:val="none"/>
                <w:lang w:eastAsia="zh-CN"/>
              </w:rPr>
              <w:t>指除发包人、承包人、制造方以外的另一方</w:t>
            </w:r>
            <w:r>
              <w:rPr>
                <w:color w:val="auto"/>
                <w:highlight w:val="none"/>
                <w:lang w:eastAsia="zh-CN"/>
              </w:rPr>
              <w:t>)</w:t>
            </w:r>
            <w:r>
              <w:rPr>
                <w:rFonts w:hint="eastAsia"/>
                <w:color w:val="auto"/>
                <w:highlight w:val="none"/>
                <w:lang w:eastAsia="zh-CN"/>
              </w:rPr>
              <w:t>进行。测试工作的任何变化都应事先征得发包人的书面确认．如果某些产品在其它场所制造和测试时，厂商应替发包人办理进入现场的证明并亲自陪同。</w:t>
            </w:r>
            <w:r>
              <w:rPr>
                <w:color w:val="auto"/>
                <w:highlight w:val="none"/>
                <w:lang w:eastAsia="zh-CN"/>
              </w:rPr>
              <w:t xml:space="preserve">  </w:t>
            </w:r>
          </w:p>
          <w:p>
            <w:pPr>
              <w:rPr>
                <w:color w:val="auto"/>
                <w:highlight w:val="none"/>
                <w:lang w:eastAsia="zh-CN"/>
              </w:rPr>
            </w:pPr>
            <w:r>
              <w:rPr>
                <w:rFonts w:hint="eastAsia"/>
                <w:color w:val="auto"/>
                <w:highlight w:val="none"/>
                <w:lang w:eastAsia="zh-CN"/>
              </w:rPr>
              <w:t>（</w:t>
            </w:r>
            <w:r>
              <w:rPr>
                <w:color w:val="auto"/>
                <w:highlight w:val="none"/>
                <w:lang w:eastAsia="zh-CN"/>
              </w:rPr>
              <w:t>4</w:t>
            </w:r>
            <w:r>
              <w:rPr>
                <w:rFonts w:hint="eastAsia"/>
                <w:color w:val="auto"/>
                <w:highlight w:val="none"/>
                <w:lang w:eastAsia="zh-CN"/>
              </w:rPr>
              <w:t>）制造期间，发包人拥有检查的权力，以及索取图纸和试验结果的权力，承包商应提供支持。如发包人代表有要求，承包商应解释监造、工厂检验的一切事项，直到发包人代表满意，如不符合本条款要求规定，承包商应按发包人要求作无偿改进。由此引起的延误，不得作为工期延期和增加费用的理由。</w:t>
            </w:r>
          </w:p>
          <w:p>
            <w:pPr>
              <w:rPr>
                <w:color w:val="auto"/>
                <w:highlight w:val="none"/>
                <w:lang w:eastAsia="zh-CN"/>
              </w:rPr>
            </w:pPr>
            <w:r>
              <w:rPr>
                <w:rFonts w:hint="eastAsia"/>
                <w:color w:val="auto"/>
                <w:highlight w:val="none"/>
                <w:lang w:eastAsia="zh-CN"/>
              </w:rPr>
              <w:t>（</w:t>
            </w:r>
            <w:r>
              <w:rPr>
                <w:color w:val="auto"/>
                <w:highlight w:val="none"/>
                <w:lang w:eastAsia="zh-CN"/>
              </w:rPr>
              <w:t>5</w:t>
            </w:r>
            <w:r>
              <w:rPr>
                <w:rFonts w:hint="eastAsia"/>
                <w:color w:val="auto"/>
                <w:highlight w:val="none"/>
                <w:lang w:eastAsia="zh-CN"/>
              </w:rPr>
              <w:t>）承包商必须在每一个测试项目完成后的两周内，将测试证书和报告提交发包人。</w:t>
            </w:r>
            <w:r>
              <w:rPr>
                <w:color w:val="auto"/>
                <w:highlight w:val="none"/>
                <w:lang w:eastAsia="zh-CN"/>
              </w:rPr>
              <w:t xml:space="preserve"> </w:t>
            </w:r>
          </w:p>
          <w:p>
            <w:pPr>
              <w:rPr>
                <w:color w:val="auto"/>
                <w:highlight w:val="none"/>
                <w:lang w:eastAsia="zh-CN"/>
              </w:rPr>
            </w:pPr>
            <w:r>
              <w:rPr>
                <w:color w:val="auto"/>
                <w:highlight w:val="none"/>
                <w:lang w:eastAsia="zh-CN"/>
              </w:rPr>
              <w:t>16</w:t>
            </w:r>
            <w:r>
              <w:rPr>
                <w:rFonts w:hint="eastAsia"/>
                <w:color w:val="auto"/>
                <w:highlight w:val="none"/>
                <w:lang w:eastAsia="zh-CN"/>
              </w:rPr>
              <w:t>、装饰材料绿色环保要求</w:t>
            </w:r>
          </w:p>
          <w:p>
            <w:pPr>
              <w:rPr>
                <w:color w:val="auto"/>
                <w:highlight w:val="none"/>
                <w:lang w:eastAsia="zh-CN"/>
              </w:rPr>
            </w:pPr>
            <w:r>
              <w:rPr>
                <w:rFonts w:hint="eastAsia"/>
                <w:color w:val="auto"/>
                <w:highlight w:val="none"/>
                <w:lang w:eastAsia="zh-CN"/>
              </w:rPr>
              <w:t>装饰材料安全要求：装饰施工选择的全部装饰材料必须符合国家有关装饰材料的安全要求，并具有国家权威检测机构颁发的绿色环保安全使用证书，并保证工程完工后环境检测权威机构检测各项装饰安全指标达到《民用建筑工程室内环境污染控制规范》要求，若达不到规范各项指标要求，承包商负责返工并承担全部返工费用及相关检测费用，发包人保留按合同规定索赔的权力。</w:t>
            </w:r>
          </w:p>
          <w:p>
            <w:pPr>
              <w:rPr>
                <w:color w:val="auto"/>
                <w:highlight w:val="none"/>
                <w:lang w:eastAsia="zh-CN"/>
              </w:rPr>
            </w:pPr>
            <w:r>
              <w:rPr>
                <w:rFonts w:hint="eastAsia"/>
                <w:color w:val="auto"/>
                <w:highlight w:val="none"/>
                <w:lang w:eastAsia="zh-CN"/>
              </w:rPr>
              <w:t>为了保证本装饰工程的质量，确保工程完工以后室内环境的空气质量符合国家标准要求，要求对石材、地坪漆、地砖、墙面乳胶漆、木地板、木门、胶合板、胶粘剂、木制品油漆等材料的原材料、辅助材料在使用前全部要求进行环保检测并提供有效检测报告。要求健康、卫生、安全、环保，最大程度地保证产品出厂时、消费使用过程中无毒、无害（无腐蚀性、无放射性、无生物危害、无有害挥发物）。</w:t>
            </w:r>
          </w:p>
          <w:p>
            <w:pPr>
              <w:rPr>
                <w:color w:val="auto"/>
                <w:highlight w:val="none"/>
                <w:lang w:eastAsia="zh-CN"/>
              </w:rPr>
            </w:pPr>
            <w:r>
              <w:rPr>
                <w:rFonts w:hint="eastAsia"/>
                <w:color w:val="auto"/>
                <w:highlight w:val="none"/>
                <w:lang w:eastAsia="zh-CN"/>
              </w:rPr>
              <w:t>承包商应委托检测部门对样板间室内环境污染物浓度进行检测，合格后方可全面展开施工。</w:t>
            </w:r>
          </w:p>
          <w:p>
            <w:pPr>
              <w:rPr>
                <w:color w:val="auto"/>
                <w:highlight w:val="none"/>
                <w:lang w:eastAsia="zh-CN"/>
              </w:rPr>
            </w:pPr>
            <w:r>
              <w:rPr>
                <w:rFonts w:hint="eastAsia"/>
                <w:color w:val="auto"/>
                <w:highlight w:val="none"/>
                <w:lang w:eastAsia="zh-CN"/>
              </w:rPr>
              <w:t>竣工检测：本工程完工以后，按中华人民共和国《民用建筑工程室内环境污染控制规范》</w:t>
            </w:r>
            <w:r>
              <w:rPr>
                <w:color w:val="auto"/>
                <w:highlight w:val="none"/>
                <w:lang w:eastAsia="zh-CN"/>
              </w:rPr>
              <w:t>GB50325-2001</w:t>
            </w:r>
            <w:r>
              <w:rPr>
                <w:rFonts w:hint="eastAsia"/>
                <w:color w:val="auto"/>
                <w:highlight w:val="none"/>
                <w:lang w:eastAsia="zh-CN"/>
              </w:rPr>
              <w:t>进行检测。</w:t>
            </w:r>
          </w:p>
          <w:p>
            <w:pPr>
              <w:rPr>
                <w:color w:val="auto"/>
                <w:highlight w:val="none"/>
                <w:lang w:eastAsia="zh-CN"/>
              </w:rPr>
            </w:pPr>
            <w:r>
              <w:rPr>
                <w:rFonts w:hint="eastAsia"/>
                <w:color w:val="auto"/>
                <w:highlight w:val="none"/>
                <w:lang w:eastAsia="zh-CN"/>
              </w:rPr>
              <w:t>检测项目：氡、甲醛、氨、苯和</w:t>
            </w:r>
            <w:r>
              <w:rPr>
                <w:color w:val="auto"/>
                <w:highlight w:val="none"/>
                <w:lang w:eastAsia="zh-CN"/>
              </w:rPr>
              <w:t>TVOC</w:t>
            </w:r>
            <w:r>
              <w:rPr>
                <w:rFonts w:hint="eastAsia"/>
                <w:color w:val="auto"/>
                <w:highlight w:val="none"/>
                <w:lang w:eastAsia="zh-CN"/>
              </w:rPr>
              <w:t>等。</w:t>
            </w:r>
          </w:p>
          <w:p>
            <w:pPr>
              <w:rPr>
                <w:color w:val="auto"/>
                <w:highlight w:val="none"/>
                <w:lang w:eastAsia="zh-CN"/>
              </w:rPr>
            </w:pPr>
            <w:r>
              <w:rPr>
                <w:rFonts w:hint="eastAsia"/>
                <w:color w:val="auto"/>
                <w:highlight w:val="none"/>
                <w:lang w:eastAsia="zh-CN"/>
              </w:rPr>
              <w:t>五、工程承包范围内设备材料的说明</w:t>
            </w:r>
          </w:p>
          <w:p>
            <w:pPr>
              <w:rPr>
                <w:color w:val="auto"/>
                <w:highlight w:val="none"/>
                <w:lang w:eastAsia="zh-CN"/>
              </w:rPr>
            </w:pPr>
            <w:r>
              <w:rPr>
                <w:rFonts w:hint="eastAsia"/>
                <w:color w:val="auto"/>
                <w:highlight w:val="none"/>
                <w:lang w:eastAsia="zh-CN"/>
              </w:rPr>
              <w:t>本篇提出了本工程主要设备、材料的具体技术要求，投标人应充分理解本篇“技术要求”，在投标报价时应充分考虑满足本篇“技术要求”的设备、材料的市场价位。</w:t>
            </w:r>
          </w:p>
          <w:p>
            <w:pPr>
              <w:rPr>
                <w:color w:val="auto"/>
                <w:highlight w:val="none"/>
                <w:lang w:eastAsia="zh-CN"/>
              </w:rPr>
            </w:pPr>
            <w:r>
              <w:rPr>
                <w:rFonts w:hint="eastAsia"/>
                <w:color w:val="auto"/>
                <w:highlight w:val="none"/>
                <w:lang w:eastAsia="zh-CN"/>
              </w:rPr>
              <w:t>本篇“技术要求”中所列设备、材料为“参考品牌”，同一设备、材料的参考品牌不少于三个品牌</w:t>
            </w:r>
            <w:r>
              <w:rPr>
                <w:color w:val="auto"/>
                <w:highlight w:val="none"/>
                <w:lang w:eastAsia="zh-CN"/>
              </w:rPr>
              <w:t>/</w:t>
            </w:r>
            <w:r>
              <w:rPr>
                <w:rFonts w:hint="eastAsia"/>
                <w:color w:val="auto"/>
                <w:highlight w:val="none"/>
                <w:lang w:eastAsia="zh-CN"/>
              </w:rPr>
              <w:t>规格，参考品牌作为投标人投标报价和中标后选用时的最低要求。除非发包人同意采购参考品牌之外的产品，否则，承包人必须在参考品牌范围内选择采购。承包人采购参考品牌之外产品的必要条件是：提供证据证明拟采购产品其品质、档次不低于任一参考品牌。</w:t>
            </w:r>
          </w:p>
          <w:p>
            <w:pPr>
              <w:rPr>
                <w:color w:val="auto"/>
                <w:highlight w:val="none"/>
                <w:lang w:eastAsia="zh-CN"/>
              </w:rPr>
            </w:pPr>
            <w:r>
              <w:rPr>
                <w:rFonts w:hint="eastAsia"/>
                <w:color w:val="auto"/>
                <w:highlight w:val="none"/>
                <w:lang w:eastAsia="zh-CN"/>
              </w:rPr>
              <w:t>当工程量清单项目或设计图纸与本篇“技术要求”不一致时，投标人在投标报价、承包人在采购时以最高的技术要求为准。</w:t>
            </w:r>
          </w:p>
          <w:p>
            <w:pPr>
              <w:rPr>
                <w:color w:val="auto"/>
                <w:highlight w:val="none"/>
                <w:lang w:eastAsia="zh-CN"/>
              </w:rPr>
            </w:pPr>
            <w:r>
              <w:rPr>
                <w:rFonts w:hint="eastAsia"/>
                <w:color w:val="auto"/>
                <w:highlight w:val="none"/>
                <w:lang w:eastAsia="zh-CN"/>
              </w:rPr>
              <w:t>本篇参考品牌材料</w:t>
            </w:r>
            <w:r>
              <w:rPr>
                <w:color w:val="auto"/>
                <w:highlight w:val="none"/>
                <w:lang w:eastAsia="zh-CN"/>
              </w:rPr>
              <w:t>/</w:t>
            </w:r>
            <w:r>
              <w:rPr>
                <w:rFonts w:hint="eastAsia"/>
                <w:color w:val="auto"/>
                <w:highlight w:val="none"/>
                <w:lang w:eastAsia="zh-CN"/>
              </w:rPr>
              <w:t>设备“名称”可能与设计图纸或工程量清单“名称”不一致，但只要“使用性质”一致，便不影响本篇“技术要求”的效力。</w:t>
            </w:r>
          </w:p>
          <w:p>
            <w:pPr>
              <w:rPr>
                <w:color w:val="auto"/>
                <w:highlight w:val="none"/>
                <w:lang w:eastAsia="zh-CN"/>
              </w:rPr>
            </w:pPr>
            <w:r>
              <w:rPr>
                <w:rFonts w:hint="eastAsia"/>
                <w:color w:val="auto"/>
                <w:highlight w:val="none"/>
                <w:lang w:eastAsia="zh-CN"/>
              </w:rPr>
              <w:t>发包人根据设计图纸要求，提供主要装饰材料和照明材料的技术要求及部分参照样板，投标人在投标时，按此要求选择材料，根据招标文件中参考品牌，填注投标选用的品牌或厂家（包括符合技术要求的其他同等档次的品牌及厂家，不得低于设计图纸和参照样板要求）。在标明“不推荐品牌”栏中，投标人应填注投标选用的品牌或厂家。投标人在投标报价时，应标明标书所列表的主要工程材料的品牌或厂家，检测结果除应满足相关规范、规程、标准、设计要求外，还必须符合标书所列表内的技术要求。</w:t>
            </w:r>
          </w:p>
          <w:p>
            <w:pPr>
              <w:rPr>
                <w:color w:val="auto"/>
                <w:highlight w:val="none"/>
                <w:lang w:eastAsia="zh-CN"/>
              </w:rPr>
            </w:pPr>
            <w:r>
              <w:rPr>
                <w:rFonts w:hint="eastAsia"/>
                <w:color w:val="auto"/>
                <w:highlight w:val="none"/>
                <w:lang w:eastAsia="zh-CN"/>
              </w:rPr>
              <w:t>承包人中标后</w:t>
            </w:r>
            <w:r>
              <w:rPr>
                <w:color w:val="auto"/>
                <w:highlight w:val="none"/>
                <w:lang w:eastAsia="zh-CN"/>
              </w:rPr>
              <w:t>2</w:t>
            </w:r>
            <w:r>
              <w:rPr>
                <w:rFonts w:hint="eastAsia"/>
                <w:color w:val="auto"/>
                <w:highlight w:val="none"/>
                <w:lang w:eastAsia="zh-CN"/>
              </w:rPr>
              <w:t>个月内必须按照投标时填报的提供主要材料的品牌和厂家报监理、设计、甲方和使用单位（必要时）审批、考察、备案，</w:t>
            </w:r>
            <w:r>
              <w:rPr>
                <w:color w:val="auto"/>
                <w:highlight w:val="none"/>
                <w:lang w:eastAsia="zh-CN"/>
              </w:rPr>
              <w:t>3</w:t>
            </w:r>
            <w:r>
              <w:rPr>
                <w:rFonts w:hint="eastAsia"/>
                <w:color w:val="auto"/>
                <w:highlight w:val="none"/>
                <w:lang w:eastAsia="zh-CN"/>
              </w:rPr>
              <w:t>个月内将全部装饰材料供货合同报甲方备案。凡未经审批合格或经检测不合格的材料，一律不得进场使用。否则，凡由此造成纠纷，影响工程质量、工期的由承包人承担全部经济责任。</w:t>
            </w:r>
          </w:p>
          <w:p>
            <w:pPr>
              <w:rPr>
                <w:color w:val="auto"/>
                <w:highlight w:val="none"/>
                <w:lang w:eastAsia="zh-CN"/>
              </w:rPr>
            </w:pPr>
            <w:r>
              <w:rPr>
                <w:rFonts w:hint="eastAsia"/>
                <w:color w:val="auto"/>
                <w:highlight w:val="none"/>
                <w:lang w:eastAsia="zh-CN"/>
              </w:rPr>
              <w:t>六、工程材料的技术要求</w:t>
            </w:r>
          </w:p>
          <w:p>
            <w:pPr>
              <w:rPr>
                <w:color w:val="auto"/>
                <w:highlight w:val="none"/>
                <w:lang w:eastAsia="zh-CN"/>
              </w:rPr>
            </w:pPr>
            <w:r>
              <w:rPr>
                <w:color w:val="auto"/>
                <w:highlight w:val="none"/>
                <w:lang w:eastAsia="zh-CN"/>
              </w:rPr>
              <w:t>1</w:t>
            </w:r>
            <w:r>
              <w:rPr>
                <w:rFonts w:hint="eastAsia"/>
                <w:color w:val="auto"/>
                <w:highlight w:val="none"/>
                <w:lang w:eastAsia="zh-CN"/>
              </w:rPr>
              <w:t>、总说明：</w:t>
            </w:r>
          </w:p>
          <w:p>
            <w:pPr>
              <w:rPr>
                <w:color w:val="auto"/>
                <w:highlight w:val="none"/>
                <w:lang w:eastAsia="zh-CN"/>
              </w:rPr>
            </w:pPr>
            <w:r>
              <w:rPr>
                <w:color w:val="auto"/>
                <w:highlight w:val="none"/>
                <w:lang w:eastAsia="zh-CN"/>
              </w:rPr>
              <w:t>1</w:t>
            </w:r>
            <w:r>
              <w:rPr>
                <w:rFonts w:hint="eastAsia"/>
                <w:color w:val="auto"/>
                <w:highlight w:val="none"/>
                <w:lang w:eastAsia="zh-CN"/>
              </w:rPr>
              <w:t>）所用材料的品种、规格和质量须符合设计要求和国家现行标准的规定。当设计无要求时应符合国家现行标准的规定，严禁使用国家明令淘汰的材料；</w:t>
            </w:r>
          </w:p>
          <w:p>
            <w:pPr>
              <w:rPr>
                <w:color w:val="auto"/>
                <w:highlight w:val="none"/>
                <w:lang w:eastAsia="zh-CN"/>
              </w:rPr>
            </w:pPr>
            <w:r>
              <w:rPr>
                <w:color w:val="auto"/>
                <w:highlight w:val="none"/>
                <w:lang w:eastAsia="zh-CN"/>
              </w:rPr>
              <w:t>2</w:t>
            </w:r>
            <w:r>
              <w:rPr>
                <w:rFonts w:hint="eastAsia"/>
                <w:color w:val="auto"/>
                <w:highlight w:val="none"/>
                <w:lang w:eastAsia="zh-CN"/>
              </w:rPr>
              <w:t>）所用材料的燃烧性应符合现行国家标准《建筑内部装修设计防火规范》（</w:t>
            </w:r>
            <w:r>
              <w:rPr>
                <w:color w:val="auto"/>
                <w:highlight w:val="none"/>
                <w:lang w:eastAsia="zh-CN"/>
              </w:rPr>
              <w:t>GB50222-95  2001</w:t>
            </w:r>
            <w:r>
              <w:rPr>
                <w:rFonts w:hint="eastAsia"/>
                <w:color w:val="auto"/>
                <w:highlight w:val="none"/>
                <w:lang w:eastAsia="zh-CN"/>
              </w:rPr>
              <w:t>版）、《建筑设计防火规范》（</w:t>
            </w:r>
            <w:r>
              <w:rPr>
                <w:color w:val="auto"/>
                <w:highlight w:val="none"/>
                <w:lang w:eastAsia="zh-CN"/>
              </w:rPr>
              <w:t>GB 50016--2006</w:t>
            </w:r>
            <w:r>
              <w:rPr>
                <w:rFonts w:hint="eastAsia"/>
                <w:color w:val="auto"/>
                <w:highlight w:val="none"/>
                <w:lang w:eastAsia="zh-CN"/>
              </w:rPr>
              <w:t>）和《高层民用建筑设计防火规范》（</w:t>
            </w:r>
            <w:r>
              <w:rPr>
                <w:color w:val="auto"/>
                <w:highlight w:val="none"/>
                <w:lang w:eastAsia="zh-CN"/>
              </w:rPr>
              <w:t>GB50045-95 2005</w:t>
            </w:r>
            <w:r>
              <w:rPr>
                <w:rFonts w:hint="eastAsia"/>
                <w:color w:val="auto"/>
                <w:highlight w:val="none"/>
                <w:lang w:eastAsia="zh-CN"/>
              </w:rPr>
              <w:t>版）的规定；</w:t>
            </w:r>
          </w:p>
          <w:p>
            <w:pPr>
              <w:rPr>
                <w:color w:val="auto"/>
                <w:highlight w:val="none"/>
                <w:lang w:eastAsia="zh-CN"/>
              </w:rPr>
            </w:pPr>
            <w:r>
              <w:rPr>
                <w:color w:val="auto"/>
                <w:highlight w:val="none"/>
                <w:lang w:eastAsia="zh-CN"/>
              </w:rPr>
              <w:t>3</w:t>
            </w:r>
            <w:r>
              <w:rPr>
                <w:rFonts w:hint="eastAsia"/>
                <w:color w:val="auto"/>
                <w:highlight w:val="none"/>
                <w:lang w:eastAsia="zh-CN"/>
              </w:rPr>
              <w:t>）所用材料应绿色环保要求：符合国家有关建筑装饰装修材料有害物质限量标准的规定；并具有国家权威检测机构颁发的绿色环保安全使用证书，并保证工程完工后经湛江市环境检测权威机构检测各项安全指标达到《民用建筑工程室内环境污染控制规范》</w:t>
            </w:r>
            <w:r>
              <w:rPr>
                <w:color w:val="auto"/>
                <w:highlight w:val="none"/>
                <w:lang w:eastAsia="zh-CN"/>
              </w:rPr>
              <w:t>GB50325—2001</w:t>
            </w:r>
            <w:r>
              <w:rPr>
                <w:rFonts w:hint="eastAsia"/>
                <w:color w:val="auto"/>
                <w:highlight w:val="none"/>
                <w:lang w:eastAsia="zh-CN"/>
              </w:rPr>
              <w:t>等环保要求，若达不到规范各项指标要求，承包人负责返工并承担全部返工费用及相关检测费用，发包人保留按合同规定索赔的权力。</w:t>
            </w:r>
          </w:p>
          <w:p>
            <w:pPr>
              <w:rPr>
                <w:color w:val="auto"/>
                <w:highlight w:val="none"/>
                <w:lang w:eastAsia="zh-CN"/>
              </w:rPr>
            </w:pPr>
            <w:r>
              <w:rPr>
                <w:color w:val="auto"/>
                <w:highlight w:val="none"/>
                <w:lang w:eastAsia="zh-CN"/>
              </w:rPr>
              <w:t>4</w:t>
            </w:r>
            <w:r>
              <w:rPr>
                <w:rFonts w:hint="eastAsia"/>
                <w:color w:val="auto"/>
                <w:highlight w:val="none"/>
                <w:lang w:eastAsia="zh-CN"/>
              </w:rPr>
              <w:t>）所有材料进场时应对品种、规格、外观和尺寸进行验收。材料包装应完好，应有产品合格证书、中文说明书及相关性能的检测报告；进口产品应按规定进行商品检验。</w:t>
            </w:r>
          </w:p>
          <w:p>
            <w:pPr>
              <w:rPr>
                <w:color w:val="auto"/>
                <w:highlight w:val="none"/>
                <w:lang w:eastAsia="zh-CN"/>
              </w:rPr>
            </w:pPr>
            <w:r>
              <w:rPr>
                <w:color w:val="auto"/>
                <w:highlight w:val="none"/>
                <w:lang w:eastAsia="zh-CN"/>
              </w:rPr>
              <w:t>5</w:t>
            </w:r>
            <w:r>
              <w:rPr>
                <w:rFonts w:hint="eastAsia"/>
                <w:color w:val="auto"/>
                <w:highlight w:val="none"/>
                <w:lang w:eastAsia="zh-CN"/>
              </w:rPr>
              <w:t>）进场后需进行复检的材料种类及项目应符合《建筑装饰装修工程质量验收规范》（</w:t>
            </w:r>
            <w:r>
              <w:rPr>
                <w:color w:val="auto"/>
                <w:highlight w:val="none"/>
                <w:lang w:eastAsia="zh-CN"/>
              </w:rPr>
              <w:t>GB50210-2001</w:t>
            </w:r>
            <w:r>
              <w:rPr>
                <w:rFonts w:hint="eastAsia"/>
                <w:color w:val="auto"/>
                <w:highlight w:val="none"/>
                <w:lang w:eastAsia="zh-CN"/>
              </w:rPr>
              <w:t>）各章的规定。同一厂家生产的同一品种、同一类型的进场材料应至少抽取一组样品进行复检，当合同另有约定时应按合同执行。</w:t>
            </w:r>
          </w:p>
          <w:p>
            <w:pPr>
              <w:rPr>
                <w:color w:val="auto"/>
                <w:highlight w:val="none"/>
                <w:lang w:eastAsia="zh-CN"/>
              </w:rPr>
            </w:pPr>
            <w:r>
              <w:rPr>
                <w:color w:val="auto"/>
                <w:highlight w:val="none"/>
                <w:lang w:eastAsia="zh-CN"/>
              </w:rPr>
              <w:t>6</w:t>
            </w:r>
            <w:r>
              <w:rPr>
                <w:rFonts w:hint="eastAsia"/>
                <w:color w:val="auto"/>
                <w:highlight w:val="none"/>
                <w:lang w:eastAsia="zh-CN"/>
              </w:rPr>
              <w:t>）应对材料进行见证检测情况：国家规定或合同约定；对材料的质量发生争议时；</w:t>
            </w:r>
          </w:p>
          <w:p>
            <w:pPr>
              <w:rPr>
                <w:color w:val="auto"/>
                <w:highlight w:val="none"/>
                <w:lang w:eastAsia="zh-CN"/>
              </w:rPr>
            </w:pPr>
            <w:r>
              <w:rPr>
                <w:color w:val="auto"/>
                <w:highlight w:val="none"/>
                <w:lang w:eastAsia="zh-CN"/>
              </w:rPr>
              <w:t>7</w:t>
            </w:r>
            <w:r>
              <w:rPr>
                <w:rFonts w:hint="eastAsia"/>
                <w:color w:val="auto"/>
                <w:highlight w:val="none"/>
                <w:lang w:eastAsia="zh-CN"/>
              </w:rPr>
              <w:t>）承担建筑装饰装修材料检测的单位应具备相应的资质，并应建立质量管理体系；</w:t>
            </w:r>
          </w:p>
          <w:p>
            <w:pPr>
              <w:rPr>
                <w:color w:val="auto"/>
                <w:highlight w:val="none"/>
                <w:lang w:eastAsia="zh-CN"/>
              </w:rPr>
            </w:pPr>
            <w:r>
              <w:rPr>
                <w:color w:val="auto"/>
                <w:highlight w:val="none"/>
                <w:lang w:eastAsia="zh-CN"/>
              </w:rPr>
              <w:t>8</w:t>
            </w:r>
            <w:r>
              <w:rPr>
                <w:rFonts w:hint="eastAsia"/>
                <w:color w:val="auto"/>
                <w:highlight w:val="none"/>
                <w:lang w:eastAsia="zh-CN"/>
              </w:rPr>
              <w:t>）建筑装饰装修工程所使用的材料在运输、储存和施工过程中，必须采取有效措施防止损坏，变质和污染环境。</w:t>
            </w:r>
          </w:p>
          <w:p>
            <w:pPr>
              <w:rPr>
                <w:color w:val="auto"/>
                <w:highlight w:val="none"/>
                <w:lang w:eastAsia="zh-CN"/>
              </w:rPr>
            </w:pPr>
            <w:r>
              <w:rPr>
                <w:color w:val="auto"/>
                <w:highlight w:val="none"/>
                <w:lang w:eastAsia="zh-CN"/>
              </w:rPr>
              <w:t>9</w:t>
            </w:r>
            <w:r>
              <w:rPr>
                <w:rFonts w:hint="eastAsia"/>
                <w:color w:val="auto"/>
                <w:highlight w:val="none"/>
                <w:lang w:eastAsia="zh-CN"/>
              </w:rPr>
              <w:t>）建筑装饰装修工程所使用的材料应按设计要求进行防火、防腐和防虫处理；</w:t>
            </w:r>
          </w:p>
          <w:p>
            <w:pPr>
              <w:rPr>
                <w:color w:val="auto"/>
                <w:highlight w:val="none"/>
                <w:lang w:eastAsia="zh-CN"/>
              </w:rPr>
            </w:pPr>
            <w:r>
              <w:rPr>
                <w:color w:val="auto"/>
                <w:highlight w:val="none"/>
                <w:lang w:eastAsia="zh-CN"/>
              </w:rPr>
              <w:t>10</w:t>
            </w:r>
            <w:r>
              <w:rPr>
                <w:rFonts w:hint="eastAsia"/>
                <w:color w:val="auto"/>
                <w:highlight w:val="none"/>
                <w:lang w:eastAsia="zh-CN"/>
              </w:rPr>
              <w:t>）现场配制的材料如胶粘剂等，应按设计要求或产品说明书配制。</w:t>
            </w:r>
          </w:p>
          <w:p>
            <w:pPr>
              <w:rPr>
                <w:color w:val="auto"/>
                <w:highlight w:val="none"/>
                <w:lang w:eastAsia="zh-CN"/>
              </w:rPr>
            </w:pPr>
            <w:r>
              <w:rPr>
                <w:color w:val="auto"/>
                <w:highlight w:val="none"/>
                <w:lang w:eastAsia="zh-CN"/>
              </w:rPr>
              <w:t>2</w:t>
            </w:r>
            <w:r>
              <w:rPr>
                <w:rFonts w:hint="eastAsia"/>
                <w:color w:val="auto"/>
                <w:highlight w:val="none"/>
                <w:lang w:eastAsia="zh-CN"/>
              </w:rPr>
              <w:t>、承包人施工前</w:t>
            </w:r>
            <w:r>
              <w:rPr>
                <w:color w:val="auto"/>
                <w:highlight w:val="none"/>
                <w:lang w:eastAsia="zh-CN"/>
              </w:rPr>
              <w:t>2</w:t>
            </w:r>
            <w:r>
              <w:rPr>
                <w:rFonts w:hint="eastAsia"/>
                <w:color w:val="auto"/>
                <w:highlight w:val="none"/>
                <w:lang w:eastAsia="zh-CN"/>
              </w:rPr>
              <w:t>个月提供主要材料的品牌和厂家报监理、设计、甲方和使用单位（必要时）审批、考察、备案。凡未经审批合格或经检测不合格的材料，一律不得进场使用。否则，凡由此造成纠纷，影响工程质量、工期的由承包人承担全部经济责任。</w:t>
            </w:r>
          </w:p>
        </w:tc>
        <w:tc>
          <w:tcPr>
            <w:tcW w:w="1276" w:type="dxa"/>
            <w:tcBorders>
              <w:left w:val="single" w:color="000000" w:sz="6" w:space="0"/>
            </w:tcBorders>
            <w:vAlign w:val="center"/>
          </w:tcPr>
          <w:p>
            <w:pPr>
              <w:rPr>
                <w:color w:val="auto"/>
                <w:highlight w:val="none"/>
                <w:lang w:eastAsia="zh-CN"/>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708" w:type="dxa"/>
            <w:tcBorders>
              <w:right w:val="single" w:color="000000" w:sz="6" w:space="0"/>
            </w:tcBorders>
            <w:vAlign w:val="center"/>
          </w:tcPr>
          <w:p>
            <w:pPr>
              <w:rPr>
                <w:color w:val="auto"/>
                <w:highlight w:val="none"/>
                <w:lang w:eastAsia="zh-CN"/>
              </w:rPr>
            </w:pPr>
          </w:p>
        </w:tc>
        <w:tc>
          <w:tcPr>
            <w:tcW w:w="1276" w:type="dxa"/>
            <w:tcBorders>
              <w:left w:val="single" w:color="000000" w:sz="6" w:space="0"/>
              <w:right w:val="single" w:color="000000" w:sz="6" w:space="0"/>
            </w:tcBorders>
            <w:vAlign w:val="center"/>
          </w:tcPr>
          <w:p>
            <w:pPr>
              <w:rPr>
                <w:color w:val="auto"/>
                <w:highlight w:val="none"/>
              </w:rPr>
            </w:pPr>
            <w:r>
              <w:rPr>
                <w:rFonts w:hint="eastAsia"/>
                <w:color w:val="auto"/>
                <w:highlight w:val="none"/>
              </w:rPr>
              <w:t>施工技术要求</w:t>
            </w:r>
          </w:p>
        </w:tc>
        <w:tc>
          <w:tcPr>
            <w:tcW w:w="6237" w:type="dxa"/>
            <w:tcBorders>
              <w:left w:val="single" w:color="000000" w:sz="6" w:space="0"/>
              <w:right w:val="single" w:color="000000" w:sz="6" w:space="0"/>
            </w:tcBorders>
            <w:vAlign w:val="center"/>
          </w:tcPr>
          <w:p>
            <w:pPr>
              <w:rPr>
                <w:color w:val="auto"/>
                <w:highlight w:val="none"/>
                <w:lang w:eastAsia="zh-CN"/>
              </w:rPr>
            </w:pPr>
            <w:r>
              <w:rPr>
                <w:rFonts w:hint="eastAsia"/>
                <w:color w:val="auto"/>
                <w:highlight w:val="none"/>
                <w:lang w:eastAsia="zh-CN"/>
              </w:rPr>
              <w:t>投标人应提供并满足工程实施的详细方案及施工工序。</w:t>
            </w:r>
          </w:p>
          <w:p>
            <w:pPr>
              <w:rPr>
                <w:color w:val="auto"/>
                <w:highlight w:val="none"/>
                <w:lang w:eastAsia="zh-CN"/>
              </w:rPr>
            </w:pPr>
            <w:r>
              <w:rPr>
                <w:rFonts w:hint="eastAsia"/>
                <w:color w:val="auto"/>
                <w:highlight w:val="none"/>
                <w:lang w:eastAsia="zh-CN"/>
              </w:rPr>
              <w:t>（一）装饰装修工程</w:t>
            </w:r>
          </w:p>
          <w:p>
            <w:pPr>
              <w:spacing w:line="360" w:lineRule="auto"/>
              <w:rPr>
                <w:color w:val="auto"/>
                <w:szCs w:val="21"/>
                <w:highlight w:val="none"/>
                <w:lang w:eastAsia="zh-CN"/>
              </w:rPr>
            </w:pPr>
            <w:r>
              <w:rPr>
                <w:rFonts w:hint="eastAsia"/>
                <w:color w:val="auto"/>
                <w:szCs w:val="21"/>
                <w:highlight w:val="none"/>
                <w:lang w:eastAsia="zh-CN"/>
              </w:rPr>
              <w:t>电解钢板墙体模块化装配式</w:t>
            </w:r>
          </w:p>
          <w:p>
            <w:pPr>
              <w:spacing w:line="360" w:lineRule="auto"/>
              <w:rPr>
                <w:color w:val="auto"/>
                <w:szCs w:val="21"/>
                <w:highlight w:val="none"/>
                <w:lang w:eastAsia="zh-CN"/>
              </w:rPr>
            </w:pPr>
            <w:r>
              <w:rPr>
                <w:rFonts w:hint="eastAsia"/>
                <w:color w:val="auto"/>
                <w:szCs w:val="21"/>
                <w:highlight w:val="none"/>
                <w:lang w:eastAsia="zh-CN"/>
              </w:rPr>
              <w:t>1.墙板深化设计方案必须完全反映使用单位在墙体上的手术装备布置要求，在电解钢板加工前必须得到使用单位和建设单位的书面认可。</w:t>
            </w:r>
          </w:p>
          <w:p>
            <w:pPr>
              <w:spacing w:line="360" w:lineRule="auto"/>
              <w:rPr>
                <w:color w:val="auto"/>
                <w:szCs w:val="21"/>
                <w:highlight w:val="none"/>
                <w:lang w:eastAsia="zh-CN"/>
              </w:rPr>
            </w:pPr>
            <w:r>
              <w:rPr>
                <w:rFonts w:hint="eastAsia"/>
                <w:color w:val="auto"/>
                <w:szCs w:val="21"/>
                <w:highlight w:val="none"/>
                <w:lang w:eastAsia="zh-CN"/>
              </w:rPr>
              <w:t>2.必须采用模块化设计及工业化生产，现场不得焊接、喷涂、切割。</w:t>
            </w:r>
          </w:p>
          <w:p>
            <w:pPr>
              <w:spacing w:line="360" w:lineRule="auto"/>
              <w:rPr>
                <w:color w:val="auto"/>
                <w:szCs w:val="21"/>
                <w:highlight w:val="none"/>
                <w:lang w:eastAsia="zh-CN"/>
              </w:rPr>
            </w:pPr>
            <w:r>
              <w:rPr>
                <w:rFonts w:hint="eastAsia"/>
                <w:color w:val="auto"/>
                <w:szCs w:val="21"/>
                <w:highlight w:val="none"/>
                <w:lang w:eastAsia="zh-CN"/>
              </w:rPr>
              <w:t>3.手术室墙面采用方钢龙骨+模块化板材安装工艺。</w:t>
            </w:r>
          </w:p>
          <w:p>
            <w:pPr>
              <w:spacing w:line="360" w:lineRule="auto"/>
              <w:rPr>
                <w:color w:val="auto"/>
                <w:szCs w:val="21"/>
                <w:highlight w:val="none"/>
                <w:lang w:eastAsia="zh-CN"/>
              </w:rPr>
            </w:pPr>
            <w:r>
              <w:rPr>
                <w:rFonts w:hint="eastAsia"/>
                <w:color w:val="auto"/>
                <w:szCs w:val="21"/>
                <w:highlight w:val="none"/>
                <w:lang w:eastAsia="zh-CN"/>
              </w:rPr>
              <w:t>4.模块化电解钢板墙板由电解钢板板材+</w:t>
            </w:r>
            <w:r>
              <w:rPr>
                <w:color w:val="auto"/>
                <w:szCs w:val="21"/>
                <w:highlight w:val="none"/>
                <w:lang w:eastAsia="zh-CN"/>
              </w:rPr>
              <w:t>石膏板</w:t>
            </w:r>
            <w:r>
              <w:rPr>
                <w:rFonts w:hint="eastAsia"/>
                <w:color w:val="auto"/>
                <w:szCs w:val="21"/>
                <w:highlight w:val="none"/>
                <w:lang w:eastAsia="zh-CN"/>
              </w:rPr>
              <w:t>+安装受力单元组成，单块电解钢板墙板在垂直方向上不能有接缝（组成每块独立电解钢板板材和硅酸钙板不能有水平缝隙或者裂缝）。</w:t>
            </w:r>
          </w:p>
          <w:p>
            <w:pPr>
              <w:spacing w:line="360" w:lineRule="auto"/>
              <w:rPr>
                <w:color w:val="auto"/>
                <w:szCs w:val="21"/>
                <w:highlight w:val="none"/>
                <w:lang w:eastAsia="zh-CN"/>
              </w:rPr>
            </w:pPr>
            <w:r>
              <w:rPr>
                <w:rFonts w:hint="eastAsia"/>
                <w:color w:val="auto"/>
                <w:szCs w:val="21"/>
                <w:highlight w:val="none"/>
                <w:lang w:eastAsia="zh-CN"/>
              </w:rPr>
              <w:t>5.墙板必须在工厂压制成型，现场安装，不得在现场压制，所采用的胶水必须是无污染、无刺激气味的环保胶水；成型后及运输至现场安装的电解钢板和硅酸盖板必须无裂缝、无气泡。</w:t>
            </w:r>
          </w:p>
          <w:p>
            <w:pPr>
              <w:spacing w:line="360" w:lineRule="auto"/>
              <w:rPr>
                <w:color w:val="auto"/>
                <w:szCs w:val="21"/>
                <w:highlight w:val="none"/>
                <w:lang w:eastAsia="zh-CN"/>
              </w:rPr>
            </w:pPr>
            <w:r>
              <w:rPr>
                <w:rFonts w:hint="eastAsia"/>
                <w:color w:val="auto"/>
                <w:szCs w:val="21"/>
                <w:highlight w:val="none"/>
                <w:lang w:eastAsia="zh-CN"/>
              </w:rPr>
              <w:t>6.手术室电解钢板墙面与手术室顶面及其斜面必须有成熟的节点工艺处理措施，保证稳固、易清洁。</w:t>
            </w:r>
          </w:p>
          <w:p>
            <w:pPr>
              <w:spacing w:line="360" w:lineRule="auto"/>
              <w:rPr>
                <w:color w:val="auto"/>
                <w:szCs w:val="21"/>
                <w:highlight w:val="none"/>
                <w:lang w:eastAsia="zh-CN"/>
              </w:rPr>
            </w:pPr>
            <w:r>
              <w:rPr>
                <w:rFonts w:hint="eastAsia"/>
                <w:color w:val="auto"/>
                <w:szCs w:val="21"/>
                <w:highlight w:val="none"/>
                <w:lang w:eastAsia="zh-CN"/>
              </w:rPr>
              <w:t>7.手术室电解钢板板缝采用医用级条密封，保证手术室内对外压差梯度。胶条安装完成后与墙面在同一平面并保持平滑。</w:t>
            </w:r>
          </w:p>
          <w:p>
            <w:pPr>
              <w:spacing w:line="360" w:lineRule="auto"/>
              <w:rPr>
                <w:color w:val="auto"/>
                <w:szCs w:val="21"/>
                <w:highlight w:val="none"/>
                <w:lang w:eastAsia="zh-CN"/>
              </w:rPr>
            </w:pPr>
            <w:r>
              <w:rPr>
                <w:rFonts w:hint="eastAsia"/>
                <w:color w:val="auto"/>
                <w:szCs w:val="21"/>
                <w:highlight w:val="none"/>
                <w:lang w:eastAsia="zh-CN"/>
              </w:rPr>
              <w:t>8.墙体受力方钢龙骨尺寸不得小于</w:t>
            </w:r>
            <w:r>
              <w:rPr>
                <w:color w:val="auto"/>
                <w:szCs w:val="21"/>
                <w:highlight w:val="none"/>
                <w:lang w:eastAsia="zh-CN"/>
              </w:rPr>
              <w:t>5</w:t>
            </w:r>
            <w:r>
              <w:rPr>
                <w:rFonts w:hint="eastAsia"/>
                <w:color w:val="auto"/>
                <w:szCs w:val="21"/>
                <w:highlight w:val="none"/>
                <w:lang w:eastAsia="zh-CN"/>
              </w:rPr>
              <w:t>0mm×30mm，壁厚不得小于</w:t>
            </w:r>
            <w:r>
              <w:rPr>
                <w:color w:val="auto"/>
                <w:szCs w:val="21"/>
                <w:highlight w:val="none"/>
                <w:lang w:eastAsia="zh-CN"/>
              </w:rPr>
              <w:t>2.0</w:t>
            </w:r>
            <w:r>
              <w:rPr>
                <w:rFonts w:hint="eastAsia"/>
                <w:color w:val="auto"/>
                <w:szCs w:val="21"/>
                <w:highlight w:val="none"/>
                <w:lang w:eastAsia="zh-CN"/>
              </w:rPr>
              <w:t>mm，确保整个骨架结构能够承受在墙板上设计安装的所有设备重量而不变形。</w:t>
            </w:r>
          </w:p>
          <w:p>
            <w:pPr>
              <w:spacing w:line="360" w:lineRule="auto"/>
              <w:rPr>
                <w:color w:val="auto"/>
                <w:szCs w:val="21"/>
                <w:highlight w:val="none"/>
                <w:lang w:eastAsia="zh-CN"/>
              </w:rPr>
            </w:pPr>
            <w:r>
              <w:rPr>
                <w:rFonts w:hint="eastAsia"/>
                <w:color w:val="auto"/>
                <w:szCs w:val="21"/>
                <w:highlight w:val="none"/>
                <w:lang w:eastAsia="zh-CN"/>
              </w:rPr>
              <w:t>9.墙面可进行拆卸更换和满足搬迁或升级功能等要求，实现快速拆装。</w:t>
            </w:r>
          </w:p>
          <w:p>
            <w:pPr>
              <w:rPr>
                <w:color w:val="auto"/>
                <w:highlight w:val="none"/>
                <w:lang w:eastAsia="zh-CN"/>
              </w:rPr>
            </w:pPr>
          </w:p>
          <w:p>
            <w:pPr>
              <w:rPr>
                <w:color w:val="auto"/>
                <w:highlight w:val="none"/>
                <w:lang w:eastAsia="zh-CN"/>
              </w:rPr>
            </w:pPr>
            <w:r>
              <w:rPr>
                <w:color w:val="auto"/>
                <w:highlight w:val="none"/>
                <w:lang w:eastAsia="zh-CN"/>
              </w:rPr>
              <w:t>1</w:t>
            </w:r>
            <w:r>
              <w:rPr>
                <w:rFonts w:hint="eastAsia"/>
                <w:color w:val="auto"/>
                <w:highlight w:val="none"/>
                <w:lang w:eastAsia="zh-CN"/>
              </w:rPr>
              <w:t>、墙体工程</w:t>
            </w:r>
          </w:p>
          <w:p>
            <w:pPr>
              <w:rPr>
                <w:color w:val="auto"/>
                <w:highlight w:val="none"/>
                <w:lang w:eastAsia="zh-CN"/>
              </w:rPr>
            </w:pPr>
            <w:r>
              <w:rPr>
                <w:color w:val="auto"/>
                <w:highlight w:val="none"/>
                <w:lang w:eastAsia="zh-CN"/>
              </w:rPr>
              <w:t>1.1</w:t>
            </w:r>
            <w:r>
              <w:rPr>
                <w:rFonts w:hint="eastAsia"/>
                <w:color w:val="auto"/>
                <w:highlight w:val="none"/>
                <w:lang w:eastAsia="zh-CN"/>
              </w:rPr>
              <w:t>轻钢龙骨墙体</w:t>
            </w:r>
          </w:p>
          <w:p>
            <w:pPr>
              <w:rPr>
                <w:color w:val="auto"/>
                <w:highlight w:val="none"/>
                <w:lang w:eastAsia="zh-CN"/>
              </w:rPr>
            </w:pPr>
            <w:r>
              <w:rPr>
                <w:color w:val="auto"/>
                <w:highlight w:val="none"/>
                <w:lang w:eastAsia="zh-CN" w:bidi="ar"/>
              </w:rPr>
              <w:t>1</w:t>
            </w:r>
            <w:r>
              <w:rPr>
                <w:rFonts w:hint="eastAsia"/>
                <w:color w:val="auto"/>
                <w:highlight w:val="none"/>
                <w:lang w:eastAsia="zh-CN" w:bidi="ar"/>
              </w:rPr>
              <w:t>）轻钢龙骨应符合发包方甲限品牌要求，墙面基层板材禁止使用玻镁板。</w:t>
            </w:r>
          </w:p>
          <w:p>
            <w:pPr>
              <w:rPr>
                <w:color w:val="auto"/>
                <w:highlight w:val="none"/>
                <w:lang w:eastAsia="zh-CN"/>
              </w:rPr>
            </w:pPr>
            <w:r>
              <w:rPr>
                <w:color w:val="auto"/>
                <w:highlight w:val="none"/>
                <w:lang w:eastAsia="zh-CN" w:bidi="ar"/>
              </w:rPr>
              <w:t>2</w:t>
            </w:r>
            <w:r>
              <w:rPr>
                <w:rFonts w:hint="eastAsia"/>
                <w:color w:val="auto"/>
                <w:highlight w:val="none"/>
                <w:lang w:eastAsia="zh-CN" w:bidi="ar"/>
              </w:rPr>
              <w:t>）轻钢龙骨主件：沿顶龙骨、沿地龙骨、加强龙骨、竖向龙骨、横向龙骨应符合规范要求。</w:t>
            </w:r>
          </w:p>
          <w:p>
            <w:pPr>
              <w:rPr>
                <w:color w:val="auto"/>
                <w:highlight w:val="none"/>
                <w:lang w:eastAsia="zh-CN"/>
              </w:rPr>
            </w:pPr>
            <w:r>
              <w:rPr>
                <w:color w:val="auto"/>
                <w:highlight w:val="none"/>
                <w:lang w:eastAsia="zh-CN" w:bidi="ar"/>
              </w:rPr>
              <w:t>3</w:t>
            </w:r>
            <w:r>
              <w:rPr>
                <w:rFonts w:hint="eastAsia"/>
                <w:color w:val="auto"/>
                <w:highlight w:val="none"/>
                <w:lang w:eastAsia="zh-CN" w:bidi="ar"/>
              </w:rPr>
              <w:t>）轻钢骨架配件：支撑卡、卡托、角托、连接件、固定件、附墙龙骨、压条等附件应符合规范要求。</w:t>
            </w:r>
          </w:p>
          <w:p>
            <w:pPr>
              <w:rPr>
                <w:color w:val="auto"/>
                <w:highlight w:val="none"/>
                <w:lang w:eastAsia="zh-CN"/>
              </w:rPr>
            </w:pPr>
            <w:r>
              <w:rPr>
                <w:color w:val="auto"/>
                <w:highlight w:val="none"/>
                <w:lang w:eastAsia="zh-CN" w:bidi="ar"/>
              </w:rPr>
              <w:t>4</w:t>
            </w:r>
            <w:r>
              <w:rPr>
                <w:rFonts w:hint="eastAsia"/>
                <w:color w:val="auto"/>
                <w:highlight w:val="none"/>
                <w:lang w:eastAsia="zh-CN" w:bidi="ar"/>
              </w:rPr>
              <w:t>）紧固材料：射钉、膨胀螺栓、镀锌自攻螺丝、木螺丝和粘结嵌缝料应符合设计要求。</w:t>
            </w:r>
          </w:p>
          <w:p>
            <w:pPr>
              <w:rPr>
                <w:color w:val="auto"/>
                <w:highlight w:val="none"/>
                <w:lang w:eastAsia="zh-CN"/>
              </w:rPr>
            </w:pPr>
            <w:r>
              <w:rPr>
                <w:color w:val="auto"/>
                <w:highlight w:val="none"/>
                <w:lang w:eastAsia="zh-CN" w:bidi="ar"/>
              </w:rPr>
              <w:t>5</w:t>
            </w:r>
            <w:r>
              <w:rPr>
                <w:rFonts w:hint="eastAsia"/>
                <w:color w:val="auto"/>
                <w:highlight w:val="none"/>
                <w:lang w:eastAsia="zh-CN" w:bidi="ar"/>
              </w:rPr>
              <w:t>）轻钢龙骨双面镀锌量须达到</w:t>
            </w:r>
            <w:r>
              <w:rPr>
                <w:color w:val="auto"/>
                <w:highlight w:val="none"/>
                <w:lang w:eastAsia="zh-CN" w:bidi="ar"/>
              </w:rPr>
              <w:t xml:space="preserve"> 120g/ m</w:t>
            </w:r>
            <w:r>
              <w:rPr>
                <w:rFonts w:hint="eastAsia"/>
                <w:color w:val="auto"/>
                <w:highlight w:val="none"/>
                <w:lang w:eastAsia="zh-CN" w:bidi="ar"/>
              </w:rPr>
              <w:t>²。</w:t>
            </w:r>
          </w:p>
          <w:p>
            <w:pPr>
              <w:rPr>
                <w:color w:val="auto"/>
                <w:highlight w:val="none"/>
                <w:lang w:eastAsia="zh-CN"/>
              </w:rPr>
            </w:pPr>
            <w:r>
              <w:rPr>
                <w:color w:val="auto"/>
                <w:highlight w:val="none"/>
                <w:lang w:eastAsia="zh-CN" w:bidi="ar"/>
              </w:rPr>
              <w:t>6</w:t>
            </w:r>
            <w:r>
              <w:rPr>
                <w:rFonts w:hint="eastAsia"/>
                <w:color w:val="auto"/>
                <w:highlight w:val="none"/>
                <w:lang w:eastAsia="zh-CN" w:bidi="ar"/>
              </w:rPr>
              <w:t>）超过</w:t>
            </w:r>
            <w:r>
              <w:rPr>
                <w:color w:val="auto"/>
                <w:highlight w:val="none"/>
                <w:lang w:eastAsia="zh-CN" w:bidi="ar"/>
              </w:rPr>
              <w:t xml:space="preserve"> 3 </w:t>
            </w:r>
            <w:r>
              <w:rPr>
                <w:rFonts w:hint="eastAsia"/>
                <w:color w:val="auto"/>
                <w:highlight w:val="none"/>
                <w:lang w:eastAsia="zh-CN" w:bidi="ar"/>
              </w:rPr>
              <w:t>米须每隔</w:t>
            </w:r>
            <w:r>
              <w:rPr>
                <w:color w:val="auto"/>
                <w:highlight w:val="none"/>
                <w:lang w:eastAsia="zh-CN" w:bidi="ar"/>
              </w:rPr>
              <w:t xml:space="preserve"> 1.2 </w:t>
            </w:r>
            <w:r>
              <w:rPr>
                <w:rFonts w:hint="eastAsia"/>
                <w:color w:val="auto"/>
                <w:highlight w:val="none"/>
                <w:lang w:eastAsia="zh-CN" w:bidi="ar"/>
              </w:rPr>
              <w:t>米增加一条穿心龙骨，穿心龙骨须与隔墙龙骨固定。</w:t>
            </w:r>
          </w:p>
          <w:p>
            <w:pPr>
              <w:rPr>
                <w:color w:val="auto"/>
                <w:highlight w:val="none"/>
                <w:lang w:eastAsia="zh-CN"/>
              </w:rPr>
            </w:pPr>
            <w:r>
              <w:rPr>
                <w:color w:val="auto"/>
                <w:highlight w:val="none"/>
                <w:lang w:eastAsia="zh-CN" w:bidi="ar"/>
              </w:rPr>
              <w:t>7</w:t>
            </w:r>
            <w:r>
              <w:rPr>
                <w:rFonts w:hint="eastAsia"/>
                <w:color w:val="auto"/>
                <w:highlight w:val="none"/>
                <w:lang w:eastAsia="zh-CN" w:bidi="ar"/>
              </w:rPr>
              <w:t>）表面有产品标记，顺序为：产品名称，板材棱边形状的代号，板宽，板厚，</w:t>
            </w:r>
            <w:r>
              <w:rPr>
                <w:color w:val="auto"/>
                <w:highlight w:val="none"/>
                <w:lang w:eastAsia="zh-CN" w:bidi="ar"/>
              </w:rPr>
              <w:t xml:space="preserve"> </w:t>
            </w:r>
            <w:r>
              <w:rPr>
                <w:rFonts w:hint="eastAsia"/>
                <w:color w:val="auto"/>
                <w:highlight w:val="none"/>
                <w:lang w:eastAsia="zh-CN" w:bidi="ar"/>
              </w:rPr>
              <w:t>及标准号。</w:t>
            </w:r>
          </w:p>
          <w:p>
            <w:pPr>
              <w:rPr>
                <w:color w:val="auto"/>
                <w:highlight w:val="none"/>
                <w:lang w:eastAsia="zh-CN"/>
              </w:rPr>
            </w:pPr>
            <w:r>
              <w:rPr>
                <w:color w:val="auto"/>
                <w:highlight w:val="none"/>
                <w:lang w:eastAsia="zh-CN" w:bidi="ar"/>
              </w:rPr>
              <w:t>8</w:t>
            </w:r>
            <w:r>
              <w:rPr>
                <w:rFonts w:hint="eastAsia"/>
                <w:color w:val="auto"/>
                <w:highlight w:val="none"/>
                <w:lang w:eastAsia="zh-CN" w:bidi="ar"/>
              </w:rPr>
              <w:t>）外观质量：普通纸面石膏板板面应平整，无波纹、沟槽、污痕和划伤等缺陷；</w:t>
            </w:r>
            <w:r>
              <w:rPr>
                <w:color w:val="auto"/>
                <w:highlight w:val="none"/>
                <w:lang w:eastAsia="zh-CN" w:bidi="ar"/>
              </w:rPr>
              <w:t xml:space="preserve"> </w:t>
            </w:r>
            <w:r>
              <w:rPr>
                <w:rFonts w:hint="eastAsia"/>
                <w:color w:val="auto"/>
                <w:highlight w:val="none"/>
                <w:lang w:eastAsia="zh-CN" w:bidi="ar"/>
              </w:rPr>
              <w:t>尺寸允许偏差、含水率、单位面积重量应符合优等品的质量要求。</w:t>
            </w:r>
          </w:p>
          <w:p>
            <w:pPr>
              <w:rPr>
                <w:color w:val="auto"/>
                <w:highlight w:val="none"/>
                <w:lang w:eastAsia="zh-CN"/>
              </w:rPr>
            </w:pPr>
            <w:r>
              <w:rPr>
                <w:color w:val="auto"/>
                <w:highlight w:val="none"/>
                <w:lang w:eastAsia="zh-CN" w:bidi="ar"/>
              </w:rPr>
              <w:t>9</w:t>
            </w:r>
            <w:r>
              <w:rPr>
                <w:rFonts w:hint="eastAsia"/>
                <w:color w:val="auto"/>
                <w:highlight w:val="none"/>
                <w:lang w:eastAsia="zh-CN" w:bidi="ar"/>
              </w:rPr>
              <w:t>）产品应有质量合格证。在每张板材的背面应标明产品的名称、制造厂名、生产日期和商标。</w:t>
            </w:r>
          </w:p>
          <w:p>
            <w:pPr>
              <w:rPr>
                <w:color w:val="auto"/>
                <w:highlight w:val="none"/>
                <w:lang w:eastAsia="zh-CN"/>
              </w:rPr>
            </w:pPr>
            <w:r>
              <w:rPr>
                <w:color w:val="auto"/>
                <w:highlight w:val="none"/>
                <w:lang w:eastAsia="zh-CN" w:bidi="ar"/>
              </w:rPr>
              <w:t>10</w:t>
            </w:r>
            <w:r>
              <w:rPr>
                <w:rFonts w:hint="eastAsia"/>
                <w:color w:val="auto"/>
                <w:highlight w:val="none"/>
                <w:lang w:eastAsia="zh-CN" w:bidi="ar"/>
              </w:rPr>
              <w:t>）隔音棉：同一套房内隔墙防火隔音棉，容重不低于</w:t>
            </w:r>
            <w:r>
              <w:rPr>
                <w:color w:val="auto"/>
                <w:highlight w:val="none"/>
                <w:lang w:eastAsia="zh-CN" w:bidi="ar"/>
              </w:rPr>
              <w:t xml:space="preserve"> 48kg/m</w:t>
            </w:r>
            <w:r>
              <w:rPr>
                <w:rFonts w:hint="eastAsia"/>
                <w:color w:val="auto"/>
                <w:highlight w:val="none"/>
                <w:lang w:eastAsia="zh-CN" w:bidi="ar"/>
              </w:rPr>
              <w:t>³；分户墙防火隔音棉容重不低于</w:t>
            </w:r>
            <w:r>
              <w:rPr>
                <w:color w:val="auto"/>
                <w:highlight w:val="none"/>
                <w:lang w:eastAsia="zh-CN" w:bidi="ar"/>
              </w:rPr>
              <w:t xml:space="preserve"> 80 kg/m</w:t>
            </w:r>
            <w:r>
              <w:rPr>
                <w:rFonts w:hint="eastAsia"/>
                <w:color w:val="auto"/>
                <w:highlight w:val="none"/>
                <w:lang w:eastAsia="zh-CN" w:bidi="ar"/>
              </w:rPr>
              <w:t>³。</w:t>
            </w:r>
          </w:p>
          <w:p>
            <w:pPr>
              <w:rPr>
                <w:color w:val="auto"/>
                <w:highlight w:val="none"/>
                <w:lang w:eastAsia="zh-CN"/>
              </w:rPr>
            </w:pPr>
            <w:r>
              <w:rPr>
                <w:color w:val="auto"/>
                <w:highlight w:val="none"/>
                <w:lang w:eastAsia="zh-CN" w:bidi="ar"/>
              </w:rPr>
              <w:t>11</w:t>
            </w:r>
            <w:r>
              <w:rPr>
                <w:rFonts w:hint="eastAsia"/>
                <w:color w:val="auto"/>
                <w:highlight w:val="none"/>
                <w:lang w:eastAsia="zh-CN" w:bidi="ar"/>
              </w:rPr>
              <w:t>）机电底盒垫块：轻质隔墙内部预埋机电底盒垫块材料须符合防火等级要求，</w:t>
            </w:r>
            <w:r>
              <w:rPr>
                <w:color w:val="auto"/>
                <w:highlight w:val="none"/>
                <w:lang w:eastAsia="zh-CN" w:bidi="ar"/>
              </w:rPr>
              <w:t xml:space="preserve"> </w:t>
            </w:r>
            <w:r>
              <w:rPr>
                <w:rFonts w:hint="eastAsia"/>
                <w:color w:val="auto"/>
                <w:highlight w:val="none"/>
                <w:lang w:eastAsia="zh-CN" w:bidi="ar"/>
              </w:rPr>
              <w:t>但不得低于</w:t>
            </w:r>
            <w:r>
              <w:rPr>
                <w:color w:val="auto"/>
                <w:highlight w:val="none"/>
                <w:lang w:eastAsia="zh-CN" w:bidi="ar"/>
              </w:rPr>
              <w:t xml:space="preserve"> B1 </w:t>
            </w:r>
            <w:r>
              <w:rPr>
                <w:rFonts w:hint="eastAsia"/>
                <w:color w:val="auto"/>
                <w:highlight w:val="none"/>
                <w:lang w:eastAsia="zh-CN" w:bidi="ar"/>
              </w:rPr>
              <w:t>级。</w:t>
            </w:r>
          </w:p>
          <w:p>
            <w:pPr>
              <w:rPr>
                <w:color w:val="auto"/>
                <w:highlight w:val="none"/>
                <w:lang w:eastAsia="zh-CN"/>
              </w:rPr>
            </w:pPr>
            <w:r>
              <w:rPr>
                <w:color w:val="auto"/>
                <w:highlight w:val="none"/>
                <w:lang w:eastAsia="zh-CN" w:bidi="ar"/>
              </w:rPr>
              <w:t>12</w:t>
            </w:r>
            <w:r>
              <w:rPr>
                <w:rFonts w:hint="eastAsia"/>
                <w:color w:val="auto"/>
                <w:highlight w:val="none"/>
                <w:lang w:eastAsia="zh-CN" w:bidi="ar"/>
              </w:rPr>
              <w:t>）地下室及海边环境禁止使用普通石膏板或防潮石膏板。</w:t>
            </w:r>
          </w:p>
          <w:p>
            <w:pPr>
              <w:rPr>
                <w:color w:val="auto"/>
                <w:highlight w:val="none"/>
                <w:lang w:eastAsia="zh-CN"/>
              </w:rPr>
            </w:pPr>
            <w:r>
              <w:rPr>
                <w:color w:val="auto"/>
                <w:highlight w:val="none"/>
                <w:lang w:eastAsia="zh-CN" w:bidi="ar"/>
              </w:rPr>
              <w:t>13</w:t>
            </w:r>
            <w:r>
              <w:rPr>
                <w:rFonts w:hint="eastAsia"/>
                <w:color w:val="auto"/>
                <w:highlight w:val="none"/>
                <w:lang w:eastAsia="zh-CN" w:bidi="ar"/>
              </w:rPr>
              <w:t>）隔墙需根据国家规范要求增加横向卡档龙骨，采用抽芯铆钉固定，不得使用龙骨钳压式固定。</w:t>
            </w:r>
          </w:p>
          <w:p>
            <w:pPr>
              <w:rPr>
                <w:color w:val="auto"/>
                <w:highlight w:val="none"/>
                <w:lang w:eastAsia="zh-CN"/>
              </w:rPr>
            </w:pPr>
            <w:r>
              <w:rPr>
                <w:color w:val="auto"/>
                <w:highlight w:val="none"/>
                <w:lang w:eastAsia="zh-CN" w:bidi="ar"/>
              </w:rPr>
              <w:t>14</w:t>
            </w:r>
            <w:r>
              <w:rPr>
                <w:rFonts w:hint="eastAsia"/>
                <w:color w:val="auto"/>
                <w:highlight w:val="none"/>
                <w:lang w:eastAsia="zh-CN" w:bidi="ar"/>
              </w:rPr>
              <w:t>）龙骨安装质量、门洞口框是否符合设计及构造要求，龙骨间距是否符合石膏板宽度的模数，龙骨周边应留</w:t>
            </w:r>
            <w:r>
              <w:rPr>
                <w:color w:val="auto"/>
                <w:highlight w:val="none"/>
                <w:lang w:eastAsia="zh-CN" w:bidi="ar"/>
              </w:rPr>
              <w:t xml:space="preserve"> 3mm </w:t>
            </w:r>
            <w:r>
              <w:rPr>
                <w:rFonts w:hint="eastAsia"/>
                <w:color w:val="auto"/>
                <w:highlight w:val="none"/>
                <w:lang w:eastAsia="zh-CN" w:bidi="ar"/>
              </w:rPr>
              <w:t>伸缩缝，以减少墙体变形和裂缝现象。</w:t>
            </w:r>
          </w:p>
          <w:p>
            <w:pPr>
              <w:rPr>
                <w:color w:val="auto"/>
                <w:highlight w:val="none"/>
                <w:lang w:eastAsia="zh-CN"/>
              </w:rPr>
            </w:pPr>
            <w:r>
              <w:rPr>
                <w:color w:val="auto"/>
                <w:highlight w:val="none"/>
                <w:lang w:eastAsia="zh-CN" w:bidi="ar"/>
              </w:rPr>
              <w:t>15</w:t>
            </w:r>
            <w:r>
              <w:rPr>
                <w:rFonts w:hint="eastAsia"/>
                <w:color w:val="auto"/>
                <w:highlight w:val="none"/>
                <w:lang w:eastAsia="zh-CN" w:bidi="ar"/>
              </w:rPr>
              <w:t>）石膏板应无脱层、翘曲、折裂、缺棱掉角等缺陷，安装必须牢固。安装墙体另一侧石膏板时，其接缝应与第一侧石膏板错开。</w:t>
            </w:r>
          </w:p>
          <w:p>
            <w:pPr>
              <w:rPr>
                <w:color w:val="auto"/>
                <w:highlight w:val="none"/>
                <w:lang w:eastAsia="zh-CN"/>
              </w:rPr>
            </w:pPr>
            <w:r>
              <w:rPr>
                <w:color w:val="auto"/>
                <w:highlight w:val="none"/>
                <w:lang w:eastAsia="zh-CN" w:bidi="ar"/>
              </w:rPr>
              <w:t>16</w:t>
            </w:r>
            <w:r>
              <w:rPr>
                <w:rFonts w:hint="eastAsia"/>
                <w:color w:val="auto"/>
                <w:highlight w:val="none"/>
                <w:lang w:eastAsia="zh-CN" w:bidi="ar"/>
              </w:rPr>
              <w:t>）安装双面石膏板时，面层板的接缝应与底层板错开，并不得在一根龙骨上接缝。不得出现通缝现象。</w:t>
            </w:r>
          </w:p>
          <w:p>
            <w:pPr>
              <w:rPr>
                <w:color w:val="auto"/>
                <w:highlight w:val="none"/>
                <w:lang w:eastAsia="zh-CN"/>
              </w:rPr>
            </w:pPr>
            <w:r>
              <w:rPr>
                <w:color w:val="auto"/>
                <w:highlight w:val="none"/>
                <w:lang w:eastAsia="zh-CN" w:bidi="ar"/>
              </w:rPr>
              <w:t>17</w:t>
            </w:r>
            <w:r>
              <w:rPr>
                <w:rFonts w:hint="eastAsia"/>
                <w:color w:val="auto"/>
                <w:highlight w:val="none"/>
                <w:lang w:eastAsia="zh-CN" w:bidi="ar"/>
              </w:rPr>
              <w:t>）石膏板接口处需竖向龙骨，不允许接口处板悬空。</w:t>
            </w:r>
          </w:p>
          <w:p>
            <w:pPr>
              <w:rPr>
                <w:color w:val="auto"/>
                <w:highlight w:val="none"/>
                <w:lang w:eastAsia="zh-CN"/>
              </w:rPr>
            </w:pPr>
            <w:r>
              <w:rPr>
                <w:color w:val="auto"/>
                <w:highlight w:val="none"/>
                <w:lang w:eastAsia="zh-CN" w:bidi="ar"/>
              </w:rPr>
              <w:t>18</w:t>
            </w:r>
            <w:r>
              <w:rPr>
                <w:rFonts w:hint="eastAsia"/>
                <w:color w:val="auto"/>
                <w:highlight w:val="none"/>
                <w:lang w:eastAsia="zh-CN" w:bidi="ar"/>
              </w:rPr>
              <w:t>）石膏板与轻钢龙骨的的连接采用高强度自攻螺钉固定，不能先钻孔后固定，</w:t>
            </w:r>
            <w:r>
              <w:rPr>
                <w:color w:val="auto"/>
                <w:highlight w:val="none"/>
                <w:lang w:eastAsia="zh-CN" w:bidi="ar"/>
              </w:rPr>
              <w:t xml:space="preserve"> </w:t>
            </w:r>
            <w:r>
              <w:rPr>
                <w:rFonts w:hint="eastAsia"/>
                <w:color w:val="auto"/>
                <w:highlight w:val="none"/>
                <w:lang w:eastAsia="zh-CN" w:bidi="ar"/>
              </w:rPr>
              <w:t>要采用自攻枪垂直地一次打入紧固，石膏板需自由状态下就位安装，板间留缝</w:t>
            </w:r>
            <w:r>
              <w:rPr>
                <w:color w:val="auto"/>
                <w:highlight w:val="none"/>
                <w:lang w:eastAsia="zh-CN" w:bidi="ar"/>
              </w:rPr>
              <w:t xml:space="preserve"> 4mm,</w:t>
            </w:r>
            <w:r>
              <w:rPr>
                <w:rFonts w:hint="eastAsia"/>
                <w:color w:val="auto"/>
                <w:highlight w:val="none"/>
                <w:lang w:eastAsia="zh-CN" w:bidi="ar"/>
              </w:rPr>
              <w:t>板周边离墙</w:t>
            </w:r>
            <w:r>
              <w:rPr>
                <w:color w:val="auto"/>
                <w:highlight w:val="none"/>
                <w:lang w:eastAsia="zh-CN" w:bidi="ar"/>
              </w:rPr>
              <w:t xml:space="preserve"> 4~6mm,  </w:t>
            </w:r>
            <w:r>
              <w:rPr>
                <w:rFonts w:hint="eastAsia"/>
                <w:color w:val="auto"/>
                <w:highlight w:val="none"/>
                <w:lang w:eastAsia="zh-CN" w:bidi="ar"/>
              </w:rPr>
              <w:t>周边接缝采用模型石膏填缝补平，螺钉头表面埋入石膏板纸面约</w:t>
            </w:r>
            <w:r>
              <w:rPr>
                <w:color w:val="auto"/>
                <w:highlight w:val="none"/>
                <w:lang w:eastAsia="zh-CN" w:bidi="ar"/>
              </w:rPr>
              <w:t xml:space="preserve"> 0.5-1.0 mm</w:t>
            </w:r>
            <w:r>
              <w:rPr>
                <w:rFonts w:hint="eastAsia"/>
                <w:color w:val="auto"/>
                <w:highlight w:val="none"/>
                <w:lang w:eastAsia="zh-CN" w:bidi="ar"/>
              </w:rPr>
              <w:t>，不得破坏纸面，并刷防锈漆。</w:t>
            </w:r>
          </w:p>
          <w:p>
            <w:pPr>
              <w:rPr>
                <w:color w:val="auto"/>
                <w:highlight w:val="none"/>
                <w:lang w:eastAsia="zh-CN"/>
              </w:rPr>
            </w:pPr>
            <w:r>
              <w:rPr>
                <w:color w:val="auto"/>
                <w:highlight w:val="none"/>
                <w:lang w:eastAsia="zh-CN" w:bidi="ar"/>
              </w:rPr>
              <w:t>19</w:t>
            </w:r>
            <w:r>
              <w:rPr>
                <w:rFonts w:hint="eastAsia"/>
                <w:color w:val="auto"/>
                <w:highlight w:val="none"/>
                <w:lang w:eastAsia="zh-CN" w:bidi="ar"/>
              </w:rPr>
              <w:t>）轻钢龙骨隔墙需做导墙的采用</w:t>
            </w:r>
            <w:r>
              <w:rPr>
                <w:color w:val="auto"/>
                <w:highlight w:val="none"/>
                <w:lang w:eastAsia="zh-CN" w:bidi="ar"/>
              </w:rPr>
              <w:t xml:space="preserve"> C20 </w:t>
            </w:r>
            <w:r>
              <w:rPr>
                <w:rFonts w:hint="eastAsia"/>
                <w:color w:val="auto"/>
                <w:highlight w:val="none"/>
                <w:lang w:eastAsia="zh-CN" w:bidi="ar"/>
              </w:rPr>
              <w:t>混凝土导墙，导墙尺寸应符合设计要求，</w:t>
            </w:r>
            <w:r>
              <w:rPr>
                <w:color w:val="auto"/>
                <w:highlight w:val="none"/>
                <w:lang w:eastAsia="zh-CN" w:bidi="ar"/>
              </w:rPr>
              <w:t xml:space="preserve"> </w:t>
            </w:r>
            <w:r>
              <w:rPr>
                <w:rFonts w:hint="eastAsia"/>
                <w:color w:val="auto"/>
                <w:highlight w:val="none"/>
                <w:lang w:eastAsia="zh-CN" w:bidi="ar"/>
              </w:rPr>
              <w:t>支模前必须植筋，直径</w:t>
            </w:r>
            <w:r>
              <w:rPr>
                <w:rFonts w:hint="eastAsia"/>
                <w:color w:val="auto"/>
                <w:highlight w:val="none"/>
                <w:lang w:bidi="ar"/>
              </w:rPr>
              <w:t>Φ</w:t>
            </w:r>
            <w:r>
              <w:rPr>
                <w:color w:val="auto"/>
                <w:highlight w:val="none"/>
                <w:lang w:eastAsia="zh-CN" w:bidi="ar"/>
              </w:rPr>
              <w:t xml:space="preserve">6 </w:t>
            </w:r>
            <w:r>
              <w:rPr>
                <w:rFonts w:hint="eastAsia"/>
                <w:color w:val="auto"/>
                <w:highlight w:val="none"/>
                <w:lang w:eastAsia="zh-CN" w:bidi="ar"/>
              </w:rPr>
              <w:t>光圆钢筋或者</w:t>
            </w:r>
            <w:r>
              <w:rPr>
                <w:rFonts w:hint="eastAsia"/>
                <w:color w:val="auto"/>
                <w:highlight w:val="none"/>
                <w:lang w:bidi="ar"/>
              </w:rPr>
              <w:t>Φ</w:t>
            </w:r>
            <w:r>
              <w:rPr>
                <w:color w:val="auto"/>
                <w:highlight w:val="none"/>
                <w:lang w:eastAsia="zh-CN" w:bidi="ar"/>
              </w:rPr>
              <w:t xml:space="preserve">8 </w:t>
            </w:r>
            <w:r>
              <w:rPr>
                <w:rFonts w:hint="eastAsia"/>
                <w:color w:val="auto"/>
                <w:highlight w:val="none"/>
                <w:lang w:eastAsia="zh-CN" w:bidi="ar"/>
              </w:rPr>
              <w:t>通丝，间距</w:t>
            </w:r>
            <w:r>
              <w:rPr>
                <w:color w:val="auto"/>
                <w:highlight w:val="none"/>
                <w:lang w:eastAsia="zh-CN" w:bidi="ar"/>
              </w:rPr>
              <w:t xml:space="preserve"> 600mm</w:t>
            </w:r>
            <w:r>
              <w:rPr>
                <w:rFonts w:hint="eastAsia"/>
                <w:color w:val="auto"/>
                <w:highlight w:val="none"/>
                <w:lang w:eastAsia="zh-CN" w:bidi="ar"/>
              </w:rPr>
              <w:t>，顶部使用对应</w:t>
            </w:r>
            <w:r>
              <w:rPr>
                <w:rFonts w:hint="eastAsia"/>
                <w:color w:val="auto"/>
                <w:highlight w:val="none"/>
                <w:lang w:bidi="ar"/>
              </w:rPr>
              <w:t>Φ</w:t>
            </w:r>
            <w:r>
              <w:rPr>
                <w:color w:val="auto"/>
                <w:highlight w:val="none"/>
                <w:lang w:eastAsia="zh-CN" w:bidi="ar"/>
              </w:rPr>
              <w:t xml:space="preserve">6 </w:t>
            </w:r>
            <w:r>
              <w:rPr>
                <w:rFonts w:hint="eastAsia"/>
                <w:color w:val="auto"/>
                <w:highlight w:val="none"/>
                <w:lang w:eastAsia="zh-CN" w:bidi="ar"/>
              </w:rPr>
              <w:t>光圆钢筋或者</w:t>
            </w:r>
            <w:r>
              <w:rPr>
                <w:rFonts w:hint="eastAsia"/>
                <w:color w:val="auto"/>
                <w:highlight w:val="none"/>
                <w:lang w:bidi="ar"/>
              </w:rPr>
              <w:t>Φ</w:t>
            </w:r>
            <w:r>
              <w:rPr>
                <w:color w:val="auto"/>
                <w:highlight w:val="none"/>
                <w:lang w:eastAsia="zh-CN" w:bidi="ar"/>
              </w:rPr>
              <w:t xml:space="preserve">8 </w:t>
            </w:r>
            <w:r>
              <w:rPr>
                <w:rFonts w:hint="eastAsia"/>
                <w:color w:val="auto"/>
                <w:highlight w:val="none"/>
                <w:lang w:eastAsia="zh-CN" w:bidi="ar"/>
              </w:rPr>
              <w:t>通丝焊接牢固。植筋必须与楼地面可靠连接，无松动。</w:t>
            </w:r>
          </w:p>
          <w:p>
            <w:pPr>
              <w:rPr>
                <w:color w:val="auto"/>
                <w:highlight w:val="none"/>
                <w:lang w:eastAsia="zh-CN"/>
              </w:rPr>
            </w:pPr>
            <w:r>
              <w:rPr>
                <w:color w:val="auto"/>
                <w:highlight w:val="none"/>
                <w:lang w:eastAsia="zh-CN" w:bidi="ar"/>
              </w:rPr>
              <w:t>20</w:t>
            </w:r>
            <w:r>
              <w:rPr>
                <w:rFonts w:hint="eastAsia"/>
                <w:color w:val="auto"/>
                <w:highlight w:val="none"/>
                <w:lang w:eastAsia="zh-CN" w:bidi="ar"/>
              </w:rPr>
              <w:t>）隔墙的门框安装须符合设计要求。</w:t>
            </w:r>
          </w:p>
          <w:p>
            <w:pPr>
              <w:rPr>
                <w:color w:val="auto"/>
                <w:highlight w:val="none"/>
                <w:lang w:eastAsia="zh-CN"/>
              </w:rPr>
            </w:pPr>
            <w:r>
              <w:rPr>
                <w:color w:val="auto"/>
                <w:highlight w:val="none"/>
                <w:lang w:eastAsia="zh-CN" w:bidi="ar"/>
              </w:rPr>
              <w:t>21</w:t>
            </w:r>
            <w:r>
              <w:rPr>
                <w:rFonts w:hint="eastAsia"/>
                <w:color w:val="auto"/>
                <w:highlight w:val="none"/>
                <w:lang w:eastAsia="zh-CN" w:bidi="ar"/>
              </w:rPr>
              <w:t>）自攻螺钉固定时，距离石膏板边缘不得低于</w:t>
            </w:r>
            <w:r>
              <w:rPr>
                <w:color w:val="auto"/>
                <w:highlight w:val="none"/>
                <w:lang w:eastAsia="zh-CN" w:bidi="ar"/>
              </w:rPr>
              <w:t xml:space="preserve"> 10mm</w:t>
            </w:r>
            <w:r>
              <w:rPr>
                <w:rFonts w:hint="eastAsia"/>
                <w:color w:val="auto"/>
                <w:highlight w:val="none"/>
                <w:lang w:eastAsia="zh-CN" w:bidi="ar"/>
              </w:rPr>
              <w:t>（如加工板，距离不得小于</w:t>
            </w:r>
            <w:r>
              <w:rPr>
                <w:color w:val="auto"/>
                <w:highlight w:val="none"/>
                <w:lang w:eastAsia="zh-CN" w:bidi="ar"/>
              </w:rPr>
              <w:t xml:space="preserve"> 15mm</w:t>
            </w:r>
            <w:r>
              <w:rPr>
                <w:rFonts w:hint="eastAsia"/>
                <w:color w:val="auto"/>
                <w:highlight w:val="none"/>
                <w:lang w:eastAsia="zh-CN" w:bidi="ar"/>
              </w:rPr>
              <w:t>）。</w:t>
            </w:r>
            <w:r>
              <w:rPr>
                <w:color w:val="auto"/>
                <w:highlight w:val="none"/>
                <w:lang w:eastAsia="zh-CN" w:bidi="ar"/>
              </w:rPr>
              <w:t>.</w:t>
            </w:r>
          </w:p>
          <w:p>
            <w:pPr>
              <w:rPr>
                <w:color w:val="auto"/>
                <w:highlight w:val="none"/>
                <w:lang w:eastAsia="zh-CN"/>
              </w:rPr>
            </w:pPr>
            <w:r>
              <w:rPr>
                <w:color w:val="auto"/>
                <w:highlight w:val="none"/>
                <w:lang w:eastAsia="zh-CN" w:bidi="ar"/>
              </w:rPr>
              <w:t>22</w:t>
            </w:r>
            <w:r>
              <w:rPr>
                <w:rFonts w:hint="eastAsia"/>
                <w:color w:val="auto"/>
                <w:highlight w:val="none"/>
                <w:lang w:eastAsia="zh-CN" w:bidi="ar"/>
              </w:rPr>
              <w:t>）整面轻钢骨架应顺直、无弯曲、无变形；连接件应符合产品组合的要求。</w:t>
            </w:r>
          </w:p>
          <w:p>
            <w:pPr>
              <w:rPr>
                <w:color w:val="auto"/>
                <w:highlight w:val="none"/>
                <w:lang w:eastAsia="zh-CN"/>
              </w:rPr>
            </w:pPr>
            <w:r>
              <w:rPr>
                <w:color w:val="auto"/>
                <w:highlight w:val="none"/>
                <w:lang w:eastAsia="zh-CN" w:bidi="ar"/>
              </w:rPr>
              <w:t>23</w:t>
            </w:r>
            <w:r>
              <w:rPr>
                <w:rFonts w:hint="eastAsia"/>
                <w:color w:val="auto"/>
                <w:highlight w:val="none"/>
                <w:lang w:eastAsia="zh-CN" w:bidi="ar"/>
              </w:rPr>
              <w:t>）轻钢龙骨材料及工艺须符合</w:t>
            </w:r>
            <w:r>
              <w:rPr>
                <w:color w:val="auto"/>
                <w:highlight w:val="none"/>
                <w:lang w:eastAsia="zh-CN" w:bidi="ar"/>
              </w:rPr>
              <w:t xml:space="preserve"> GB/T 11981-2008</w:t>
            </w:r>
            <w:r>
              <w:rPr>
                <w:rFonts w:hint="eastAsia"/>
                <w:color w:val="auto"/>
                <w:highlight w:val="none"/>
                <w:lang w:eastAsia="zh-CN" w:bidi="ar"/>
              </w:rPr>
              <w:t>《建筑用轻钢龙骨》最新标准。</w:t>
            </w:r>
          </w:p>
          <w:p>
            <w:pPr>
              <w:rPr>
                <w:color w:val="auto"/>
                <w:highlight w:val="none"/>
                <w:lang w:eastAsia="zh-CN"/>
              </w:rPr>
            </w:pPr>
          </w:p>
          <w:p>
            <w:pPr>
              <w:rPr>
                <w:color w:val="auto"/>
                <w:highlight w:val="none"/>
                <w:lang w:eastAsia="zh-CN"/>
              </w:rPr>
            </w:pPr>
            <w:r>
              <w:rPr>
                <w:color w:val="auto"/>
                <w:highlight w:val="none"/>
                <w:lang w:eastAsia="zh-CN"/>
              </w:rPr>
              <w:t>2</w:t>
            </w:r>
            <w:r>
              <w:rPr>
                <w:rFonts w:hint="eastAsia"/>
                <w:color w:val="auto"/>
                <w:highlight w:val="none"/>
                <w:lang w:eastAsia="zh-CN"/>
              </w:rPr>
              <w:t>、墙面装饰：</w:t>
            </w:r>
            <w:r>
              <w:rPr>
                <w:color w:val="auto"/>
                <w:highlight w:val="none"/>
                <w:lang w:eastAsia="zh-CN"/>
              </w:rPr>
              <w:t xml:space="preserve"> </w:t>
            </w:r>
          </w:p>
          <w:p>
            <w:pPr>
              <w:rPr>
                <w:color w:val="auto"/>
                <w:highlight w:val="none"/>
                <w:lang w:eastAsia="zh-CN"/>
              </w:rPr>
            </w:pPr>
            <w:r>
              <w:rPr>
                <w:color w:val="auto"/>
                <w:highlight w:val="none"/>
                <w:lang w:eastAsia="zh-CN"/>
              </w:rPr>
              <w:t>2.1</w:t>
            </w:r>
            <w:r>
              <w:rPr>
                <w:rFonts w:hint="eastAsia"/>
                <w:color w:val="auto"/>
                <w:highlight w:val="none"/>
                <w:lang w:eastAsia="zh-CN"/>
              </w:rPr>
              <w:t>、手术室电解钢板顶面</w:t>
            </w:r>
          </w:p>
          <w:p>
            <w:pPr>
              <w:rPr>
                <w:color w:val="auto"/>
                <w:highlight w:val="none"/>
                <w:lang w:eastAsia="zh-CN"/>
              </w:rPr>
            </w:pPr>
            <w:r>
              <w:rPr>
                <w:rFonts w:hint="eastAsia"/>
                <w:color w:val="auto"/>
                <w:highlight w:val="none"/>
                <w:lang w:eastAsia="zh-CN"/>
              </w:rPr>
              <w:t>工程做法：</w:t>
            </w:r>
          </w:p>
          <w:p>
            <w:pPr>
              <w:rPr>
                <w:color w:val="auto"/>
                <w:highlight w:val="none"/>
                <w:lang w:eastAsia="zh-CN"/>
              </w:rPr>
            </w:pPr>
            <w:r>
              <w:rPr>
                <w:rFonts w:hint="eastAsia"/>
                <w:color w:val="auto"/>
                <w:highlight w:val="none"/>
                <w:lang w:eastAsia="zh-CN"/>
              </w:rPr>
              <w:t>手术室龙骨采用镀锌龙骨，</w:t>
            </w:r>
            <w:r>
              <w:rPr>
                <w:color w:val="auto"/>
                <w:highlight w:val="none"/>
                <w:lang w:eastAsia="zh-CN"/>
              </w:rPr>
              <w:t xml:space="preserve"> 1.2</w:t>
            </w:r>
            <w:r>
              <w:rPr>
                <w:rFonts w:hint="eastAsia"/>
                <w:color w:val="auto"/>
                <w:highlight w:val="none"/>
                <w:lang w:eastAsia="zh-CN"/>
              </w:rPr>
              <w:t>厚电解钢板，背衬贴</w:t>
            </w:r>
            <w:r>
              <w:rPr>
                <w:color w:val="auto"/>
                <w:highlight w:val="none"/>
                <w:lang w:eastAsia="zh-CN"/>
              </w:rPr>
              <w:t>12</w:t>
            </w:r>
            <w:r>
              <w:rPr>
                <w:rFonts w:hint="eastAsia"/>
                <w:color w:val="auto"/>
                <w:highlight w:val="none"/>
                <w:lang w:eastAsia="zh-CN"/>
              </w:rPr>
              <w:t>厚</w:t>
            </w:r>
            <w:r>
              <w:rPr>
                <w:color w:val="auto"/>
                <w:highlight w:val="none"/>
                <w:lang w:eastAsia="zh-CN"/>
              </w:rPr>
              <w:t>石膏板</w:t>
            </w:r>
            <w:r>
              <w:rPr>
                <w:rFonts w:hint="eastAsia"/>
                <w:color w:val="auto"/>
                <w:highlight w:val="none"/>
                <w:lang w:eastAsia="zh-CN"/>
              </w:rPr>
              <w:t>，工厂加工成型，表面喷涂环保抗菌涂料，达到抗菌、耐腐蚀、现场安装，整体墙面光滑平整。</w:t>
            </w:r>
          </w:p>
          <w:p>
            <w:pPr>
              <w:rPr>
                <w:color w:val="auto"/>
                <w:highlight w:val="none"/>
                <w:lang w:eastAsia="zh-CN"/>
              </w:rPr>
            </w:pPr>
          </w:p>
          <w:p>
            <w:pPr>
              <w:rPr>
                <w:color w:val="auto"/>
                <w:highlight w:val="none"/>
                <w:lang w:eastAsia="zh-CN"/>
              </w:rPr>
            </w:pPr>
            <w:r>
              <w:rPr>
                <w:rFonts w:hint="eastAsia"/>
                <w:color w:val="auto"/>
                <w:highlight w:val="none"/>
                <w:lang w:eastAsia="zh-CN"/>
              </w:rPr>
              <w:t>施工工序：</w:t>
            </w:r>
            <w:r>
              <w:rPr>
                <w:color w:val="auto"/>
                <w:highlight w:val="none"/>
                <w:lang w:eastAsia="zh-CN"/>
              </w:rPr>
              <w:t xml:space="preserve"> </w:t>
            </w:r>
          </w:p>
          <w:p>
            <w:pPr>
              <w:rPr>
                <w:color w:val="auto"/>
                <w:highlight w:val="none"/>
                <w:lang w:eastAsia="zh-CN"/>
              </w:rPr>
            </w:pPr>
            <w:r>
              <w:rPr>
                <w:rFonts w:hint="eastAsia"/>
                <w:color w:val="auto"/>
                <w:highlight w:val="none"/>
                <w:lang w:eastAsia="zh-CN"/>
              </w:rPr>
              <w:t>隔断龙骨安装前，先在上下及两边基体连接处弹线定位。安装龙骨边线应与弹线一致。</w:t>
            </w:r>
          </w:p>
          <w:p>
            <w:pPr>
              <w:rPr>
                <w:color w:val="auto"/>
                <w:highlight w:val="none"/>
                <w:lang w:eastAsia="zh-CN"/>
              </w:rPr>
            </w:pPr>
            <w:r>
              <w:rPr>
                <w:rFonts w:hint="eastAsia"/>
                <w:color w:val="auto"/>
                <w:highlight w:val="none"/>
                <w:lang w:eastAsia="zh-CN"/>
              </w:rPr>
              <w:t>在地龙骨与地接触处，按规定间距用电钻打眼塞膨胀螺栓，将地龙骨固定地面。</w:t>
            </w:r>
          </w:p>
          <w:p>
            <w:pPr>
              <w:rPr>
                <w:color w:val="auto"/>
                <w:highlight w:val="none"/>
                <w:lang w:eastAsia="zh-CN"/>
              </w:rPr>
            </w:pPr>
            <w:r>
              <w:rPr>
                <w:rFonts w:hint="eastAsia"/>
                <w:color w:val="auto"/>
                <w:highlight w:val="none"/>
                <w:lang w:eastAsia="zh-CN"/>
              </w:rPr>
              <w:t>射钉按中距</w:t>
            </w:r>
            <w:r>
              <w:rPr>
                <w:color w:val="auto"/>
                <w:highlight w:val="none"/>
                <w:lang w:eastAsia="zh-CN"/>
              </w:rPr>
              <w:t>0.6</w:t>
            </w:r>
            <w:r>
              <w:rPr>
                <w:rFonts w:hint="eastAsia"/>
                <w:color w:val="auto"/>
                <w:highlight w:val="none"/>
                <w:lang w:eastAsia="zh-CN"/>
              </w:rPr>
              <w:t>～</w:t>
            </w:r>
            <w:r>
              <w:rPr>
                <w:color w:val="auto"/>
                <w:highlight w:val="none"/>
                <w:lang w:eastAsia="zh-CN"/>
              </w:rPr>
              <w:t>1.0m</w:t>
            </w:r>
            <w:r>
              <w:rPr>
                <w:rFonts w:hint="eastAsia"/>
                <w:color w:val="auto"/>
                <w:highlight w:val="none"/>
                <w:lang w:eastAsia="zh-CN"/>
              </w:rPr>
              <w:t>的间距布置，水平方向不大于</w:t>
            </w:r>
            <w:r>
              <w:rPr>
                <w:color w:val="auto"/>
                <w:highlight w:val="none"/>
                <w:lang w:eastAsia="zh-CN"/>
              </w:rPr>
              <w:t>0.8m</w:t>
            </w:r>
            <w:r>
              <w:rPr>
                <w:rFonts w:hint="eastAsia"/>
                <w:color w:val="auto"/>
                <w:highlight w:val="none"/>
                <w:lang w:eastAsia="zh-CN"/>
              </w:rPr>
              <w:t>。垂直方向不大于</w:t>
            </w:r>
            <w:r>
              <w:rPr>
                <w:color w:val="auto"/>
                <w:highlight w:val="none"/>
                <w:lang w:eastAsia="zh-CN"/>
              </w:rPr>
              <w:t>1.0m</w:t>
            </w:r>
            <w:r>
              <w:rPr>
                <w:rFonts w:hint="eastAsia"/>
                <w:color w:val="auto"/>
                <w:highlight w:val="none"/>
                <w:lang w:eastAsia="zh-CN"/>
              </w:rPr>
              <w:t>。射钉射入基体的最佳厚度：混凝土为</w:t>
            </w:r>
            <w:r>
              <w:rPr>
                <w:color w:val="auto"/>
                <w:highlight w:val="none"/>
                <w:lang w:eastAsia="zh-CN"/>
              </w:rPr>
              <w:t>22</w:t>
            </w:r>
            <w:r>
              <w:rPr>
                <w:rFonts w:hint="eastAsia"/>
                <w:color w:val="auto"/>
                <w:highlight w:val="none"/>
                <w:lang w:eastAsia="zh-CN"/>
              </w:rPr>
              <w:t>～</w:t>
            </w:r>
            <w:r>
              <w:rPr>
                <w:color w:val="auto"/>
                <w:highlight w:val="none"/>
                <w:lang w:eastAsia="zh-CN"/>
              </w:rPr>
              <w:t>23</w:t>
            </w:r>
            <w:r>
              <w:rPr>
                <w:rFonts w:hint="eastAsia"/>
                <w:color w:val="auto"/>
                <w:highlight w:val="none"/>
                <w:lang w:eastAsia="zh-CN"/>
              </w:rPr>
              <w:t>㎜。</w:t>
            </w:r>
          </w:p>
          <w:p>
            <w:pPr>
              <w:rPr>
                <w:color w:val="auto"/>
                <w:highlight w:val="none"/>
                <w:lang w:eastAsia="zh-CN"/>
              </w:rPr>
            </w:pPr>
          </w:p>
          <w:p>
            <w:pPr>
              <w:rPr>
                <w:color w:val="auto"/>
                <w:highlight w:val="none"/>
                <w:lang w:eastAsia="zh-CN"/>
              </w:rPr>
            </w:pPr>
            <w:r>
              <w:rPr>
                <w:rFonts w:hint="eastAsia"/>
                <w:color w:val="auto"/>
                <w:highlight w:val="none"/>
                <w:lang w:eastAsia="zh-CN"/>
              </w:rPr>
              <w:t>按图纸规定，确定八角竖龙骨位置，临时固定，安装顶龙骨，并确定顶龙骨水平度，临时固定，用经纬仪或线捶确定龙骨垂直度，并对龙骨进行固定，安装其他制作好竖龙骨，逐一校正其垂直度，并按同样方法安装水平龙骨。水平断面允许偏差小于</w:t>
            </w:r>
            <w:r>
              <w:rPr>
                <w:color w:val="auto"/>
                <w:highlight w:val="none"/>
                <w:lang w:eastAsia="zh-CN"/>
              </w:rPr>
              <w:t>2</w:t>
            </w:r>
            <w:r>
              <w:rPr>
                <w:rFonts w:hint="eastAsia"/>
                <w:color w:val="auto"/>
                <w:highlight w:val="none"/>
                <w:lang w:eastAsia="zh-CN"/>
              </w:rPr>
              <w:t>㎜，垂直断面允许偏差小于</w:t>
            </w:r>
            <w:r>
              <w:rPr>
                <w:color w:val="auto"/>
                <w:highlight w:val="none"/>
                <w:lang w:eastAsia="zh-CN"/>
              </w:rPr>
              <w:t>2</w:t>
            </w:r>
            <w:r>
              <w:rPr>
                <w:rFonts w:hint="eastAsia"/>
                <w:color w:val="auto"/>
                <w:highlight w:val="none"/>
                <w:lang w:eastAsia="zh-CN"/>
              </w:rPr>
              <w:t>㎜。</w:t>
            </w:r>
          </w:p>
          <w:p>
            <w:pPr>
              <w:rPr>
                <w:color w:val="auto"/>
                <w:highlight w:val="none"/>
                <w:lang w:eastAsia="zh-CN"/>
              </w:rPr>
            </w:pPr>
            <w:r>
              <w:rPr>
                <w:rFonts w:hint="eastAsia"/>
                <w:color w:val="auto"/>
                <w:highlight w:val="none"/>
                <w:lang w:eastAsia="zh-CN"/>
              </w:rPr>
              <w:t>对有嵌入设备器材的位置应对墙面龙骨进行加强。</w:t>
            </w:r>
          </w:p>
          <w:p>
            <w:pPr>
              <w:rPr>
                <w:color w:val="auto"/>
                <w:highlight w:val="none"/>
                <w:lang w:eastAsia="zh-CN"/>
              </w:rPr>
            </w:pPr>
          </w:p>
          <w:p>
            <w:pPr>
              <w:rPr>
                <w:color w:val="auto"/>
                <w:highlight w:val="none"/>
                <w:lang w:eastAsia="zh-CN"/>
              </w:rPr>
            </w:pPr>
            <w:r>
              <w:rPr>
                <w:rFonts w:hint="eastAsia"/>
                <w:color w:val="auto"/>
                <w:highlight w:val="none"/>
                <w:lang w:eastAsia="zh-CN"/>
              </w:rPr>
              <w:t>墙体、吊顶内各种管道、管线安装完毕，嵌入式设施位置校正无误后并经过隐蔽工程验收后，开始挂金属墙面。</w:t>
            </w:r>
          </w:p>
          <w:p>
            <w:pPr>
              <w:rPr>
                <w:color w:val="auto"/>
                <w:highlight w:val="none"/>
                <w:lang w:eastAsia="zh-CN"/>
              </w:rPr>
            </w:pPr>
            <w:r>
              <w:rPr>
                <w:rFonts w:hint="eastAsia"/>
                <w:color w:val="auto"/>
                <w:highlight w:val="none"/>
                <w:lang w:eastAsia="zh-CN"/>
              </w:rPr>
              <w:t>金属板墙面按从中间向两边的顺序安装，调平，两板板缝应控制在小于</w:t>
            </w:r>
            <w:r>
              <w:rPr>
                <w:color w:val="auto"/>
                <w:highlight w:val="none"/>
                <w:lang w:eastAsia="zh-CN"/>
              </w:rPr>
              <w:t>2mm</w:t>
            </w:r>
            <w:r>
              <w:rPr>
                <w:rFonts w:hint="eastAsia"/>
                <w:color w:val="auto"/>
                <w:highlight w:val="none"/>
                <w:lang w:eastAsia="zh-CN"/>
              </w:rPr>
              <w:t>。</w:t>
            </w:r>
          </w:p>
          <w:p>
            <w:pPr>
              <w:rPr>
                <w:color w:val="auto"/>
                <w:highlight w:val="none"/>
                <w:lang w:eastAsia="zh-CN"/>
              </w:rPr>
            </w:pPr>
          </w:p>
          <w:p>
            <w:pPr>
              <w:rPr>
                <w:color w:val="auto"/>
                <w:highlight w:val="none"/>
                <w:lang w:eastAsia="zh-CN"/>
              </w:rPr>
            </w:pPr>
            <w:r>
              <w:rPr>
                <w:rFonts w:hint="eastAsia"/>
                <w:color w:val="auto"/>
                <w:highlight w:val="none"/>
                <w:lang w:eastAsia="zh-CN"/>
              </w:rPr>
              <w:t>接缝处按</w:t>
            </w:r>
            <w:r>
              <w:rPr>
                <w:color w:val="auto"/>
                <w:highlight w:val="none"/>
                <w:lang w:eastAsia="zh-CN"/>
              </w:rPr>
              <w:t>300</w:t>
            </w:r>
            <w:r>
              <w:rPr>
                <w:rFonts w:hint="eastAsia"/>
                <w:color w:val="auto"/>
                <w:highlight w:val="none"/>
                <w:lang w:eastAsia="zh-CN"/>
              </w:rPr>
              <w:t>间距点焊接连接，磨平、刷防锈漆，刮专用原子灰腻子，用砂纸、水砂纸磨光处理。</w:t>
            </w:r>
          </w:p>
          <w:p>
            <w:pPr>
              <w:rPr>
                <w:color w:val="auto"/>
                <w:highlight w:val="none"/>
                <w:lang w:eastAsia="zh-CN"/>
              </w:rPr>
            </w:pPr>
          </w:p>
          <w:p>
            <w:pPr>
              <w:rPr>
                <w:color w:val="auto"/>
                <w:highlight w:val="none"/>
                <w:lang w:eastAsia="zh-CN"/>
              </w:rPr>
            </w:pPr>
            <w:r>
              <w:rPr>
                <w:rFonts w:hint="eastAsia"/>
                <w:color w:val="auto"/>
                <w:highlight w:val="none"/>
                <w:lang w:eastAsia="zh-CN"/>
              </w:rPr>
              <w:t>抗菌涂料喷涂：喷涂底漆，用细砂纸刨光，封第二道底漆，用水砂纸刨光，喷涂抗菌涂料面漆。</w:t>
            </w:r>
          </w:p>
          <w:p>
            <w:pPr>
              <w:rPr>
                <w:color w:val="auto"/>
                <w:highlight w:val="none"/>
                <w:lang w:eastAsia="zh-CN"/>
              </w:rPr>
            </w:pPr>
          </w:p>
          <w:p>
            <w:pPr>
              <w:rPr>
                <w:color w:val="auto"/>
                <w:highlight w:val="none"/>
                <w:lang w:eastAsia="zh-CN"/>
              </w:rPr>
            </w:pPr>
            <w:r>
              <w:rPr>
                <w:rFonts w:hint="eastAsia"/>
                <w:color w:val="auto"/>
                <w:highlight w:val="none"/>
                <w:lang w:eastAsia="zh-CN"/>
              </w:rPr>
              <w:t>质量检验与工程验收</w:t>
            </w:r>
          </w:p>
          <w:p>
            <w:pPr>
              <w:rPr>
                <w:color w:val="auto"/>
                <w:highlight w:val="none"/>
                <w:lang w:eastAsia="zh-CN"/>
              </w:rPr>
            </w:pPr>
            <w:r>
              <w:rPr>
                <w:rFonts w:hint="eastAsia"/>
                <w:color w:val="auto"/>
                <w:highlight w:val="none"/>
                <w:lang w:eastAsia="zh-CN"/>
              </w:rPr>
              <w:t>龙骨、墙板按</w:t>
            </w:r>
            <w:r>
              <w:rPr>
                <w:color w:val="auto"/>
                <w:highlight w:val="none"/>
                <w:lang w:eastAsia="zh-CN"/>
              </w:rPr>
              <w:t>10%</w:t>
            </w:r>
            <w:r>
              <w:rPr>
                <w:rFonts w:hint="eastAsia"/>
                <w:color w:val="auto"/>
                <w:highlight w:val="none"/>
                <w:lang w:eastAsia="zh-CN"/>
              </w:rPr>
              <w:t>抽查，外观平直度检查，壁厚检查。</w:t>
            </w:r>
          </w:p>
          <w:p>
            <w:pPr>
              <w:rPr>
                <w:color w:val="auto"/>
                <w:highlight w:val="none"/>
                <w:lang w:eastAsia="zh-CN"/>
              </w:rPr>
            </w:pPr>
            <w:r>
              <w:rPr>
                <w:rFonts w:hint="eastAsia"/>
                <w:color w:val="auto"/>
                <w:highlight w:val="none"/>
                <w:lang w:eastAsia="zh-CN"/>
              </w:rPr>
              <w:t>检查工程所用材料的品种、规格、颜色、基层构造、固定方法等是否符合设计要求。</w:t>
            </w:r>
          </w:p>
          <w:p>
            <w:pPr>
              <w:rPr>
                <w:color w:val="auto"/>
                <w:highlight w:val="none"/>
                <w:lang w:eastAsia="zh-CN"/>
              </w:rPr>
            </w:pPr>
          </w:p>
          <w:p>
            <w:pPr>
              <w:rPr>
                <w:color w:val="auto"/>
                <w:highlight w:val="none"/>
                <w:lang w:eastAsia="zh-CN"/>
              </w:rPr>
            </w:pPr>
            <w:r>
              <w:rPr>
                <w:rFonts w:hint="eastAsia"/>
                <w:color w:val="auto"/>
                <w:highlight w:val="none"/>
                <w:lang w:eastAsia="zh-CN"/>
              </w:rPr>
              <w:t>龙骨安装位置、安装水平垂直度</w:t>
            </w:r>
            <w:r>
              <w:rPr>
                <w:color w:val="auto"/>
                <w:highlight w:val="none"/>
                <w:lang w:eastAsia="zh-CN"/>
              </w:rPr>
              <w:t>100%</w:t>
            </w:r>
            <w:r>
              <w:rPr>
                <w:rFonts w:hint="eastAsia"/>
                <w:color w:val="auto"/>
                <w:highlight w:val="none"/>
                <w:lang w:eastAsia="zh-CN"/>
              </w:rPr>
              <w:t>检查。</w:t>
            </w:r>
          </w:p>
          <w:p>
            <w:pPr>
              <w:rPr>
                <w:color w:val="auto"/>
                <w:highlight w:val="none"/>
                <w:lang w:eastAsia="zh-CN"/>
              </w:rPr>
            </w:pPr>
            <w:r>
              <w:rPr>
                <w:rFonts w:hint="eastAsia"/>
                <w:color w:val="auto"/>
                <w:highlight w:val="none"/>
                <w:lang w:eastAsia="zh-CN"/>
              </w:rPr>
              <w:t>面板与龙骨应连接紧密，表面应平整，不得有污染、折裂、缺棱掉角、锤伤等缺陷，接缝应均匀一致，粘贴的罩面板不得有脱层。</w:t>
            </w:r>
          </w:p>
          <w:p>
            <w:pPr>
              <w:rPr>
                <w:color w:val="auto"/>
                <w:highlight w:val="none"/>
                <w:lang w:eastAsia="zh-CN"/>
              </w:rPr>
            </w:pPr>
          </w:p>
          <w:p>
            <w:pPr>
              <w:rPr>
                <w:color w:val="auto"/>
                <w:highlight w:val="none"/>
                <w:lang w:eastAsia="zh-CN"/>
              </w:rPr>
            </w:pPr>
            <w:r>
              <w:rPr>
                <w:rFonts w:hint="eastAsia"/>
                <w:color w:val="auto"/>
                <w:highlight w:val="none"/>
                <w:lang w:eastAsia="zh-CN"/>
              </w:rPr>
              <w:t>板材平整度，表面检查，不得有鼓包，凹陷等，板边应平直，不得翘曲。</w:t>
            </w:r>
          </w:p>
          <w:p>
            <w:pPr>
              <w:rPr>
                <w:color w:val="auto"/>
                <w:highlight w:val="none"/>
                <w:lang w:eastAsia="zh-CN"/>
              </w:rPr>
            </w:pPr>
          </w:p>
          <w:p>
            <w:pPr>
              <w:rPr>
                <w:color w:val="auto"/>
                <w:highlight w:val="none"/>
                <w:lang w:eastAsia="zh-CN"/>
              </w:rPr>
            </w:pPr>
            <w:r>
              <w:rPr>
                <w:rFonts w:hint="eastAsia"/>
                <w:color w:val="auto"/>
                <w:highlight w:val="none"/>
                <w:lang w:eastAsia="zh-CN"/>
              </w:rPr>
              <w:t>墙面板工程质量的允许偏差应符合平整度≤</w:t>
            </w:r>
            <w:r>
              <w:rPr>
                <w:color w:val="auto"/>
                <w:highlight w:val="none"/>
                <w:lang w:eastAsia="zh-CN"/>
              </w:rPr>
              <w:t>2</w:t>
            </w:r>
            <w:r>
              <w:rPr>
                <w:rFonts w:hint="eastAsia"/>
                <w:color w:val="auto"/>
                <w:highlight w:val="none"/>
                <w:lang w:eastAsia="zh-CN"/>
              </w:rPr>
              <w:t>㎜（</w:t>
            </w:r>
            <w:r>
              <w:rPr>
                <w:color w:val="auto"/>
                <w:highlight w:val="none"/>
                <w:lang w:eastAsia="zh-CN"/>
              </w:rPr>
              <w:t>2m</w:t>
            </w:r>
            <w:r>
              <w:rPr>
                <w:rFonts w:hint="eastAsia"/>
                <w:color w:val="auto"/>
                <w:highlight w:val="none"/>
                <w:lang w:eastAsia="zh-CN"/>
              </w:rPr>
              <w:t>靠尺下）。</w:t>
            </w:r>
          </w:p>
          <w:p>
            <w:pPr>
              <w:rPr>
                <w:color w:val="auto"/>
                <w:highlight w:val="none"/>
                <w:lang w:eastAsia="zh-CN"/>
              </w:rPr>
            </w:pPr>
            <w:r>
              <w:rPr>
                <w:rFonts w:hint="eastAsia"/>
                <w:color w:val="auto"/>
                <w:highlight w:val="none"/>
                <w:lang w:eastAsia="zh-CN"/>
              </w:rPr>
              <w:t>涂料喷涂表面光洁度检查，喷涂颜色一致性检查。</w:t>
            </w:r>
          </w:p>
          <w:p>
            <w:pPr>
              <w:rPr>
                <w:color w:val="auto"/>
                <w:highlight w:val="none"/>
                <w:lang w:eastAsia="zh-CN"/>
              </w:rPr>
            </w:pPr>
            <w:r>
              <w:rPr>
                <w:rFonts w:hint="eastAsia"/>
                <w:color w:val="auto"/>
                <w:highlight w:val="none"/>
                <w:lang w:eastAsia="zh-CN"/>
              </w:rPr>
              <w:t>现场清理必须及时。</w:t>
            </w:r>
          </w:p>
          <w:p>
            <w:pPr>
              <w:rPr>
                <w:color w:val="auto"/>
                <w:highlight w:val="none"/>
                <w:lang w:eastAsia="zh-CN"/>
              </w:rPr>
            </w:pPr>
            <w:r>
              <w:rPr>
                <w:rFonts w:hint="eastAsia"/>
                <w:color w:val="auto"/>
                <w:highlight w:val="none"/>
                <w:lang w:eastAsia="zh-CN"/>
              </w:rPr>
              <w:t>按装饰工程施工验收规范。</w:t>
            </w:r>
          </w:p>
          <w:p>
            <w:pPr>
              <w:rPr>
                <w:color w:val="auto"/>
                <w:highlight w:val="none"/>
                <w:lang w:eastAsia="zh-CN"/>
              </w:rPr>
            </w:pPr>
          </w:p>
          <w:p>
            <w:pPr>
              <w:rPr>
                <w:color w:val="auto"/>
                <w:highlight w:val="none"/>
                <w:lang w:eastAsia="zh-CN"/>
              </w:rPr>
            </w:pPr>
            <w:r>
              <w:rPr>
                <w:color w:val="auto"/>
                <w:highlight w:val="none"/>
                <w:lang w:eastAsia="zh-CN"/>
              </w:rPr>
              <w:t>2.2</w:t>
            </w:r>
            <w:r>
              <w:rPr>
                <w:rFonts w:hint="eastAsia"/>
                <w:color w:val="auto"/>
                <w:highlight w:val="none"/>
                <w:lang w:eastAsia="zh-CN"/>
              </w:rPr>
              <w:t>、手术室预喷涂电解钢板墙面</w:t>
            </w:r>
          </w:p>
          <w:p>
            <w:pPr>
              <w:rPr>
                <w:color w:val="auto"/>
                <w:highlight w:val="none"/>
                <w:lang w:eastAsia="zh-CN"/>
              </w:rPr>
            </w:pPr>
            <w:r>
              <w:rPr>
                <w:rFonts w:hint="eastAsia"/>
                <w:color w:val="auto"/>
                <w:highlight w:val="none"/>
                <w:lang w:eastAsia="zh-CN"/>
              </w:rPr>
              <w:t>工程做法：</w:t>
            </w:r>
          </w:p>
          <w:p>
            <w:pPr>
              <w:rPr>
                <w:color w:val="auto"/>
                <w:highlight w:val="none"/>
                <w:lang w:eastAsia="zh-CN"/>
              </w:rPr>
            </w:pPr>
            <w:r>
              <w:rPr>
                <w:rFonts w:hint="eastAsia"/>
                <w:color w:val="auto"/>
                <w:highlight w:val="none"/>
                <w:lang w:eastAsia="zh-CN"/>
              </w:rPr>
              <w:t>手术室龙骨采用镀锌龙骨，</w:t>
            </w:r>
            <w:r>
              <w:rPr>
                <w:color w:val="auto"/>
                <w:highlight w:val="none"/>
                <w:lang w:eastAsia="zh-CN"/>
              </w:rPr>
              <w:t>1.2</w:t>
            </w:r>
            <w:r>
              <w:rPr>
                <w:rFonts w:hint="eastAsia"/>
                <w:color w:val="auto"/>
                <w:highlight w:val="none"/>
                <w:lang w:eastAsia="zh-CN"/>
              </w:rPr>
              <w:t>厚电解钢板，背衬</w:t>
            </w:r>
            <w:r>
              <w:rPr>
                <w:color w:val="auto"/>
                <w:highlight w:val="none"/>
                <w:lang w:eastAsia="zh-CN"/>
              </w:rPr>
              <w:t>石膏板</w:t>
            </w:r>
            <w:r>
              <w:rPr>
                <w:rFonts w:hint="eastAsia"/>
                <w:color w:val="auto"/>
                <w:highlight w:val="none"/>
                <w:lang w:eastAsia="zh-CN"/>
              </w:rPr>
              <w:t>，工厂加工成型（折边、开孔、加强龙骨），高压静电喷涂，热处理。现场挂板，调平、调直、螺栓固定，板缝打墙面近色的中性耐候硅酮密封胶。</w:t>
            </w:r>
          </w:p>
          <w:p>
            <w:pPr>
              <w:rPr>
                <w:color w:val="auto"/>
                <w:highlight w:val="none"/>
                <w:lang w:eastAsia="zh-CN"/>
              </w:rPr>
            </w:pPr>
          </w:p>
          <w:p>
            <w:pPr>
              <w:rPr>
                <w:color w:val="auto"/>
                <w:highlight w:val="none"/>
                <w:lang w:eastAsia="zh-CN"/>
              </w:rPr>
            </w:pPr>
            <w:r>
              <w:rPr>
                <w:rFonts w:hint="eastAsia"/>
                <w:color w:val="auto"/>
                <w:highlight w:val="none"/>
                <w:lang w:eastAsia="zh-CN"/>
              </w:rPr>
              <w:t>施工工序：</w:t>
            </w:r>
            <w:r>
              <w:rPr>
                <w:color w:val="auto"/>
                <w:highlight w:val="none"/>
                <w:lang w:eastAsia="zh-CN"/>
              </w:rPr>
              <w:t xml:space="preserve"> </w:t>
            </w:r>
          </w:p>
          <w:p>
            <w:pPr>
              <w:rPr>
                <w:color w:val="auto"/>
                <w:highlight w:val="none"/>
                <w:lang w:eastAsia="zh-CN"/>
              </w:rPr>
            </w:pPr>
            <w:r>
              <w:rPr>
                <w:rFonts w:hint="eastAsia"/>
                <w:color w:val="auto"/>
                <w:highlight w:val="none"/>
                <w:lang w:eastAsia="zh-CN"/>
              </w:rPr>
              <w:t>隔断龙骨安装：上下及两边基体连接处弹线定位。安装龙骨边线应与弹线一致。</w:t>
            </w:r>
          </w:p>
          <w:p>
            <w:pPr>
              <w:rPr>
                <w:color w:val="auto"/>
                <w:highlight w:val="none"/>
                <w:lang w:eastAsia="zh-CN"/>
              </w:rPr>
            </w:pPr>
            <w:r>
              <w:rPr>
                <w:rFonts w:hint="eastAsia"/>
                <w:color w:val="auto"/>
                <w:highlight w:val="none"/>
                <w:lang w:eastAsia="zh-CN"/>
              </w:rPr>
              <w:t>在地龙骨与地接触处，按规定间距用电钻打眼塞膨胀螺栓，将地龙骨固定地面。</w:t>
            </w:r>
          </w:p>
          <w:p>
            <w:pPr>
              <w:rPr>
                <w:color w:val="auto"/>
                <w:highlight w:val="none"/>
                <w:lang w:eastAsia="zh-CN"/>
              </w:rPr>
            </w:pPr>
            <w:r>
              <w:rPr>
                <w:rFonts w:hint="eastAsia"/>
                <w:color w:val="auto"/>
                <w:highlight w:val="none"/>
                <w:lang w:eastAsia="zh-CN"/>
              </w:rPr>
              <w:t>射钉按中距</w:t>
            </w:r>
            <w:r>
              <w:rPr>
                <w:color w:val="auto"/>
                <w:highlight w:val="none"/>
                <w:lang w:eastAsia="zh-CN"/>
              </w:rPr>
              <w:t>0.6</w:t>
            </w:r>
            <w:r>
              <w:rPr>
                <w:rFonts w:hint="eastAsia"/>
                <w:color w:val="auto"/>
                <w:highlight w:val="none"/>
                <w:lang w:eastAsia="zh-CN"/>
              </w:rPr>
              <w:t>～</w:t>
            </w:r>
            <w:r>
              <w:rPr>
                <w:color w:val="auto"/>
                <w:highlight w:val="none"/>
                <w:lang w:eastAsia="zh-CN"/>
              </w:rPr>
              <w:t>1.0m</w:t>
            </w:r>
            <w:r>
              <w:rPr>
                <w:rFonts w:hint="eastAsia"/>
                <w:color w:val="auto"/>
                <w:highlight w:val="none"/>
                <w:lang w:eastAsia="zh-CN"/>
              </w:rPr>
              <w:t>的间距布置，水平方向不大于</w:t>
            </w:r>
            <w:r>
              <w:rPr>
                <w:color w:val="auto"/>
                <w:highlight w:val="none"/>
                <w:lang w:eastAsia="zh-CN"/>
              </w:rPr>
              <w:t>0.8m</w:t>
            </w:r>
            <w:r>
              <w:rPr>
                <w:rFonts w:hint="eastAsia"/>
                <w:color w:val="auto"/>
                <w:highlight w:val="none"/>
                <w:lang w:eastAsia="zh-CN"/>
              </w:rPr>
              <w:t>。垂直方向不大于</w:t>
            </w:r>
            <w:r>
              <w:rPr>
                <w:color w:val="auto"/>
                <w:highlight w:val="none"/>
                <w:lang w:eastAsia="zh-CN"/>
              </w:rPr>
              <w:t>1.0m</w:t>
            </w:r>
            <w:r>
              <w:rPr>
                <w:rFonts w:hint="eastAsia"/>
                <w:color w:val="auto"/>
                <w:highlight w:val="none"/>
                <w:lang w:eastAsia="zh-CN"/>
              </w:rPr>
              <w:t>。射钉射入基体的最佳厚度：混凝土为</w:t>
            </w:r>
            <w:r>
              <w:rPr>
                <w:color w:val="auto"/>
                <w:highlight w:val="none"/>
                <w:lang w:eastAsia="zh-CN"/>
              </w:rPr>
              <w:t>22</w:t>
            </w:r>
            <w:r>
              <w:rPr>
                <w:rFonts w:hint="eastAsia"/>
                <w:color w:val="auto"/>
                <w:highlight w:val="none"/>
                <w:lang w:eastAsia="zh-CN"/>
              </w:rPr>
              <w:t>～</w:t>
            </w:r>
            <w:r>
              <w:rPr>
                <w:color w:val="auto"/>
                <w:highlight w:val="none"/>
                <w:lang w:eastAsia="zh-CN"/>
              </w:rPr>
              <w:t>23</w:t>
            </w:r>
            <w:r>
              <w:rPr>
                <w:rFonts w:hint="eastAsia"/>
                <w:color w:val="auto"/>
                <w:highlight w:val="none"/>
                <w:lang w:eastAsia="zh-CN"/>
              </w:rPr>
              <w:t>㎜。</w:t>
            </w:r>
          </w:p>
          <w:p>
            <w:pPr>
              <w:rPr>
                <w:color w:val="auto"/>
                <w:highlight w:val="none"/>
                <w:lang w:eastAsia="zh-CN"/>
              </w:rPr>
            </w:pPr>
          </w:p>
          <w:p>
            <w:pPr>
              <w:rPr>
                <w:color w:val="auto"/>
                <w:highlight w:val="none"/>
                <w:lang w:eastAsia="zh-CN"/>
              </w:rPr>
            </w:pPr>
            <w:r>
              <w:rPr>
                <w:rFonts w:hint="eastAsia"/>
                <w:color w:val="auto"/>
                <w:highlight w:val="none"/>
                <w:lang w:eastAsia="zh-CN"/>
              </w:rPr>
              <w:t>放线确定竖龙骨位置，临时固定，安装顶龙骨，并确定顶龙骨水平度，临时固定，用经纬仪或线捶确定龙骨垂直度，并对龙骨进行固定，安装其他制作好竖龙骨，逐一校正其垂直度，并按同样方法安装水平龙骨。水平断面允许偏差小于</w:t>
            </w:r>
            <w:r>
              <w:rPr>
                <w:color w:val="auto"/>
                <w:highlight w:val="none"/>
                <w:lang w:eastAsia="zh-CN"/>
              </w:rPr>
              <w:t>2</w:t>
            </w:r>
            <w:r>
              <w:rPr>
                <w:rFonts w:hint="eastAsia"/>
                <w:color w:val="auto"/>
                <w:highlight w:val="none"/>
                <w:lang w:eastAsia="zh-CN"/>
              </w:rPr>
              <w:t>㎜，垂直断面允许偏差小于</w:t>
            </w:r>
            <w:r>
              <w:rPr>
                <w:color w:val="auto"/>
                <w:highlight w:val="none"/>
                <w:lang w:eastAsia="zh-CN"/>
              </w:rPr>
              <w:t>2</w:t>
            </w:r>
            <w:r>
              <w:rPr>
                <w:rFonts w:hint="eastAsia"/>
                <w:color w:val="auto"/>
                <w:highlight w:val="none"/>
                <w:lang w:eastAsia="zh-CN"/>
              </w:rPr>
              <w:t>㎜。</w:t>
            </w:r>
          </w:p>
          <w:p>
            <w:pPr>
              <w:rPr>
                <w:color w:val="auto"/>
                <w:highlight w:val="none"/>
                <w:lang w:eastAsia="zh-CN"/>
              </w:rPr>
            </w:pPr>
          </w:p>
          <w:p>
            <w:pPr>
              <w:rPr>
                <w:color w:val="auto"/>
                <w:highlight w:val="none"/>
                <w:lang w:eastAsia="zh-CN"/>
              </w:rPr>
            </w:pPr>
            <w:r>
              <w:rPr>
                <w:rFonts w:hint="eastAsia"/>
                <w:color w:val="auto"/>
                <w:highlight w:val="none"/>
                <w:lang w:eastAsia="zh-CN"/>
              </w:rPr>
              <w:t>对有嵌入设备器材的位置应对墙面龙骨进行加强。</w:t>
            </w:r>
          </w:p>
          <w:p>
            <w:pPr>
              <w:rPr>
                <w:color w:val="auto"/>
                <w:highlight w:val="none"/>
                <w:lang w:eastAsia="zh-CN"/>
              </w:rPr>
            </w:pPr>
            <w:r>
              <w:rPr>
                <w:rFonts w:hint="eastAsia"/>
                <w:color w:val="auto"/>
                <w:highlight w:val="none"/>
                <w:lang w:eastAsia="zh-CN"/>
              </w:rPr>
              <w:t>墙体、吊顶内各种管道、管线安装完毕，嵌入器材安装完毕或位置校正无误后并经过隐蔽工程验收后，开始挂金属墙面。</w:t>
            </w:r>
          </w:p>
          <w:p>
            <w:pPr>
              <w:rPr>
                <w:color w:val="auto"/>
                <w:highlight w:val="none"/>
                <w:lang w:eastAsia="zh-CN"/>
              </w:rPr>
            </w:pPr>
            <w:r>
              <w:rPr>
                <w:rFonts w:hint="eastAsia"/>
                <w:color w:val="auto"/>
                <w:highlight w:val="none"/>
                <w:lang w:eastAsia="zh-CN"/>
              </w:rPr>
              <w:t>金属板墙面按从中间向两边的顺序安装，调平、调直，两板板缝应均匀控制在小于</w:t>
            </w:r>
            <w:r>
              <w:rPr>
                <w:color w:val="auto"/>
                <w:highlight w:val="none"/>
                <w:lang w:eastAsia="zh-CN"/>
              </w:rPr>
              <w:t>8-10mm</w:t>
            </w:r>
            <w:r>
              <w:rPr>
                <w:rFonts w:hint="eastAsia"/>
                <w:color w:val="auto"/>
                <w:highlight w:val="none"/>
                <w:lang w:eastAsia="zh-CN"/>
              </w:rPr>
              <w:t>。撕去、清除钢板保护膜。</w:t>
            </w:r>
          </w:p>
          <w:p>
            <w:pPr>
              <w:rPr>
                <w:color w:val="auto"/>
                <w:highlight w:val="none"/>
                <w:lang w:eastAsia="zh-CN"/>
              </w:rPr>
            </w:pPr>
            <w:r>
              <w:rPr>
                <w:rFonts w:hint="eastAsia"/>
                <w:color w:val="auto"/>
                <w:highlight w:val="none"/>
                <w:lang w:eastAsia="zh-CN"/>
              </w:rPr>
              <w:t>板缝清理，打中性硅酮密封胶。</w:t>
            </w:r>
          </w:p>
          <w:p>
            <w:pPr>
              <w:rPr>
                <w:color w:val="auto"/>
                <w:highlight w:val="none"/>
                <w:lang w:eastAsia="zh-CN"/>
              </w:rPr>
            </w:pPr>
            <w:r>
              <w:rPr>
                <w:rFonts w:hint="eastAsia"/>
                <w:color w:val="auto"/>
                <w:highlight w:val="none"/>
                <w:lang w:eastAsia="zh-CN"/>
              </w:rPr>
              <w:t>质量检验与工程验收</w:t>
            </w:r>
          </w:p>
          <w:p>
            <w:pPr>
              <w:rPr>
                <w:color w:val="auto"/>
                <w:highlight w:val="none"/>
                <w:lang w:eastAsia="zh-CN"/>
              </w:rPr>
            </w:pPr>
            <w:r>
              <w:rPr>
                <w:rFonts w:hint="eastAsia"/>
                <w:color w:val="auto"/>
                <w:highlight w:val="none"/>
                <w:lang w:eastAsia="zh-CN"/>
              </w:rPr>
              <w:t>龙骨、墙板按</w:t>
            </w:r>
            <w:r>
              <w:rPr>
                <w:color w:val="auto"/>
                <w:highlight w:val="none"/>
                <w:lang w:eastAsia="zh-CN"/>
              </w:rPr>
              <w:t>10%</w:t>
            </w:r>
            <w:r>
              <w:rPr>
                <w:rFonts w:hint="eastAsia"/>
                <w:color w:val="auto"/>
                <w:highlight w:val="none"/>
                <w:lang w:eastAsia="zh-CN"/>
              </w:rPr>
              <w:t>抽查，外观平直度检查，壁厚检查。</w:t>
            </w:r>
          </w:p>
          <w:p>
            <w:pPr>
              <w:rPr>
                <w:color w:val="auto"/>
                <w:highlight w:val="none"/>
                <w:lang w:eastAsia="zh-CN"/>
              </w:rPr>
            </w:pPr>
            <w:r>
              <w:rPr>
                <w:rFonts w:hint="eastAsia"/>
                <w:color w:val="auto"/>
                <w:highlight w:val="none"/>
                <w:lang w:eastAsia="zh-CN"/>
              </w:rPr>
              <w:t>检查工程所用材料的品种、规格、颜色、基层构造、固定方法等是否符合设计要求。</w:t>
            </w:r>
          </w:p>
          <w:p>
            <w:pPr>
              <w:rPr>
                <w:color w:val="auto"/>
                <w:highlight w:val="none"/>
                <w:lang w:eastAsia="zh-CN"/>
              </w:rPr>
            </w:pPr>
            <w:r>
              <w:rPr>
                <w:rFonts w:hint="eastAsia"/>
                <w:color w:val="auto"/>
                <w:highlight w:val="none"/>
                <w:lang w:eastAsia="zh-CN"/>
              </w:rPr>
              <w:t>龙骨安装位置、安装水平垂直度</w:t>
            </w:r>
            <w:r>
              <w:rPr>
                <w:color w:val="auto"/>
                <w:highlight w:val="none"/>
                <w:lang w:eastAsia="zh-CN"/>
              </w:rPr>
              <w:t>100%</w:t>
            </w:r>
            <w:r>
              <w:rPr>
                <w:rFonts w:hint="eastAsia"/>
                <w:color w:val="auto"/>
                <w:highlight w:val="none"/>
                <w:lang w:eastAsia="zh-CN"/>
              </w:rPr>
              <w:t>检查。</w:t>
            </w:r>
          </w:p>
          <w:p>
            <w:pPr>
              <w:rPr>
                <w:color w:val="auto"/>
                <w:highlight w:val="none"/>
                <w:lang w:eastAsia="zh-CN"/>
              </w:rPr>
            </w:pPr>
            <w:r>
              <w:rPr>
                <w:rFonts w:hint="eastAsia"/>
                <w:color w:val="auto"/>
                <w:highlight w:val="none"/>
                <w:lang w:eastAsia="zh-CN"/>
              </w:rPr>
              <w:t>面板与龙骨应连接紧密，表面应平整，不得有污染、折裂、缺棱掉角、锤伤等缺陷，接缝应均匀一致，粘贴的罩面板不得有脱层。</w:t>
            </w:r>
          </w:p>
          <w:p>
            <w:pPr>
              <w:rPr>
                <w:color w:val="auto"/>
                <w:highlight w:val="none"/>
                <w:lang w:eastAsia="zh-CN"/>
              </w:rPr>
            </w:pPr>
            <w:r>
              <w:rPr>
                <w:rFonts w:hint="eastAsia"/>
                <w:color w:val="auto"/>
                <w:highlight w:val="none"/>
                <w:lang w:eastAsia="zh-CN"/>
              </w:rPr>
              <w:t>板材平整度，表面检查，不得有鼓包，凹陷等，板边应平直，不得翘曲。</w:t>
            </w:r>
          </w:p>
          <w:p>
            <w:pPr>
              <w:rPr>
                <w:color w:val="auto"/>
                <w:highlight w:val="none"/>
                <w:lang w:eastAsia="zh-CN"/>
              </w:rPr>
            </w:pPr>
            <w:r>
              <w:rPr>
                <w:rFonts w:hint="eastAsia"/>
                <w:color w:val="auto"/>
                <w:highlight w:val="none"/>
                <w:lang w:eastAsia="zh-CN"/>
              </w:rPr>
              <w:t>墙面板工程质量的允许偏差应符合平整度≤</w:t>
            </w:r>
            <w:r>
              <w:rPr>
                <w:color w:val="auto"/>
                <w:highlight w:val="none"/>
                <w:lang w:eastAsia="zh-CN"/>
              </w:rPr>
              <w:t>2</w:t>
            </w:r>
            <w:r>
              <w:rPr>
                <w:rFonts w:hint="eastAsia"/>
                <w:color w:val="auto"/>
                <w:highlight w:val="none"/>
                <w:lang w:eastAsia="zh-CN"/>
              </w:rPr>
              <w:t>㎜（</w:t>
            </w:r>
            <w:r>
              <w:rPr>
                <w:color w:val="auto"/>
                <w:highlight w:val="none"/>
                <w:lang w:eastAsia="zh-CN"/>
              </w:rPr>
              <w:t>2m</w:t>
            </w:r>
            <w:r>
              <w:rPr>
                <w:rFonts w:hint="eastAsia"/>
                <w:color w:val="auto"/>
                <w:highlight w:val="none"/>
                <w:lang w:eastAsia="zh-CN"/>
              </w:rPr>
              <w:t>靠尺下）。</w:t>
            </w:r>
          </w:p>
          <w:p>
            <w:pPr>
              <w:rPr>
                <w:color w:val="auto"/>
                <w:highlight w:val="none"/>
                <w:lang w:eastAsia="zh-CN"/>
              </w:rPr>
            </w:pPr>
            <w:r>
              <w:rPr>
                <w:rFonts w:hint="eastAsia"/>
                <w:color w:val="auto"/>
                <w:highlight w:val="none"/>
                <w:lang w:eastAsia="zh-CN"/>
              </w:rPr>
              <w:t>钢板表面光洁、平整，色泽均匀，无色差。</w:t>
            </w:r>
          </w:p>
          <w:p>
            <w:pPr>
              <w:rPr>
                <w:color w:val="auto"/>
                <w:highlight w:val="none"/>
                <w:lang w:eastAsia="zh-CN"/>
              </w:rPr>
            </w:pPr>
            <w:r>
              <w:rPr>
                <w:rFonts w:hint="eastAsia"/>
                <w:color w:val="auto"/>
                <w:highlight w:val="none"/>
                <w:lang w:eastAsia="zh-CN"/>
              </w:rPr>
              <w:t>胶缝宽度统一均匀，为</w:t>
            </w:r>
            <w:r>
              <w:rPr>
                <w:color w:val="auto"/>
                <w:highlight w:val="none"/>
                <w:lang w:eastAsia="zh-CN"/>
              </w:rPr>
              <w:t xml:space="preserve"> 8-10</w:t>
            </w:r>
            <w:r>
              <w:rPr>
                <w:rFonts w:hint="eastAsia"/>
                <w:color w:val="auto"/>
                <w:highlight w:val="none"/>
                <w:lang w:eastAsia="zh-CN"/>
              </w:rPr>
              <w:t>之间，注胶饱满，无脱落，保证密封度。</w:t>
            </w:r>
          </w:p>
          <w:p>
            <w:pPr>
              <w:rPr>
                <w:color w:val="auto"/>
                <w:highlight w:val="none"/>
                <w:lang w:eastAsia="zh-CN"/>
              </w:rPr>
            </w:pPr>
            <w:r>
              <w:rPr>
                <w:rFonts w:hint="eastAsia"/>
                <w:color w:val="auto"/>
                <w:highlight w:val="none"/>
                <w:lang w:eastAsia="zh-CN"/>
              </w:rPr>
              <w:t>按装饰工程施工验收规范。</w:t>
            </w:r>
          </w:p>
          <w:p>
            <w:pPr>
              <w:rPr>
                <w:color w:val="auto"/>
                <w:highlight w:val="none"/>
                <w:lang w:eastAsia="zh-CN"/>
              </w:rPr>
            </w:pPr>
          </w:p>
          <w:p>
            <w:pPr>
              <w:rPr>
                <w:color w:val="auto"/>
                <w:highlight w:val="none"/>
                <w:lang w:eastAsia="zh-CN"/>
              </w:rPr>
            </w:pPr>
            <w:r>
              <w:rPr>
                <w:color w:val="auto"/>
                <w:highlight w:val="none"/>
                <w:lang w:eastAsia="zh-CN"/>
              </w:rPr>
              <w:t>2.3</w:t>
            </w:r>
            <w:r>
              <w:rPr>
                <w:rFonts w:hint="eastAsia"/>
                <w:color w:val="auto"/>
                <w:highlight w:val="none"/>
                <w:lang w:eastAsia="zh-CN"/>
              </w:rPr>
              <w:t>、无菌涂料墙面</w:t>
            </w:r>
          </w:p>
          <w:p>
            <w:pPr>
              <w:rPr>
                <w:color w:val="auto"/>
                <w:highlight w:val="none"/>
                <w:lang w:eastAsia="zh-CN"/>
              </w:rPr>
            </w:pPr>
            <w:r>
              <w:rPr>
                <w:rFonts w:hint="eastAsia"/>
                <w:color w:val="auto"/>
                <w:highlight w:val="none"/>
                <w:lang w:eastAsia="zh-CN"/>
              </w:rPr>
              <w:t>工程做法：</w:t>
            </w:r>
          </w:p>
          <w:p>
            <w:pPr>
              <w:rPr>
                <w:color w:val="auto"/>
                <w:highlight w:val="none"/>
                <w:lang w:eastAsia="zh-CN"/>
              </w:rPr>
            </w:pPr>
            <w:r>
              <w:rPr>
                <w:rFonts w:hint="eastAsia"/>
                <w:color w:val="auto"/>
                <w:highlight w:val="none"/>
                <w:lang w:eastAsia="zh-CN"/>
              </w:rPr>
              <w:t>土建墙体抹灰面基层处理：先将装修表面上的灰块，浮渣等杂物用开刀铲除，如表面有油污，应用清洗剂和清水洗净，干燥后再用棕刷将表面灰尘清扫干净；表面清扫后，用腻子将墙面麻面、蜂窝、洞眼、残缺处填补好。腻子干透后，先用开刀将多余腻子铲平整，然后用粗砂纸打磨平整；另外，底面必须是干燥的和满足以下要求：</w:t>
            </w:r>
            <w:r>
              <w:rPr>
                <w:color w:val="auto"/>
                <w:highlight w:val="none"/>
                <w:lang w:eastAsia="zh-CN"/>
              </w:rPr>
              <w:t xml:space="preserve">a </w:t>
            </w:r>
            <w:r>
              <w:rPr>
                <w:rFonts w:hint="eastAsia"/>
                <w:color w:val="auto"/>
                <w:highlight w:val="none"/>
                <w:lang w:eastAsia="zh-CN"/>
              </w:rPr>
              <w:t>）抹灰底面不少于</w:t>
            </w:r>
            <w:r>
              <w:rPr>
                <w:color w:val="auto"/>
                <w:highlight w:val="none"/>
                <w:lang w:eastAsia="zh-CN"/>
              </w:rPr>
              <w:t>14</w:t>
            </w:r>
            <w:r>
              <w:rPr>
                <w:rFonts w:hint="eastAsia"/>
                <w:color w:val="auto"/>
                <w:highlight w:val="none"/>
                <w:lang w:eastAsia="zh-CN"/>
              </w:rPr>
              <w:t>天；</w:t>
            </w:r>
            <w:r>
              <w:rPr>
                <w:color w:val="auto"/>
                <w:highlight w:val="none"/>
                <w:lang w:eastAsia="zh-CN"/>
              </w:rPr>
              <w:t>b</w:t>
            </w:r>
            <w:r>
              <w:rPr>
                <w:rFonts w:hint="eastAsia"/>
                <w:color w:val="auto"/>
                <w:highlight w:val="none"/>
                <w:lang w:eastAsia="zh-CN"/>
              </w:rPr>
              <w:t>）</w:t>
            </w:r>
            <w:r>
              <w:rPr>
                <w:color w:val="auto"/>
                <w:highlight w:val="none"/>
                <w:lang w:eastAsia="zh-CN"/>
              </w:rPr>
              <w:t xml:space="preserve"> </w:t>
            </w:r>
            <w:r>
              <w:rPr>
                <w:rFonts w:hint="eastAsia"/>
                <w:color w:val="auto"/>
                <w:highlight w:val="none"/>
                <w:lang w:eastAsia="zh-CN"/>
              </w:rPr>
              <w:t>除非是特别要求改变上述条件的除外。</w:t>
            </w:r>
          </w:p>
          <w:p>
            <w:pPr>
              <w:rPr>
                <w:color w:val="auto"/>
                <w:highlight w:val="none"/>
                <w:lang w:eastAsia="zh-CN"/>
              </w:rPr>
            </w:pPr>
            <w:r>
              <w:rPr>
                <w:rFonts w:hint="eastAsia"/>
                <w:color w:val="auto"/>
                <w:highlight w:val="none"/>
                <w:lang w:eastAsia="zh-CN"/>
              </w:rPr>
              <w:t>满刮两遍腻子：第一遍应用胶皮刮板满刮，要求横向刮抹平整、均匀、光滑，密实平整，线角及边棱整齐为度。尽量刮薄，不得漏刮，接头不得留槎，注意不要沾污门窗框及其他部位，否则应及时清理。待第一遍腻子干透后，用粗砂纸打磨平整。注意操作要平衡，保护棱角，磨后用棕扫帚清扫干净；第二遍满刮腻子方法同第一遍，但刮抹方向与前腻子相垂直。然后用粗砂纸打磨平整，否则必须进行第三遍、第四遍，用</w:t>
            </w:r>
            <w:r>
              <w:rPr>
                <w:color w:val="auto"/>
                <w:highlight w:val="none"/>
                <w:lang w:eastAsia="zh-CN"/>
              </w:rPr>
              <w:t>300W</w:t>
            </w:r>
            <w:r>
              <w:rPr>
                <w:rFonts w:hint="eastAsia"/>
                <w:color w:val="auto"/>
                <w:highlight w:val="none"/>
                <w:lang w:eastAsia="zh-CN"/>
              </w:rPr>
              <w:t>太阳灯侧照墙面用粗砂纸打磨平整，最后用细砂纸打磨平整光滑为准。（墙面满刮三遍腻子，应采用具有耐磨加铁销的腻子。）</w:t>
            </w:r>
            <w:r>
              <w:rPr>
                <w:color w:val="auto"/>
                <w:highlight w:val="none"/>
                <w:lang w:eastAsia="zh-CN"/>
              </w:rPr>
              <w:t>2</w:t>
            </w:r>
            <w:r>
              <w:rPr>
                <w:rFonts w:hint="eastAsia"/>
                <w:color w:val="auto"/>
                <w:highlight w:val="none"/>
                <w:lang w:eastAsia="zh-CN"/>
              </w:rPr>
              <w:t>厚防水腻子，</w:t>
            </w:r>
            <w:r>
              <w:rPr>
                <w:color w:val="auto"/>
                <w:highlight w:val="none"/>
                <w:lang w:eastAsia="zh-CN"/>
              </w:rPr>
              <w:t>3</w:t>
            </w:r>
            <w:r>
              <w:rPr>
                <w:rFonts w:hint="eastAsia"/>
                <w:color w:val="auto"/>
                <w:highlight w:val="none"/>
                <w:lang w:eastAsia="zh-CN"/>
              </w:rPr>
              <w:t>厚防裂腻子，满刷氯偏乳液（或乳化光油）防潮涂料两道，纵横各一道。</w:t>
            </w:r>
          </w:p>
          <w:p>
            <w:pPr>
              <w:rPr>
                <w:color w:val="auto"/>
                <w:highlight w:val="none"/>
                <w:lang w:eastAsia="zh-CN"/>
              </w:rPr>
            </w:pPr>
            <w:r>
              <w:rPr>
                <w:rFonts w:hint="eastAsia"/>
                <w:color w:val="auto"/>
                <w:highlight w:val="none"/>
                <w:lang w:eastAsia="zh-CN"/>
              </w:rPr>
              <w:t>底层涂料：施工应在干燥、清洁、牢固的层表面上进行，喷涂一遍，涂层需均匀，不得漏涂。</w:t>
            </w:r>
          </w:p>
          <w:p>
            <w:pPr>
              <w:rPr>
                <w:color w:val="auto"/>
                <w:highlight w:val="none"/>
                <w:lang w:eastAsia="zh-CN"/>
              </w:rPr>
            </w:pPr>
            <w:r>
              <w:rPr>
                <w:rFonts w:hint="eastAsia"/>
                <w:color w:val="auto"/>
                <w:highlight w:val="none"/>
                <w:lang w:eastAsia="zh-CN"/>
              </w:rPr>
              <w:t>中层涂料施工：涂刷第一遍中层涂料前如发现有不平整之处，用腻子补平磨光。涂料在使用前应用手提电动搅拌枪充分搅拌均匀。如稠度较大，可适当加清水稀释，但每次加水量需一致，不得稀稠不一。然后将涂料倒入托盘，用涂料滚子醮料涂刷第一遍。滚子应横向涂刷，然后再纵向滚压，将涂料赶开，涂平。滚涂顺序一般为从上到下，从左到右，先远后近，先边角棱角、小面后大面。要求厚薄均匀，防止涂料过多流坠。滚子涂不到有阴角处，需用毛刷补充，不得漏涂。要随时剔除沾在墙上的滚子毛。一面墙要一气呵成。避免接槎刷迹重叠现象，沾污到其他部位的涂料要及时用清水擦净。第一遍中层涂料施工后，一般需干燥</w:t>
            </w:r>
            <w:r>
              <w:rPr>
                <w:color w:val="auto"/>
                <w:highlight w:val="none"/>
                <w:lang w:eastAsia="zh-CN"/>
              </w:rPr>
              <w:t>4h</w:t>
            </w:r>
            <w:r>
              <w:rPr>
                <w:rFonts w:hint="eastAsia"/>
                <w:color w:val="auto"/>
                <w:highlight w:val="none"/>
                <w:lang w:eastAsia="zh-CN"/>
              </w:rPr>
              <w:t>以上，才能进行下道磨光工序。如遇天气潮湿，应适当延长间隔时间。然后，用细砂纸进行打磨，打磨时用力要轻而匀，并不得磨穿涂层，磨的将表面清扫干净；第二遍中层涂产刷与第一遍相同，但不再磨光。涂刷后，应达到一般乳胶漆高级刷浆的要求；如果前面腻子和涂料底层处理的好可以不进行本层的深刷。</w:t>
            </w:r>
          </w:p>
          <w:p>
            <w:pPr>
              <w:rPr>
                <w:color w:val="auto"/>
                <w:highlight w:val="none"/>
                <w:lang w:eastAsia="zh-CN"/>
              </w:rPr>
            </w:pPr>
            <w:r>
              <w:rPr>
                <w:rFonts w:hint="eastAsia"/>
                <w:color w:val="auto"/>
                <w:highlight w:val="none"/>
                <w:lang w:eastAsia="zh-CN"/>
              </w:rPr>
              <w:t>无菌涂料（乳胶漆）面层喷涂：由于基层材质、齿期、碱性、干燥程度不同，应预先在局部墙面上进行试喷，以确定基层与涂料的相容情况，并同时确定合适的涂布量；乳胶漆涂料在使用前要充分摇动容器，使其充分混合均匀，然后打开容器，用木棍充分搅拌；喷涂时，嘴应始终保持与装饰表垂直（尤其在阴角处），距离约为</w:t>
            </w:r>
            <w:r>
              <w:rPr>
                <w:color w:val="auto"/>
                <w:highlight w:val="none"/>
                <w:lang w:eastAsia="zh-CN"/>
              </w:rPr>
              <w:t>0.3-0.5m(</w:t>
            </w:r>
            <w:r>
              <w:rPr>
                <w:rFonts w:hint="eastAsia"/>
                <w:color w:val="auto"/>
                <w:highlight w:val="none"/>
                <w:lang w:eastAsia="zh-CN"/>
              </w:rPr>
              <w:t>根据装修面大小调整</w:t>
            </w:r>
            <w:r>
              <w:rPr>
                <w:color w:val="auto"/>
                <w:highlight w:val="none"/>
                <w:lang w:eastAsia="zh-CN"/>
              </w:rPr>
              <w:t>)</w:t>
            </w:r>
            <w:r>
              <w:rPr>
                <w:rFonts w:hint="eastAsia"/>
                <w:color w:val="auto"/>
                <w:highlight w:val="none"/>
                <w:lang w:eastAsia="zh-CN"/>
              </w:rPr>
              <w:t>，喷嘴压力为</w:t>
            </w:r>
            <w:r>
              <w:rPr>
                <w:color w:val="auto"/>
                <w:highlight w:val="none"/>
                <w:lang w:eastAsia="zh-CN"/>
              </w:rPr>
              <w:t>0.2-0.3mm2</w:t>
            </w:r>
            <w:r>
              <w:rPr>
                <w:rFonts w:hint="eastAsia"/>
                <w:color w:val="auto"/>
                <w:highlight w:val="none"/>
                <w:lang w:eastAsia="zh-CN"/>
              </w:rPr>
              <w:t>喷枪呈</w:t>
            </w:r>
            <w:r>
              <w:rPr>
                <w:color w:val="auto"/>
                <w:highlight w:val="none"/>
                <w:lang w:eastAsia="zh-CN"/>
              </w:rPr>
              <w:t>Z</w:t>
            </w:r>
            <w:r>
              <w:rPr>
                <w:rFonts w:hint="eastAsia"/>
                <w:color w:val="auto"/>
                <w:highlight w:val="none"/>
                <w:lang w:eastAsia="zh-CN"/>
              </w:rPr>
              <w:t>字形向前推进，横纵交叉进行。喷枪移动要平衡涂布量要一致，不得时停时移，跳跃前进，以免发生堆料、流挂或漏喷现象；为提高喷涂效率和质量，喷涂顺序应安：墙面部位、柱部位、预面部位、门窗部位，该顺序应灵活掌握，以不增重复遮挡和不影响已完成的饰面为准；</w:t>
            </w:r>
          </w:p>
          <w:p>
            <w:pPr>
              <w:rPr>
                <w:color w:val="auto"/>
                <w:highlight w:val="none"/>
                <w:lang w:eastAsia="zh-CN"/>
              </w:rPr>
            </w:pPr>
            <w:r>
              <w:rPr>
                <w:rFonts w:hint="eastAsia"/>
                <w:color w:val="auto"/>
                <w:highlight w:val="none"/>
                <w:lang w:eastAsia="zh-CN"/>
              </w:rPr>
              <w:t>清扫：清除遮挡物，清扫飞溅物料。</w:t>
            </w:r>
          </w:p>
          <w:p>
            <w:pPr>
              <w:rPr>
                <w:color w:val="auto"/>
                <w:highlight w:val="none"/>
                <w:lang w:eastAsia="zh-CN"/>
              </w:rPr>
            </w:pPr>
            <w:r>
              <w:rPr>
                <w:rFonts w:hint="eastAsia"/>
                <w:color w:val="auto"/>
                <w:highlight w:val="none"/>
                <w:lang w:eastAsia="zh-CN"/>
              </w:rPr>
              <w:t>质量检验与工程验收</w:t>
            </w:r>
          </w:p>
          <w:p>
            <w:pPr>
              <w:rPr>
                <w:color w:val="auto"/>
                <w:highlight w:val="none"/>
                <w:lang w:eastAsia="zh-CN"/>
              </w:rPr>
            </w:pPr>
            <w:r>
              <w:rPr>
                <w:rFonts w:hint="eastAsia"/>
                <w:color w:val="auto"/>
                <w:highlight w:val="none"/>
                <w:lang w:eastAsia="zh-CN"/>
              </w:rPr>
              <w:t>承包人在进行涂漆工程前，必须向建筑设计师提交漆料样本及资质证明，供建筑设计师审查批准。建筑设计师可要求总承包提供颜色样本，以审查涂漆质量效果、色差及工艺，批准后才可进行涂漆工作。颜色样本可以是涂在</w:t>
            </w:r>
            <w:r>
              <w:rPr>
                <w:color w:val="auto"/>
                <w:highlight w:val="none"/>
                <w:lang w:eastAsia="zh-CN"/>
              </w:rPr>
              <w:t>300</w:t>
            </w:r>
            <w:r>
              <w:rPr>
                <w:rFonts w:hint="eastAsia"/>
                <w:color w:val="auto"/>
                <w:highlight w:val="none"/>
                <w:lang w:eastAsia="zh-CN"/>
              </w:rPr>
              <w:t>×</w:t>
            </w:r>
            <w:r>
              <w:rPr>
                <w:color w:val="auto"/>
                <w:highlight w:val="none"/>
                <w:lang w:eastAsia="zh-CN"/>
              </w:rPr>
              <w:t>300mm</w:t>
            </w:r>
            <w:r>
              <w:rPr>
                <w:rFonts w:hint="eastAsia"/>
                <w:color w:val="auto"/>
                <w:highlight w:val="none"/>
                <w:lang w:eastAsia="zh-CN"/>
              </w:rPr>
              <w:t>木夹板上或在指定的工地现场作较大面积的样本做实地检查。颜色样本的涂漆工序必须按所有规定完成。所有各种涂漆样本的制作及付运费用须由承包人负担。</w:t>
            </w:r>
          </w:p>
          <w:p>
            <w:pPr>
              <w:rPr>
                <w:color w:val="auto"/>
                <w:highlight w:val="none"/>
                <w:lang w:eastAsia="zh-CN"/>
              </w:rPr>
            </w:pPr>
            <w:r>
              <w:rPr>
                <w:rFonts w:hint="eastAsia"/>
                <w:color w:val="auto"/>
                <w:highlight w:val="none"/>
                <w:lang w:eastAsia="zh-CN"/>
              </w:rPr>
              <w:t>基底表面应打磨平整、清理干净，无浮尘。</w:t>
            </w:r>
          </w:p>
          <w:p>
            <w:pPr>
              <w:rPr>
                <w:color w:val="auto"/>
                <w:highlight w:val="none"/>
                <w:lang w:eastAsia="zh-CN"/>
              </w:rPr>
            </w:pPr>
            <w:r>
              <w:rPr>
                <w:rFonts w:hint="eastAsia"/>
                <w:color w:val="auto"/>
                <w:highlight w:val="none"/>
                <w:lang w:eastAsia="zh-CN"/>
              </w:rPr>
              <w:t>涂料应具有耐水、耐磨和耐酸碱特性。经</w:t>
            </w:r>
            <w:r>
              <w:rPr>
                <w:color w:val="auto"/>
                <w:highlight w:val="none"/>
                <w:lang w:eastAsia="zh-CN"/>
              </w:rPr>
              <w:t>96h</w:t>
            </w:r>
            <w:r>
              <w:rPr>
                <w:rFonts w:hint="eastAsia"/>
                <w:color w:val="auto"/>
                <w:highlight w:val="none"/>
                <w:lang w:eastAsia="zh-CN"/>
              </w:rPr>
              <w:t>浸泡不起泡脱落，耐洗刷达到</w:t>
            </w:r>
            <w:r>
              <w:rPr>
                <w:color w:val="auto"/>
                <w:highlight w:val="none"/>
                <w:lang w:eastAsia="zh-CN"/>
              </w:rPr>
              <w:t>300</w:t>
            </w:r>
            <w:r>
              <w:rPr>
                <w:rFonts w:hint="eastAsia"/>
                <w:color w:val="auto"/>
                <w:highlight w:val="none"/>
                <w:lang w:eastAsia="zh-CN"/>
              </w:rPr>
              <w:t>次以上无明显变化。当有防霉要求时，应在涂料中加入防霉剂，防霉涂料应按照《漆膜耐霉菌测定法》（</w:t>
            </w:r>
            <w:r>
              <w:rPr>
                <w:color w:val="auto"/>
                <w:highlight w:val="none"/>
                <w:lang w:eastAsia="zh-CN"/>
              </w:rPr>
              <w:t>GB1741</w:t>
            </w:r>
            <w:r>
              <w:rPr>
                <w:rFonts w:hint="eastAsia"/>
                <w:color w:val="auto"/>
                <w:highlight w:val="none"/>
                <w:lang w:eastAsia="zh-CN"/>
              </w:rPr>
              <w:t>）的规定，进行人工施菌培养</w:t>
            </w:r>
            <w:r>
              <w:rPr>
                <w:color w:val="auto"/>
                <w:highlight w:val="none"/>
                <w:lang w:eastAsia="zh-CN"/>
              </w:rPr>
              <w:t>7</w:t>
            </w:r>
            <w:r>
              <w:rPr>
                <w:rFonts w:hint="eastAsia"/>
                <w:color w:val="auto"/>
                <w:highlight w:val="none"/>
                <w:lang w:eastAsia="zh-CN"/>
              </w:rPr>
              <w:t>天后不长霉。</w:t>
            </w:r>
          </w:p>
          <w:p>
            <w:pPr>
              <w:rPr>
                <w:color w:val="auto"/>
                <w:highlight w:val="none"/>
                <w:lang w:eastAsia="zh-CN"/>
              </w:rPr>
            </w:pPr>
            <w:r>
              <w:rPr>
                <w:rFonts w:hint="eastAsia"/>
                <w:color w:val="auto"/>
                <w:highlight w:val="none"/>
                <w:lang w:eastAsia="zh-CN"/>
              </w:rPr>
              <w:t>每间洁净室如需现场喷涂，每层喷涂应一次完成。</w:t>
            </w:r>
          </w:p>
          <w:p>
            <w:pPr>
              <w:rPr>
                <w:color w:val="auto"/>
                <w:highlight w:val="none"/>
                <w:lang w:eastAsia="zh-CN"/>
              </w:rPr>
            </w:pPr>
            <w:r>
              <w:rPr>
                <w:rFonts w:hint="eastAsia"/>
                <w:color w:val="auto"/>
                <w:highlight w:val="none"/>
                <w:lang w:eastAsia="zh-CN"/>
              </w:rPr>
              <w:t>墙面平整度检查：允许偏差应符合平整度≤</w:t>
            </w:r>
            <w:r>
              <w:rPr>
                <w:color w:val="auto"/>
                <w:highlight w:val="none"/>
                <w:lang w:eastAsia="zh-CN"/>
              </w:rPr>
              <w:t>2</w:t>
            </w:r>
            <w:r>
              <w:rPr>
                <w:rFonts w:hint="eastAsia"/>
                <w:color w:val="auto"/>
                <w:highlight w:val="none"/>
                <w:lang w:eastAsia="zh-CN"/>
              </w:rPr>
              <w:t>㎜（</w:t>
            </w:r>
            <w:r>
              <w:rPr>
                <w:color w:val="auto"/>
                <w:highlight w:val="none"/>
                <w:lang w:eastAsia="zh-CN"/>
              </w:rPr>
              <w:t>2m</w:t>
            </w:r>
            <w:r>
              <w:rPr>
                <w:rFonts w:hint="eastAsia"/>
                <w:color w:val="auto"/>
                <w:highlight w:val="none"/>
                <w:lang w:eastAsia="zh-CN"/>
              </w:rPr>
              <w:t>靠尺下）。</w:t>
            </w:r>
          </w:p>
          <w:p>
            <w:pPr>
              <w:rPr>
                <w:color w:val="auto"/>
                <w:highlight w:val="none"/>
                <w:lang w:eastAsia="zh-CN"/>
              </w:rPr>
            </w:pPr>
          </w:p>
          <w:p>
            <w:pPr>
              <w:rPr>
                <w:color w:val="auto"/>
                <w:highlight w:val="none"/>
                <w:lang w:eastAsia="zh-CN"/>
              </w:rPr>
            </w:pPr>
            <w:r>
              <w:rPr>
                <w:color w:val="auto"/>
                <w:highlight w:val="none"/>
                <w:lang w:eastAsia="zh-CN"/>
              </w:rPr>
              <w:t>2.4</w:t>
            </w:r>
            <w:r>
              <w:rPr>
                <w:rFonts w:hint="eastAsia"/>
                <w:color w:val="auto"/>
                <w:highlight w:val="none"/>
                <w:lang w:eastAsia="zh-CN"/>
              </w:rPr>
              <w:t>、瓷砖墙面</w:t>
            </w:r>
          </w:p>
          <w:p>
            <w:pPr>
              <w:rPr>
                <w:color w:val="auto"/>
                <w:highlight w:val="none"/>
                <w:lang w:eastAsia="zh-CN"/>
              </w:rPr>
            </w:pPr>
            <w:r>
              <w:rPr>
                <w:rFonts w:hint="eastAsia"/>
                <w:color w:val="auto"/>
                <w:highlight w:val="none"/>
                <w:lang w:eastAsia="zh-CN" w:bidi="ar"/>
              </w:rPr>
              <w:t>本项目采用优等品瓷砖</w:t>
            </w:r>
          </w:p>
          <w:p>
            <w:pPr>
              <w:rPr>
                <w:color w:val="auto"/>
                <w:highlight w:val="none"/>
                <w:lang w:eastAsia="zh-CN"/>
              </w:rPr>
            </w:pPr>
            <w:r>
              <w:rPr>
                <w:rFonts w:hint="eastAsia"/>
                <w:color w:val="auto"/>
                <w:highlight w:val="none"/>
                <w:lang w:eastAsia="zh-CN" w:bidi="ar"/>
              </w:rPr>
              <w:t>产品应符合国家现行规范及标准：《陶瓷砖》（</w:t>
            </w:r>
            <w:r>
              <w:rPr>
                <w:color w:val="auto"/>
                <w:highlight w:val="none"/>
                <w:lang w:eastAsia="zh-CN" w:bidi="ar"/>
              </w:rPr>
              <w:t>GB/T 4100-2015</w:t>
            </w:r>
            <w:r>
              <w:rPr>
                <w:rFonts w:hint="eastAsia"/>
                <w:color w:val="auto"/>
                <w:highlight w:val="none"/>
                <w:lang w:eastAsia="zh-CN" w:bidi="ar"/>
              </w:rPr>
              <w:t>）、</w:t>
            </w:r>
            <w:r>
              <w:rPr>
                <w:color w:val="auto"/>
                <w:highlight w:val="none"/>
              </w:rPr>
              <w:fldChar w:fldCharType="begin"/>
            </w:r>
            <w:r>
              <w:rPr>
                <w:color w:val="auto"/>
                <w:highlight w:val="none"/>
              </w:rPr>
              <w:instrText xml:space="preserve"> HYPERLINK "http://info.china.alibaba.com/news/detail/v0-d1021087300.html" \t "_blank" </w:instrText>
            </w:r>
            <w:r>
              <w:rPr>
                <w:color w:val="auto"/>
                <w:highlight w:val="none"/>
              </w:rPr>
              <w:fldChar w:fldCharType="separate"/>
            </w:r>
            <w:r>
              <w:rPr>
                <w:rStyle w:val="140"/>
                <w:rFonts w:hint="eastAsia"/>
                <w:color w:val="auto"/>
                <w:highlight w:val="none"/>
                <w:lang w:eastAsia="zh-CN"/>
              </w:rPr>
              <w:t>《建筑材料放射性核素限量》（</w:t>
            </w:r>
            <w:r>
              <w:rPr>
                <w:rStyle w:val="140"/>
                <w:color w:val="auto"/>
                <w:highlight w:val="none"/>
                <w:lang w:eastAsia="zh-CN"/>
              </w:rPr>
              <w:t>GB6566-2010</w:t>
            </w:r>
            <w:r>
              <w:rPr>
                <w:rStyle w:val="140"/>
                <w:color w:val="auto"/>
                <w:highlight w:val="none"/>
                <w:lang w:eastAsia="zh-CN"/>
              </w:rPr>
              <w:fldChar w:fldCharType="end"/>
            </w:r>
            <w:r>
              <w:rPr>
                <w:rFonts w:hint="eastAsia"/>
                <w:color w:val="auto"/>
                <w:highlight w:val="none"/>
                <w:lang w:eastAsia="zh-CN" w:bidi="ar"/>
              </w:rPr>
              <w:t>）、《建筑装饰装修工程质量验收规范》（</w:t>
            </w:r>
            <w:r>
              <w:rPr>
                <w:color w:val="auto"/>
                <w:highlight w:val="none"/>
                <w:lang w:eastAsia="zh-CN" w:bidi="ar"/>
              </w:rPr>
              <w:t>GB50210-2001</w:t>
            </w:r>
            <w:r>
              <w:rPr>
                <w:rFonts w:hint="eastAsia"/>
                <w:color w:val="auto"/>
                <w:highlight w:val="none"/>
                <w:lang w:eastAsia="zh-CN" w:bidi="ar"/>
              </w:rPr>
              <w:t>）。</w:t>
            </w:r>
          </w:p>
          <w:p>
            <w:pPr>
              <w:rPr>
                <w:color w:val="auto"/>
                <w:highlight w:val="none"/>
                <w:lang w:eastAsia="zh-CN"/>
              </w:rPr>
            </w:pPr>
            <w:r>
              <w:rPr>
                <w:rFonts w:hint="eastAsia"/>
                <w:color w:val="auto"/>
                <w:highlight w:val="none"/>
                <w:lang w:eastAsia="zh-CN" w:bidi="ar"/>
              </w:rPr>
              <w:t>工程项目的验收一般按照招标图纸的说明和要求及国家和地方建设委员会所批准或发布的规范与标准执行。若标准有不一致，以最高及最严格的标准为准。包括但不限于以下规范及标准（以发布的最新版本规范、标准为准）：</w:t>
            </w:r>
          </w:p>
          <w:p>
            <w:pPr>
              <w:rPr>
                <w:color w:val="auto"/>
                <w:highlight w:val="none"/>
                <w:lang w:eastAsia="zh-CN"/>
              </w:rPr>
            </w:pPr>
            <w:r>
              <w:rPr>
                <w:rFonts w:hint="eastAsia"/>
                <w:color w:val="auto"/>
                <w:highlight w:val="none"/>
                <w:lang w:eastAsia="zh-CN" w:bidi="ar"/>
              </w:rPr>
              <w:t>中国国家标准《陶瓷砖》</w:t>
            </w:r>
            <w:r>
              <w:rPr>
                <w:color w:val="auto"/>
                <w:highlight w:val="none"/>
                <w:lang w:eastAsia="zh-CN" w:bidi="ar"/>
              </w:rPr>
              <w:t>GB/T4100-2015</w:t>
            </w:r>
          </w:p>
          <w:p>
            <w:pPr>
              <w:rPr>
                <w:color w:val="auto"/>
                <w:highlight w:val="none"/>
                <w:lang w:eastAsia="zh-CN"/>
              </w:rPr>
            </w:pPr>
            <w:r>
              <w:rPr>
                <w:rFonts w:hint="eastAsia"/>
                <w:color w:val="auto"/>
                <w:highlight w:val="none"/>
                <w:lang w:eastAsia="zh-CN" w:bidi="ar"/>
              </w:rPr>
              <w:t>中国国家标准《陶瓷砖试验方法》</w:t>
            </w:r>
            <w:r>
              <w:rPr>
                <w:color w:val="auto"/>
                <w:highlight w:val="none"/>
                <w:lang w:eastAsia="zh-CN" w:bidi="ar"/>
              </w:rPr>
              <w:t>GB/T3801.1</w:t>
            </w:r>
            <w:r>
              <w:rPr>
                <w:rFonts w:hint="eastAsia"/>
                <w:color w:val="auto"/>
                <w:highlight w:val="none"/>
                <w:lang w:eastAsia="zh-CN" w:bidi="ar"/>
              </w:rPr>
              <w:t>～</w:t>
            </w:r>
            <w:r>
              <w:rPr>
                <w:color w:val="auto"/>
                <w:highlight w:val="none"/>
                <w:lang w:eastAsia="zh-CN" w:bidi="ar"/>
              </w:rPr>
              <w:t>16</w:t>
            </w:r>
          </w:p>
          <w:p>
            <w:pPr>
              <w:rPr>
                <w:color w:val="auto"/>
                <w:highlight w:val="none"/>
                <w:lang w:eastAsia="zh-CN"/>
              </w:rPr>
            </w:pPr>
            <w:r>
              <w:rPr>
                <w:rFonts w:hint="eastAsia"/>
                <w:color w:val="auto"/>
                <w:highlight w:val="none"/>
                <w:lang w:eastAsia="zh-CN" w:bidi="ar"/>
              </w:rPr>
              <w:t>中国国家标准《陶瓷砖和卫生陶瓷分类及术语》</w:t>
            </w:r>
            <w:r>
              <w:rPr>
                <w:color w:val="auto"/>
                <w:highlight w:val="none"/>
                <w:lang w:eastAsia="zh-CN" w:bidi="ar"/>
              </w:rPr>
              <w:t>GB/T 9195</w:t>
            </w:r>
          </w:p>
          <w:p>
            <w:pPr>
              <w:rPr>
                <w:color w:val="auto"/>
                <w:highlight w:val="none"/>
                <w:lang w:eastAsia="zh-CN"/>
              </w:rPr>
            </w:pPr>
            <w:r>
              <w:rPr>
                <w:rFonts w:hint="eastAsia"/>
                <w:color w:val="auto"/>
                <w:highlight w:val="none"/>
                <w:lang w:eastAsia="zh-CN" w:bidi="ar"/>
              </w:rPr>
              <w:t>中国国家标准《卫生陶瓷包装》</w:t>
            </w:r>
            <w:r>
              <w:rPr>
                <w:color w:val="auto"/>
                <w:highlight w:val="none"/>
                <w:lang w:eastAsia="zh-CN" w:bidi="ar"/>
              </w:rPr>
              <w:t xml:space="preserve"> JC/T694</w:t>
            </w:r>
          </w:p>
          <w:p>
            <w:pPr>
              <w:rPr>
                <w:color w:val="auto"/>
                <w:highlight w:val="none"/>
                <w:lang w:eastAsia="zh-CN"/>
              </w:rPr>
            </w:pPr>
            <w:r>
              <w:rPr>
                <w:rFonts w:hint="eastAsia"/>
                <w:color w:val="auto"/>
                <w:highlight w:val="none"/>
                <w:lang w:eastAsia="zh-CN" w:bidi="ar"/>
              </w:rPr>
              <w:t>中国国家标准《建筑材料放射性核素限量》</w:t>
            </w:r>
            <w:r>
              <w:rPr>
                <w:color w:val="auto"/>
                <w:highlight w:val="none"/>
                <w:lang w:eastAsia="zh-CN" w:bidi="ar"/>
              </w:rPr>
              <w:t>GB6566</w:t>
            </w:r>
          </w:p>
          <w:p>
            <w:pPr>
              <w:rPr>
                <w:color w:val="auto"/>
                <w:highlight w:val="none"/>
                <w:lang w:eastAsia="zh-CN"/>
              </w:rPr>
            </w:pPr>
            <w:r>
              <w:rPr>
                <w:rFonts w:hint="eastAsia"/>
                <w:color w:val="auto"/>
                <w:highlight w:val="none"/>
                <w:lang w:eastAsia="zh-CN" w:bidi="ar"/>
              </w:rPr>
              <w:t>中国国家标准《镜面光泽度》</w:t>
            </w:r>
            <w:r>
              <w:rPr>
                <w:color w:val="auto"/>
                <w:highlight w:val="none"/>
                <w:lang w:eastAsia="zh-CN" w:bidi="ar"/>
              </w:rPr>
              <w:t>GB/T13891</w:t>
            </w:r>
          </w:p>
          <w:p>
            <w:pPr>
              <w:rPr>
                <w:color w:val="auto"/>
                <w:highlight w:val="none"/>
                <w:lang w:eastAsia="zh-CN"/>
              </w:rPr>
            </w:pPr>
            <w:r>
              <w:rPr>
                <w:rFonts w:hint="eastAsia"/>
                <w:color w:val="auto"/>
                <w:highlight w:val="none"/>
                <w:lang w:eastAsia="zh-CN" w:bidi="ar"/>
              </w:rPr>
              <w:t>中国国家标准《建筑地面工程施工质量验收规范》</w:t>
            </w:r>
            <w:r>
              <w:rPr>
                <w:color w:val="auto"/>
                <w:highlight w:val="none"/>
                <w:lang w:eastAsia="zh-CN" w:bidi="ar"/>
              </w:rPr>
              <w:t xml:space="preserve"> GB50209</w:t>
            </w:r>
            <w:r>
              <w:rPr>
                <w:rFonts w:hint="eastAsia"/>
                <w:color w:val="auto"/>
                <w:highlight w:val="none"/>
                <w:lang w:eastAsia="zh-CN" w:bidi="ar"/>
              </w:rPr>
              <w:t>—</w:t>
            </w:r>
            <w:r>
              <w:rPr>
                <w:color w:val="auto"/>
                <w:highlight w:val="none"/>
                <w:lang w:eastAsia="zh-CN" w:bidi="ar"/>
              </w:rPr>
              <w:t>2002</w:t>
            </w:r>
          </w:p>
          <w:p>
            <w:pPr>
              <w:rPr>
                <w:color w:val="auto"/>
                <w:highlight w:val="none"/>
                <w:lang w:eastAsia="zh-CN"/>
              </w:rPr>
            </w:pPr>
            <w:r>
              <w:rPr>
                <w:rFonts w:hint="eastAsia"/>
                <w:color w:val="auto"/>
                <w:highlight w:val="none"/>
                <w:lang w:eastAsia="zh-CN" w:bidi="ar"/>
              </w:rPr>
              <w:t>中国国家标准《建筑装饰装修工程质量及验收规范》</w:t>
            </w:r>
            <w:r>
              <w:rPr>
                <w:color w:val="auto"/>
                <w:highlight w:val="none"/>
                <w:lang w:eastAsia="zh-CN" w:bidi="ar"/>
              </w:rPr>
              <w:t>GB50210</w:t>
            </w:r>
            <w:r>
              <w:rPr>
                <w:rFonts w:hint="eastAsia"/>
                <w:color w:val="auto"/>
                <w:highlight w:val="none"/>
                <w:lang w:eastAsia="zh-CN" w:bidi="ar"/>
              </w:rPr>
              <w:t>—</w:t>
            </w:r>
            <w:r>
              <w:rPr>
                <w:color w:val="auto"/>
                <w:highlight w:val="none"/>
                <w:lang w:eastAsia="zh-CN" w:bidi="ar"/>
              </w:rPr>
              <w:t>2001</w:t>
            </w:r>
          </w:p>
          <w:p>
            <w:pPr>
              <w:rPr>
                <w:color w:val="auto"/>
                <w:highlight w:val="none"/>
                <w:lang w:eastAsia="zh-CN"/>
              </w:rPr>
            </w:pPr>
            <w:r>
              <w:rPr>
                <w:rFonts w:hint="eastAsia"/>
                <w:color w:val="auto"/>
                <w:highlight w:val="none"/>
                <w:lang w:eastAsia="zh-CN" w:bidi="ar"/>
              </w:rPr>
              <w:t>《陶瓷砖环境标志产品技术标准》</w:t>
            </w:r>
            <w:r>
              <w:rPr>
                <w:color w:val="auto"/>
                <w:highlight w:val="none"/>
                <w:lang w:eastAsia="zh-CN" w:bidi="ar"/>
              </w:rPr>
              <w:t xml:space="preserve"> HJT297-2006</w:t>
            </w:r>
          </w:p>
          <w:p>
            <w:pPr>
              <w:rPr>
                <w:color w:val="auto"/>
                <w:highlight w:val="none"/>
                <w:lang w:eastAsia="zh-CN"/>
              </w:rPr>
            </w:pPr>
            <w:r>
              <w:rPr>
                <w:rFonts w:hint="eastAsia"/>
                <w:color w:val="auto"/>
                <w:highlight w:val="none"/>
                <w:lang w:eastAsia="zh-CN" w:bidi="ar"/>
              </w:rPr>
              <w:t>《民用建筑工程室内环境污染控制规范》</w:t>
            </w:r>
            <w:r>
              <w:rPr>
                <w:color w:val="auto"/>
                <w:highlight w:val="none"/>
                <w:lang w:eastAsia="zh-CN" w:bidi="ar"/>
              </w:rPr>
              <w:t> GB50325—2010</w:t>
            </w:r>
          </w:p>
          <w:p>
            <w:pPr>
              <w:rPr>
                <w:color w:val="auto"/>
                <w:highlight w:val="none"/>
                <w:lang w:eastAsia="zh-CN"/>
              </w:rPr>
            </w:pPr>
            <w:r>
              <w:rPr>
                <w:rFonts w:hint="eastAsia"/>
                <w:color w:val="auto"/>
                <w:highlight w:val="none"/>
                <w:lang w:eastAsia="zh-CN" w:bidi="ar"/>
              </w:rPr>
              <w:t>《装饰装修工程施工规范》</w:t>
            </w:r>
            <w:r>
              <w:rPr>
                <w:color w:val="auto"/>
                <w:highlight w:val="none"/>
                <w:lang w:eastAsia="zh-CN" w:bidi="ar"/>
              </w:rPr>
              <w:t>GB50327-2001</w:t>
            </w:r>
          </w:p>
          <w:p>
            <w:pPr>
              <w:rPr>
                <w:color w:val="auto"/>
                <w:highlight w:val="none"/>
                <w:lang w:eastAsia="zh-CN"/>
              </w:rPr>
            </w:pPr>
            <w:r>
              <w:rPr>
                <w:rFonts w:hint="eastAsia"/>
                <w:color w:val="auto"/>
                <w:highlight w:val="none"/>
                <w:lang w:eastAsia="zh-CN" w:bidi="ar"/>
              </w:rPr>
              <w:t>《工业产品保证文件</w:t>
            </w:r>
            <w:r>
              <w:rPr>
                <w:color w:val="auto"/>
                <w:highlight w:val="none"/>
                <w:lang w:eastAsia="zh-CN" w:bidi="ar"/>
              </w:rPr>
              <w:t>-</w:t>
            </w:r>
            <w:r>
              <w:rPr>
                <w:rFonts w:hint="eastAsia"/>
                <w:color w:val="auto"/>
                <w:highlight w:val="none"/>
                <w:lang w:eastAsia="zh-CN" w:bidi="ar"/>
              </w:rPr>
              <w:t>总则》（</w:t>
            </w:r>
            <w:r>
              <w:rPr>
                <w:color w:val="auto"/>
                <w:highlight w:val="none"/>
                <w:lang w:eastAsia="zh-CN" w:bidi="ar"/>
              </w:rPr>
              <w:t>GB/T 14436-1993</w:t>
            </w:r>
            <w:r>
              <w:rPr>
                <w:rFonts w:hint="eastAsia"/>
                <w:color w:val="auto"/>
                <w:highlight w:val="none"/>
                <w:lang w:eastAsia="zh-CN" w:bidi="ar"/>
              </w:rPr>
              <w:t>）</w:t>
            </w:r>
          </w:p>
          <w:p>
            <w:pPr>
              <w:rPr>
                <w:color w:val="auto"/>
                <w:highlight w:val="none"/>
              </w:rPr>
            </w:pPr>
            <w:r>
              <w:rPr>
                <w:rFonts w:hint="eastAsia"/>
                <w:color w:val="auto"/>
                <w:highlight w:val="none"/>
                <w:lang w:bidi="ar"/>
              </w:rPr>
              <w:t>《人造石》（</w:t>
            </w:r>
            <w:r>
              <w:rPr>
                <w:color w:val="auto"/>
                <w:highlight w:val="none"/>
                <w:lang w:bidi="ar"/>
              </w:rPr>
              <w:t>JC/T 908-2013</w:t>
            </w:r>
            <w:r>
              <w:rPr>
                <w:rFonts w:hint="eastAsia"/>
                <w:color w:val="auto"/>
                <w:highlight w:val="none"/>
                <w:lang w:bidi="ar"/>
              </w:rPr>
              <w:t>）</w:t>
            </w:r>
          </w:p>
          <w:tbl>
            <w:tblPr>
              <w:tblStyle w:val="85"/>
              <w:tblW w:w="536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959"/>
              <w:gridCol w:w="1398"/>
              <w:gridCol w:w="1453"/>
              <w:gridCol w:w="155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0" w:hRule="atLeast"/>
                <w:jc w:val="center"/>
              </w:trPr>
              <w:tc>
                <w:tcPr>
                  <w:tcW w:w="235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b/>
                      <w:color w:val="auto"/>
                      <w:szCs w:val="24"/>
                      <w:highlight w:val="none"/>
                    </w:rPr>
                  </w:pPr>
                  <w:r>
                    <w:rPr>
                      <w:rFonts w:hint="eastAsia"/>
                      <w:b/>
                      <w:color w:val="auto"/>
                      <w:szCs w:val="24"/>
                      <w:highlight w:val="none"/>
                      <w:lang w:bidi="ar"/>
                    </w:rPr>
                    <w:t>关键技术指标</w:t>
                  </w:r>
                </w:p>
              </w:tc>
              <w:tc>
                <w:tcPr>
                  <w:tcW w:w="145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b/>
                      <w:color w:val="auto"/>
                      <w:szCs w:val="24"/>
                      <w:highlight w:val="none"/>
                    </w:rPr>
                  </w:pPr>
                  <w:r>
                    <w:rPr>
                      <w:rFonts w:hint="eastAsia"/>
                      <w:b/>
                      <w:color w:val="auto"/>
                      <w:szCs w:val="24"/>
                      <w:highlight w:val="none"/>
                      <w:lang w:bidi="ar"/>
                    </w:rPr>
                    <w:t>测试方法</w:t>
                  </w:r>
                </w:p>
              </w:tc>
              <w:tc>
                <w:tcPr>
                  <w:tcW w:w="155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b/>
                      <w:color w:val="auto"/>
                      <w:szCs w:val="24"/>
                      <w:highlight w:val="none"/>
                    </w:rPr>
                  </w:pPr>
                  <w:r>
                    <w:rPr>
                      <w:rFonts w:hint="eastAsia"/>
                      <w:b/>
                      <w:color w:val="auto"/>
                      <w:szCs w:val="24"/>
                      <w:highlight w:val="none"/>
                      <w:lang w:bidi="ar"/>
                    </w:rPr>
                    <w:t>标准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0" w:hRule="atLeast"/>
                <w:jc w:val="center"/>
              </w:trPr>
              <w:tc>
                <w:tcPr>
                  <w:tcW w:w="95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auto"/>
                      <w:szCs w:val="24"/>
                      <w:highlight w:val="none"/>
                    </w:rPr>
                  </w:pPr>
                  <w:r>
                    <w:rPr>
                      <w:rFonts w:hint="eastAsia"/>
                      <w:color w:val="auto"/>
                      <w:szCs w:val="24"/>
                      <w:highlight w:val="none"/>
                      <w:lang w:bidi="ar"/>
                    </w:rPr>
                    <w:t>尺寸</w:t>
                  </w:r>
                </w:p>
                <w:p>
                  <w:pPr>
                    <w:jc w:val="center"/>
                    <w:rPr>
                      <w:color w:val="auto"/>
                      <w:szCs w:val="24"/>
                      <w:highlight w:val="none"/>
                    </w:rPr>
                  </w:pPr>
                  <w:r>
                    <w:rPr>
                      <w:rFonts w:hint="eastAsia"/>
                      <w:color w:val="auto"/>
                      <w:szCs w:val="24"/>
                      <w:highlight w:val="none"/>
                      <w:lang w:bidi="ar"/>
                    </w:rPr>
                    <w:t>偏差</w:t>
                  </w:r>
                </w:p>
              </w:tc>
              <w:tc>
                <w:tcPr>
                  <w:tcW w:w="139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auto"/>
                      <w:szCs w:val="24"/>
                      <w:highlight w:val="none"/>
                    </w:rPr>
                  </w:pPr>
                  <w:r>
                    <w:rPr>
                      <w:rFonts w:hint="eastAsia"/>
                      <w:color w:val="auto"/>
                      <w:szCs w:val="24"/>
                      <w:highlight w:val="none"/>
                      <w:lang w:bidi="ar"/>
                    </w:rPr>
                    <w:t>长度和宽度</w:t>
                  </w:r>
                </w:p>
              </w:tc>
              <w:tc>
                <w:tcPr>
                  <w:tcW w:w="145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auto"/>
                      <w:szCs w:val="24"/>
                      <w:highlight w:val="none"/>
                    </w:rPr>
                  </w:pPr>
                  <w:r>
                    <w:rPr>
                      <w:rFonts w:hint="eastAsia"/>
                      <w:color w:val="auto"/>
                      <w:szCs w:val="24"/>
                      <w:highlight w:val="none"/>
                      <w:lang w:bidi="ar"/>
                    </w:rPr>
                    <w:t>GB/T3810.2</w:t>
                  </w:r>
                </w:p>
              </w:tc>
              <w:tc>
                <w:tcPr>
                  <w:tcW w:w="155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auto"/>
                      <w:szCs w:val="24"/>
                      <w:highlight w:val="none"/>
                    </w:rPr>
                  </w:pPr>
                  <w:r>
                    <w:rPr>
                      <w:rFonts w:hint="eastAsia"/>
                      <w:color w:val="auto"/>
                      <w:szCs w:val="24"/>
                      <w:highlight w:val="none"/>
                      <w:lang w:bidi="ar"/>
                    </w:rPr>
                    <w:t>±0.1%，±0.3mm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13" w:hRule="atLeast"/>
                <w:jc w:val="center"/>
              </w:trPr>
              <w:tc>
                <w:tcPr>
                  <w:tcW w:w="95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ascii="Calibri" w:hAnsi="Calibri"/>
                      <w:color w:val="auto"/>
                      <w:sz w:val="20"/>
                      <w:highlight w:val="none"/>
                    </w:rPr>
                  </w:pPr>
                </w:p>
              </w:tc>
              <w:tc>
                <w:tcPr>
                  <w:tcW w:w="139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auto"/>
                      <w:szCs w:val="24"/>
                      <w:highlight w:val="none"/>
                    </w:rPr>
                  </w:pPr>
                  <w:r>
                    <w:rPr>
                      <w:rFonts w:hint="eastAsia"/>
                      <w:color w:val="auto"/>
                      <w:szCs w:val="24"/>
                      <w:highlight w:val="none"/>
                      <w:lang w:bidi="ar"/>
                    </w:rPr>
                    <w:t>厚度</w:t>
                  </w:r>
                </w:p>
              </w:tc>
              <w:tc>
                <w:tcPr>
                  <w:tcW w:w="145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auto"/>
                      <w:szCs w:val="24"/>
                      <w:highlight w:val="none"/>
                    </w:rPr>
                  </w:pPr>
                  <w:r>
                    <w:rPr>
                      <w:rFonts w:hint="eastAsia"/>
                      <w:color w:val="auto"/>
                      <w:szCs w:val="24"/>
                      <w:highlight w:val="none"/>
                      <w:lang w:bidi="ar"/>
                    </w:rPr>
                    <w:t>GB/T3810.2</w:t>
                  </w:r>
                </w:p>
              </w:tc>
              <w:tc>
                <w:tcPr>
                  <w:tcW w:w="155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auto"/>
                      <w:szCs w:val="24"/>
                      <w:highlight w:val="none"/>
                    </w:rPr>
                  </w:pPr>
                  <w:r>
                    <w:rPr>
                      <w:rFonts w:hint="eastAsia"/>
                      <w:color w:val="auto"/>
                      <w:szCs w:val="24"/>
                      <w:highlight w:val="none"/>
                      <w:lang w:bidi="ar"/>
                    </w:rPr>
                    <w:t>±3.5%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18" w:hRule="atLeast"/>
                <w:jc w:val="center"/>
              </w:trPr>
              <w:tc>
                <w:tcPr>
                  <w:tcW w:w="95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ascii="Calibri" w:hAnsi="Calibri"/>
                      <w:color w:val="auto"/>
                      <w:sz w:val="20"/>
                      <w:highlight w:val="none"/>
                    </w:rPr>
                  </w:pPr>
                </w:p>
              </w:tc>
              <w:tc>
                <w:tcPr>
                  <w:tcW w:w="139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auto"/>
                      <w:szCs w:val="24"/>
                      <w:highlight w:val="none"/>
                    </w:rPr>
                  </w:pPr>
                  <w:r>
                    <w:rPr>
                      <w:rFonts w:hint="eastAsia"/>
                      <w:color w:val="auto"/>
                      <w:szCs w:val="24"/>
                      <w:highlight w:val="none"/>
                      <w:lang w:bidi="ar"/>
                    </w:rPr>
                    <w:t>边直度</w:t>
                  </w:r>
                </w:p>
              </w:tc>
              <w:tc>
                <w:tcPr>
                  <w:tcW w:w="145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auto"/>
                      <w:szCs w:val="24"/>
                      <w:highlight w:val="none"/>
                    </w:rPr>
                  </w:pPr>
                  <w:r>
                    <w:rPr>
                      <w:rFonts w:hint="eastAsia"/>
                      <w:color w:val="auto"/>
                      <w:szCs w:val="24"/>
                      <w:highlight w:val="none"/>
                      <w:lang w:bidi="ar"/>
                    </w:rPr>
                    <w:t>GB/T3810.2</w:t>
                  </w:r>
                </w:p>
              </w:tc>
              <w:tc>
                <w:tcPr>
                  <w:tcW w:w="155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auto"/>
                      <w:szCs w:val="24"/>
                      <w:highlight w:val="none"/>
                    </w:rPr>
                  </w:pPr>
                  <w:r>
                    <w:rPr>
                      <w:rFonts w:hint="eastAsia"/>
                      <w:color w:val="auto"/>
                      <w:szCs w:val="24"/>
                      <w:highlight w:val="none"/>
                      <w:lang w:bidi="ar"/>
                    </w:rPr>
                    <w:t>±0.1%且≤1.0mm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11" w:hRule="atLeast"/>
                <w:jc w:val="center"/>
              </w:trPr>
              <w:tc>
                <w:tcPr>
                  <w:tcW w:w="95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ascii="Calibri" w:hAnsi="Calibri"/>
                      <w:color w:val="auto"/>
                      <w:sz w:val="20"/>
                      <w:highlight w:val="none"/>
                    </w:rPr>
                  </w:pPr>
                </w:p>
              </w:tc>
              <w:tc>
                <w:tcPr>
                  <w:tcW w:w="139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auto"/>
                      <w:szCs w:val="24"/>
                      <w:highlight w:val="none"/>
                    </w:rPr>
                  </w:pPr>
                  <w:r>
                    <w:rPr>
                      <w:rFonts w:hint="eastAsia"/>
                      <w:color w:val="auto"/>
                      <w:szCs w:val="24"/>
                      <w:highlight w:val="none"/>
                      <w:lang w:bidi="ar"/>
                    </w:rPr>
                    <w:t>直角度</w:t>
                  </w:r>
                </w:p>
              </w:tc>
              <w:tc>
                <w:tcPr>
                  <w:tcW w:w="145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auto"/>
                      <w:szCs w:val="24"/>
                      <w:highlight w:val="none"/>
                    </w:rPr>
                  </w:pPr>
                  <w:r>
                    <w:rPr>
                      <w:rFonts w:hint="eastAsia"/>
                      <w:color w:val="auto"/>
                      <w:szCs w:val="24"/>
                      <w:highlight w:val="none"/>
                      <w:lang w:bidi="ar"/>
                    </w:rPr>
                    <w:t>GB/T3810.2</w:t>
                  </w:r>
                </w:p>
              </w:tc>
              <w:tc>
                <w:tcPr>
                  <w:tcW w:w="155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auto"/>
                      <w:szCs w:val="24"/>
                      <w:highlight w:val="none"/>
                    </w:rPr>
                  </w:pPr>
                  <w:r>
                    <w:rPr>
                      <w:rFonts w:hint="eastAsia"/>
                      <w:color w:val="auto"/>
                      <w:szCs w:val="24"/>
                      <w:highlight w:val="none"/>
                      <w:lang w:bidi="ar"/>
                    </w:rPr>
                    <w:t>±0.1%且≤1.0mm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382" w:hRule="atLeast"/>
                <w:jc w:val="center"/>
              </w:trPr>
              <w:tc>
                <w:tcPr>
                  <w:tcW w:w="95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ascii="Calibri" w:hAnsi="Calibri"/>
                      <w:color w:val="auto"/>
                      <w:sz w:val="20"/>
                      <w:highlight w:val="none"/>
                    </w:rPr>
                  </w:pPr>
                </w:p>
              </w:tc>
              <w:tc>
                <w:tcPr>
                  <w:tcW w:w="139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auto"/>
                      <w:szCs w:val="24"/>
                      <w:highlight w:val="none"/>
                    </w:rPr>
                  </w:pPr>
                  <w:r>
                    <w:rPr>
                      <w:rFonts w:hint="eastAsia"/>
                      <w:color w:val="auto"/>
                      <w:szCs w:val="24"/>
                      <w:highlight w:val="none"/>
                      <w:lang w:bidi="ar"/>
                    </w:rPr>
                    <w:t>表面平整度</w:t>
                  </w:r>
                </w:p>
              </w:tc>
              <w:tc>
                <w:tcPr>
                  <w:tcW w:w="145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auto"/>
                      <w:szCs w:val="24"/>
                      <w:highlight w:val="none"/>
                    </w:rPr>
                  </w:pPr>
                  <w:r>
                    <w:rPr>
                      <w:rFonts w:hint="eastAsia"/>
                      <w:color w:val="auto"/>
                      <w:szCs w:val="24"/>
                      <w:highlight w:val="none"/>
                      <w:lang w:bidi="ar"/>
                    </w:rPr>
                    <w:t>GB/T3810.2</w:t>
                  </w:r>
                </w:p>
              </w:tc>
              <w:tc>
                <w:tcPr>
                  <w:tcW w:w="1559" w:type="dxa"/>
                  <w:tcBorders>
                    <w:top w:val="single" w:color="000000" w:sz="4" w:space="0"/>
                    <w:left w:val="single" w:color="000000" w:sz="4" w:space="0"/>
                    <w:bottom w:val="single" w:color="auto" w:sz="4" w:space="0"/>
                    <w:right w:val="single" w:color="000000" w:sz="4" w:space="0"/>
                  </w:tcBorders>
                  <w:shd w:val="clear" w:color="auto" w:fill="auto"/>
                  <w:vAlign w:val="center"/>
                </w:tcPr>
                <w:p>
                  <w:pPr>
                    <w:jc w:val="center"/>
                    <w:rPr>
                      <w:color w:val="auto"/>
                      <w:szCs w:val="24"/>
                      <w:highlight w:val="none"/>
                      <w:lang w:eastAsia="zh-CN"/>
                    </w:rPr>
                  </w:pPr>
                  <w:r>
                    <w:rPr>
                      <w:rFonts w:hint="eastAsia"/>
                      <w:color w:val="auto"/>
                      <w:szCs w:val="24"/>
                      <w:highlight w:val="none"/>
                      <w:lang w:eastAsia="zh-CN" w:bidi="ar"/>
                    </w:rPr>
                    <w:t>N≥300：±0.1%，300*600：短边±0.15%，长边±0.1%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66" w:hRule="atLeast"/>
                <w:jc w:val="center"/>
              </w:trPr>
              <w:tc>
                <w:tcPr>
                  <w:tcW w:w="95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ascii="Calibri" w:hAnsi="Calibri"/>
                      <w:color w:val="auto"/>
                      <w:sz w:val="20"/>
                      <w:highlight w:val="none"/>
                      <w:lang w:eastAsia="zh-CN"/>
                    </w:rPr>
                  </w:pPr>
                </w:p>
              </w:tc>
              <w:tc>
                <w:tcPr>
                  <w:tcW w:w="13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ascii="Calibri" w:hAnsi="Calibri"/>
                      <w:color w:val="auto"/>
                      <w:sz w:val="20"/>
                      <w:highlight w:val="none"/>
                      <w:lang w:eastAsia="zh-CN"/>
                    </w:rPr>
                  </w:pPr>
                </w:p>
              </w:tc>
              <w:tc>
                <w:tcPr>
                  <w:tcW w:w="145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ascii="Calibri" w:hAnsi="Calibri"/>
                      <w:color w:val="auto"/>
                      <w:sz w:val="20"/>
                      <w:highlight w:val="none"/>
                      <w:lang w:eastAsia="zh-CN"/>
                    </w:rPr>
                  </w:pPr>
                </w:p>
              </w:tc>
              <w:tc>
                <w:tcPr>
                  <w:tcW w:w="1559" w:type="dxa"/>
                  <w:tcBorders>
                    <w:top w:val="single" w:color="auto" w:sz="4" w:space="0"/>
                    <w:left w:val="single" w:color="000000" w:sz="4" w:space="0"/>
                    <w:bottom w:val="single" w:color="000000" w:sz="4" w:space="0"/>
                    <w:right w:val="single" w:color="000000" w:sz="4" w:space="0"/>
                  </w:tcBorders>
                  <w:shd w:val="clear" w:color="auto" w:fill="auto"/>
                  <w:vAlign w:val="center"/>
                </w:tcPr>
                <w:p>
                  <w:pPr>
                    <w:jc w:val="center"/>
                    <w:rPr>
                      <w:color w:val="auto"/>
                      <w:szCs w:val="24"/>
                      <w:highlight w:val="none"/>
                    </w:rPr>
                  </w:pPr>
                  <w:r>
                    <w:rPr>
                      <w:rFonts w:hint="eastAsia"/>
                      <w:color w:val="auto"/>
                      <w:szCs w:val="24"/>
                      <w:highlight w:val="none"/>
                      <w:lang w:bidi="ar"/>
                    </w:rPr>
                    <w:t>N＜300：±0.15%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95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auto"/>
                      <w:szCs w:val="24"/>
                      <w:highlight w:val="none"/>
                    </w:rPr>
                  </w:pPr>
                  <w:r>
                    <w:rPr>
                      <w:rFonts w:hint="eastAsia"/>
                      <w:color w:val="auto"/>
                      <w:szCs w:val="24"/>
                      <w:highlight w:val="none"/>
                      <w:lang w:bidi="ar"/>
                    </w:rPr>
                    <w:t>表面</w:t>
                  </w:r>
                </w:p>
                <w:p>
                  <w:pPr>
                    <w:jc w:val="center"/>
                    <w:rPr>
                      <w:color w:val="auto"/>
                      <w:szCs w:val="24"/>
                      <w:highlight w:val="none"/>
                    </w:rPr>
                  </w:pPr>
                  <w:r>
                    <w:rPr>
                      <w:rFonts w:hint="eastAsia"/>
                      <w:color w:val="auto"/>
                      <w:szCs w:val="24"/>
                      <w:highlight w:val="none"/>
                      <w:lang w:bidi="ar"/>
                    </w:rPr>
                    <w:t>质量</w:t>
                  </w:r>
                </w:p>
              </w:tc>
              <w:tc>
                <w:tcPr>
                  <w:tcW w:w="1398"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val="0"/>
                    <w:jc w:val="center"/>
                    <w:rPr>
                      <w:color w:val="auto"/>
                      <w:szCs w:val="24"/>
                      <w:highlight w:val="none"/>
                      <w:lang w:eastAsia="zh-CN"/>
                    </w:rPr>
                  </w:pPr>
                  <w:r>
                    <w:rPr>
                      <w:rFonts w:hint="eastAsia"/>
                      <w:color w:val="auto"/>
                      <w:szCs w:val="24"/>
                      <w:highlight w:val="none"/>
                      <w:lang w:eastAsia="zh-CN" w:bidi="ar"/>
                    </w:rPr>
                    <w:t>釉裂、针孔、</w:t>
                  </w:r>
                </w:p>
                <w:p>
                  <w:pPr>
                    <w:adjustRightInd w:val="0"/>
                    <w:jc w:val="center"/>
                    <w:rPr>
                      <w:color w:val="auto"/>
                      <w:szCs w:val="24"/>
                      <w:highlight w:val="none"/>
                      <w:lang w:eastAsia="zh-CN"/>
                    </w:rPr>
                  </w:pPr>
                  <w:r>
                    <w:rPr>
                      <w:rFonts w:hint="eastAsia"/>
                      <w:color w:val="auto"/>
                      <w:szCs w:val="24"/>
                      <w:highlight w:val="none"/>
                      <w:lang w:eastAsia="zh-CN" w:bidi="ar"/>
                    </w:rPr>
                    <w:t>色斑、粘膜、</w:t>
                  </w:r>
                </w:p>
                <w:p>
                  <w:pPr>
                    <w:adjustRightInd w:val="0"/>
                    <w:jc w:val="center"/>
                    <w:rPr>
                      <w:color w:val="auto"/>
                      <w:szCs w:val="24"/>
                      <w:highlight w:val="none"/>
                      <w:lang w:eastAsia="zh-CN"/>
                    </w:rPr>
                  </w:pPr>
                  <w:r>
                    <w:rPr>
                      <w:rFonts w:hint="eastAsia"/>
                      <w:color w:val="auto"/>
                      <w:szCs w:val="24"/>
                      <w:highlight w:val="none"/>
                      <w:lang w:eastAsia="zh-CN" w:bidi="ar"/>
                    </w:rPr>
                    <w:t>色点、凹坑、</w:t>
                  </w:r>
                </w:p>
                <w:p>
                  <w:pPr>
                    <w:jc w:val="center"/>
                    <w:rPr>
                      <w:color w:val="auto"/>
                      <w:szCs w:val="24"/>
                      <w:highlight w:val="none"/>
                      <w:lang w:eastAsia="zh-CN"/>
                    </w:rPr>
                  </w:pPr>
                  <w:r>
                    <w:rPr>
                      <w:rFonts w:hint="eastAsia"/>
                      <w:color w:val="auto"/>
                      <w:szCs w:val="24"/>
                      <w:highlight w:val="none"/>
                      <w:lang w:eastAsia="zh-CN" w:bidi="ar"/>
                    </w:rPr>
                    <w:t>漏印、色差</w:t>
                  </w:r>
                </w:p>
              </w:tc>
              <w:tc>
                <w:tcPr>
                  <w:tcW w:w="145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auto"/>
                      <w:szCs w:val="24"/>
                      <w:highlight w:val="none"/>
                    </w:rPr>
                  </w:pPr>
                  <w:r>
                    <w:rPr>
                      <w:rFonts w:hint="eastAsia"/>
                      <w:color w:val="auto"/>
                      <w:szCs w:val="24"/>
                      <w:highlight w:val="none"/>
                      <w:lang w:bidi="ar"/>
                    </w:rPr>
                    <w:t>GB/T3810.2</w:t>
                  </w:r>
                </w:p>
              </w:tc>
              <w:tc>
                <w:tcPr>
                  <w:tcW w:w="1559"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val="0"/>
                    <w:jc w:val="center"/>
                    <w:rPr>
                      <w:color w:val="auto"/>
                      <w:szCs w:val="24"/>
                      <w:highlight w:val="none"/>
                      <w:lang w:eastAsia="zh-CN"/>
                    </w:rPr>
                  </w:pPr>
                  <w:r>
                    <w:rPr>
                      <w:rFonts w:hint="eastAsia"/>
                      <w:color w:val="auto"/>
                      <w:szCs w:val="24"/>
                      <w:highlight w:val="none"/>
                      <w:lang w:eastAsia="zh-CN" w:bidi="ar"/>
                    </w:rPr>
                    <w:t>至少98%的砖主要区域无明显缺陷</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02" w:hRule="atLeast"/>
                <w:jc w:val="center"/>
              </w:trPr>
              <w:tc>
                <w:tcPr>
                  <w:tcW w:w="95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ascii="Calibri" w:hAnsi="Calibri"/>
                      <w:color w:val="auto"/>
                      <w:sz w:val="20"/>
                      <w:highlight w:val="none"/>
                      <w:lang w:eastAsia="zh-CN"/>
                    </w:rPr>
                  </w:pPr>
                </w:p>
              </w:tc>
              <w:tc>
                <w:tcPr>
                  <w:tcW w:w="1398"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val="0"/>
                    <w:jc w:val="center"/>
                    <w:rPr>
                      <w:color w:val="auto"/>
                      <w:szCs w:val="24"/>
                      <w:highlight w:val="none"/>
                    </w:rPr>
                  </w:pPr>
                  <w:r>
                    <w:rPr>
                      <w:rFonts w:hint="eastAsia"/>
                      <w:color w:val="auto"/>
                      <w:szCs w:val="24"/>
                      <w:highlight w:val="none"/>
                      <w:lang w:bidi="ar"/>
                    </w:rPr>
                    <w:t>耐污染性</w:t>
                  </w:r>
                </w:p>
              </w:tc>
              <w:tc>
                <w:tcPr>
                  <w:tcW w:w="1453"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val="0"/>
                    <w:jc w:val="center"/>
                    <w:rPr>
                      <w:rFonts w:cs="ËÎÌå"/>
                      <w:color w:val="auto"/>
                      <w:szCs w:val="24"/>
                      <w:highlight w:val="none"/>
                    </w:rPr>
                  </w:pPr>
                  <w:r>
                    <w:rPr>
                      <w:rFonts w:hint="eastAsia" w:cs="ËÎÌå"/>
                      <w:color w:val="auto"/>
                      <w:szCs w:val="24"/>
                      <w:highlight w:val="none"/>
                      <w:lang w:bidi="ar"/>
                    </w:rPr>
                    <w:t>GB/T3810.14</w:t>
                  </w:r>
                </w:p>
              </w:tc>
              <w:tc>
                <w:tcPr>
                  <w:tcW w:w="155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ind w:firstLine="120" w:firstLineChars="50"/>
                    <w:rPr>
                      <w:color w:val="auto"/>
                      <w:szCs w:val="24"/>
                      <w:highlight w:val="none"/>
                    </w:rPr>
                  </w:pPr>
                  <w:r>
                    <w:rPr>
                      <w:rFonts w:hint="eastAsia"/>
                      <w:color w:val="auto"/>
                      <w:szCs w:val="24"/>
                      <w:highlight w:val="none"/>
                      <w:lang w:bidi="ar"/>
                    </w:rPr>
                    <w:t>不低于4级</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02" w:hRule="atLeast"/>
                <w:jc w:val="center"/>
              </w:trPr>
              <w:tc>
                <w:tcPr>
                  <w:tcW w:w="95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ascii="Calibri" w:hAnsi="Calibri"/>
                      <w:color w:val="auto"/>
                      <w:sz w:val="20"/>
                      <w:highlight w:val="none"/>
                    </w:rPr>
                  </w:pPr>
                </w:p>
              </w:tc>
              <w:tc>
                <w:tcPr>
                  <w:tcW w:w="1398"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tLeast"/>
                    <w:ind w:firstLine="240" w:firstLineChars="100"/>
                    <w:jc w:val="center"/>
                    <w:rPr>
                      <w:color w:val="auto"/>
                      <w:szCs w:val="24"/>
                      <w:highlight w:val="none"/>
                    </w:rPr>
                  </w:pPr>
                  <w:r>
                    <w:rPr>
                      <w:rFonts w:hint="eastAsia"/>
                      <w:color w:val="auto"/>
                      <w:szCs w:val="24"/>
                      <w:highlight w:val="none"/>
                      <w:lang w:bidi="ar"/>
                    </w:rPr>
                    <w:t>光泽度</w:t>
                  </w:r>
                </w:p>
              </w:tc>
              <w:tc>
                <w:tcPr>
                  <w:tcW w:w="1453"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tLeast"/>
                    <w:ind w:left="32"/>
                    <w:jc w:val="center"/>
                    <w:rPr>
                      <w:color w:val="auto"/>
                      <w:szCs w:val="24"/>
                      <w:highlight w:val="none"/>
                    </w:rPr>
                  </w:pPr>
                  <w:r>
                    <w:rPr>
                      <w:rFonts w:hint="eastAsia"/>
                      <w:color w:val="auto"/>
                      <w:szCs w:val="24"/>
                      <w:highlight w:val="none"/>
                      <w:lang w:bidi="ar"/>
                    </w:rPr>
                    <w:t>GB/T13891</w:t>
                  </w:r>
                </w:p>
              </w:tc>
              <w:tc>
                <w:tcPr>
                  <w:tcW w:w="155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ind w:firstLine="120" w:firstLineChars="50"/>
                    <w:rPr>
                      <w:color w:val="auto"/>
                      <w:szCs w:val="24"/>
                      <w:highlight w:val="none"/>
                    </w:rPr>
                  </w:pPr>
                  <w:r>
                    <w:rPr>
                      <w:rFonts w:hint="eastAsia"/>
                      <w:color w:val="auto"/>
                      <w:szCs w:val="24"/>
                      <w:highlight w:val="none"/>
                      <w:lang w:bidi="ar"/>
                    </w:rPr>
                    <w:t>≥85°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02" w:hRule="atLeast"/>
                <w:jc w:val="center"/>
              </w:trPr>
              <w:tc>
                <w:tcPr>
                  <w:tcW w:w="95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auto"/>
                      <w:szCs w:val="24"/>
                      <w:highlight w:val="none"/>
                    </w:rPr>
                  </w:pPr>
                  <w:r>
                    <w:rPr>
                      <w:rFonts w:hint="eastAsia"/>
                      <w:color w:val="auto"/>
                      <w:szCs w:val="24"/>
                      <w:highlight w:val="none"/>
                      <w:lang w:bidi="ar"/>
                    </w:rPr>
                    <w:t>物理</w:t>
                  </w:r>
                </w:p>
                <w:p>
                  <w:pPr>
                    <w:jc w:val="center"/>
                    <w:rPr>
                      <w:color w:val="auto"/>
                      <w:szCs w:val="24"/>
                      <w:highlight w:val="none"/>
                    </w:rPr>
                  </w:pPr>
                  <w:r>
                    <w:rPr>
                      <w:rFonts w:hint="eastAsia"/>
                      <w:color w:val="auto"/>
                      <w:szCs w:val="24"/>
                      <w:highlight w:val="none"/>
                      <w:lang w:bidi="ar"/>
                    </w:rPr>
                    <w:t>性能</w:t>
                  </w:r>
                </w:p>
                <w:p>
                  <w:pPr>
                    <w:jc w:val="center"/>
                    <w:rPr>
                      <w:color w:val="auto"/>
                      <w:szCs w:val="24"/>
                      <w:highlight w:val="none"/>
                    </w:rPr>
                  </w:pPr>
                </w:p>
              </w:tc>
              <w:tc>
                <w:tcPr>
                  <w:tcW w:w="139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auto"/>
                      <w:szCs w:val="24"/>
                      <w:highlight w:val="none"/>
                    </w:rPr>
                  </w:pPr>
                  <w:r>
                    <w:rPr>
                      <w:rFonts w:hint="eastAsia"/>
                      <w:color w:val="auto"/>
                      <w:szCs w:val="24"/>
                      <w:highlight w:val="none"/>
                      <w:lang w:bidi="ar"/>
                    </w:rPr>
                    <w:t>吸水率%</w:t>
                  </w:r>
                </w:p>
              </w:tc>
              <w:tc>
                <w:tcPr>
                  <w:tcW w:w="145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auto"/>
                      <w:szCs w:val="24"/>
                      <w:highlight w:val="none"/>
                    </w:rPr>
                  </w:pPr>
                  <w:r>
                    <w:rPr>
                      <w:rFonts w:hint="eastAsia"/>
                      <w:color w:val="auto"/>
                      <w:szCs w:val="24"/>
                      <w:highlight w:val="none"/>
                      <w:lang w:bidi="ar"/>
                    </w:rPr>
                    <w:t>GB/T3810.3</w:t>
                  </w:r>
                </w:p>
              </w:tc>
              <w:tc>
                <w:tcPr>
                  <w:tcW w:w="155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rPr>
                      <w:color w:val="auto"/>
                      <w:szCs w:val="24"/>
                      <w:highlight w:val="none"/>
                      <w:lang w:eastAsia="zh-CN"/>
                    </w:rPr>
                  </w:pPr>
                  <w:r>
                    <w:rPr>
                      <w:rFonts w:hint="eastAsia"/>
                      <w:color w:val="auto"/>
                      <w:szCs w:val="24"/>
                      <w:highlight w:val="none"/>
                      <w:lang w:eastAsia="zh-CN" w:bidi="ar"/>
                    </w:rPr>
                    <w:t xml:space="preserve">平均值：E≤0.3                  单块值：E≤0.4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58" w:hRule="atLeast"/>
                <w:jc w:val="center"/>
              </w:trPr>
              <w:tc>
                <w:tcPr>
                  <w:tcW w:w="95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ascii="Calibri" w:hAnsi="Calibri"/>
                      <w:color w:val="auto"/>
                      <w:sz w:val="20"/>
                      <w:highlight w:val="none"/>
                      <w:lang w:eastAsia="zh-CN"/>
                    </w:rPr>
                  </w:pPr>
                </w:p>
              </w:tc>
              <w:tc>
                <w:tcPr>
                  <w:tcW w:w="139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auto"/>
                      <w:szCs w:val="24"/>
                      <w:highlight w:val="none"/>
                    </w:rPr>
                  </w:pPr>
                  <w:r>
                    <w:rPr>
                      <w:rFonts w:hint="eastAsia"/>
                      <w:color w:val="auto"/>
                      <w:szCs w:val="24"/>
                      <w:highlight w:val="none"/>
                      <w:lang w:bidi="ar"/>
                    </w:rPr>
                    <w:t>断裂模数Mpa</w:t>
                  </w:r>
                </w:p>
              </w:tc>
              <w:tc>
                <w:tcPr>
                  <w:tcW w:w="145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auto"/>
                      <w:szCs w:val="24"/>
                      <w:highlight w:val="none"/>
                    </w:rPr>
                  </w:pPr>
                  <w:r>
                    <w:rPr>
                      <w:rFonts w:hint="eastAsia"/>
                      <w:color w:val="auto"/>
                      <w:szCs w:val="24"/>
                      <w:highlight w:val="none"/>
                      <w:lang w:bidi="ar"/>
                    </w:rPr>
                    <w:t>GB/T3810.4</w:t>
                  </w:r>
                </w:p>
              </w:tc>
              <w:tc>
                <w:tcPr>
                  <w:tcW w:w="155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color w:val="auto"/>
                      <w:szCs w:val="24"/>
                      <w:highlight w:val="none"/>
                      <w:lang w:eastAsia="zh-CN"/>
                    </w:rPr>
                  </w:pPr>
                  <w:r>
                    <w:rPr>
                      <w:rFonts w:hint="eastAsia"/>
                      <w:color w:val="auto"/>
                      <w:szCs w:val="24"/>
                      <w:highlight w:val="none"/>
                      <w:lang w:eastAsia="zh-CN" w:bidi="ar"/>
                    </w:rPr>
                    <w:t xml:space="preserve">平均值：E≥38                   单块值：E≥36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1" w:hRule="atLeast"/>
                <w:jc w:val="center"/>
              </w:trPr>
              <w:tc>
                <w:tcPr>
                  <w:tcW w:w="95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ascii="Calibri" w:hAnsi="Calibri"/>
                      <w:color w:val="auto"/>
                      <w:sz w:val="20"/>
                      <w:highlight w:val="none"/>
                      <w:lang w:eastAsia="zh-CN"/>
                    </w:rPr>
                  </w:pPr>
                </w:p>
              </w:tc>
              <w:tc>
                <w:tcPr>
                  <w:tcW w:w="139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auto"/>
                      <w:szCs w:val="24"/>
                      <w:highlight w:val="none"/>
                    </w:rPr>
                  </w:pPr>
                  <w:r>
                    <w:rPr>
                      <w:rFonts w:hint="eastAsia"/>
                      <w:color w:val="auto"/>
                      <w:szCs w:val="24"/>
                      <w:highlight w:val="none"/>
                      <w:lang w:bidi="ar"/>
                    </w:rPr>
                    <w:t>破坏强度N</w:t>
                  </w:r>
                </w:p>
              </w:tc>
              <w:tc>
                <w:tcPr>
                  <w:tcW w:w="145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auto"/>
                      <w:szCs w:val="24"/>
                      <w:highlight w:val="none"/>
                    </w:rPr>
                  </w:pPr>
                  <w:r>
                    <w:rPr>
                      <w:rFonts w:hint="eastAsia"/>
                      <w:color w:val="auto"/>
                      <w:szCs w:val="24"/>
                      <w:highlight w:val="none"/>
                      <w:lang w:bidi="ar"/>
                    </w:rPr>
                    <w:t>GB/T3810.4</w:t>
                  </w:r>
                </w:p>
              </w:tc>
              <w:tc>
                <w:tcPr>
                  <w:tcW w:w="155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auto"/>
                      <w:szCs w:val="24"/>
                      <w:highlight w:val="none"/>
                    </w:rPr>
                  </w:pPr>
                  <w:r>
                    <w:rPr>
                      <w:rFonts w:hint="eastAsia"/>
                      <w:color w:val="auto"/>
                      <w:szCs w:val="24"/>
                      <w:highlight w:val="none"/>
                      <w:lang w:bidi="ar"/>
                    </w:rPr>
                    <w:t xml:space="preserve">≥1800 N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4" w:hRule="atLeast"/>
                <w:jc w:val="center"/>
              </w:trPr>
              <w:tc>
                <w:tcPr>
                  <w:tcW w:w="95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ascii="Calibri" w:hAnsi="Calibri"/>
                      <w:color w:val="auto"/>
                      <w:sz w:val="20"/>
                      <w:highlight w:val="none"/>
                    </w:rPr>
                  </w:pPr>
                </w:p>
              </w:tc>
              <w:tc>
                <w:tcPr>
                  <w:tcW w:w="1398"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tLeast"/>
                    <w:ind w:firstLine="240" w:firstLineChars="100"/>
                    <w:jc w:val="center"/>
                    <w:rPr>
                      <w:color w:val="auto"/>
                      <w:szCs w:val="24"/>
                      <w:highlight w:val="none"/>
                    </w:rPr>
                  </w:pPr>
                  <w:r>
                    <w:rPr>
                      <w:rFonts w:hint="eastAsia"/>
                      <w:color w:val="auto"/>
                      <w:szCs w:val="24"/>
                      <w:highlight w:val="none"/>
                      <w:lang w:bidi="ar"/>
                    </w:rPr>
                    <w:t>耐磨性mm3</w:t>
                  </w:r>
                </w:p>
              </w:tc>
              <w:tc>
                <w:tcPr>
                  <w:tcW w:w="1453"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tLeast"/>
                    <w:ind w:left="32"/>
                    <w:jc w:val="center"/>
                    <w:rPr>
                      <w:color w:val="auto"/>
                      <w:szCs w:val="24"/>
                      <w:highlight w:val="none"/>
                    </w:rPr>
                  </w:pPr>
                  <w:r>
                    <w:rPr>
                      <w:rFonts w:hint="eastAsia"/>
                      <w:color w:val="auto"/>
                      <w:szCs w:val="24"/>
                      <w:highlight w:val="none"/>
                      <w:lang w:bidi="ar"/>
                    </w:rPr>
                    <w:t>GB/T3810.6</w:t>
                  </w:r>
                </w:p>
              </w:tc>
              <w:tc>
                <w:tcPr>
                  <w:tcW w:w="155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ind w:firstLine="120" w:firstLineChars="50"/>
                    <w:rPr>
                      <w:color w:val="auto"/>
                      <w:szCs w:val="24"/>
                      <w:highlight w:val="none"/>
                    </w:rPr>
                  </w:pPr>
                  <w:r>
                    <w:rPr>
                      <w:rFonts w:hint="eastAsia"/>
                      <w:color w:val="auto"/>
                      <w:szCs w:val="24"/>
                      <w:highlight w:val="none"/>
                      <w:lang w:bidi="ar"/>
                    </w:rPr>
                    <w:t>≤140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3" w:hRule="atLeast"/>
                <w:jc w:val="center"/>
              </w:trPr>
              <w:tc>
                <w:tcPr>
                  <w:tcW w:w="95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ascii="Calibri" w:hAnsi="Calibri"/>
                      <w:color w:val="auto"/>
                      <w:sz w:val="20"/>
                      <w:highlight w:val="none"/>
                    </w:rPr>
                  </w:pPr>
                </w:p>
              </w:tc>
              <w:tc>
                <w:tcPr>
                  <w:tcW w:w="1398"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tLeast"/>
                    <w:ind w:firstLine="240" w:firstLineChars="100"/>
                    <w:jc w:val="center"/>
                    <w:rPr>
                      <w:color w:val="auto"/>
                      <w:szCs w:val="24"/>
                      <w:highlight w:val="none"/>
                    </w:rPr>
                  </w:pPr>
                  <w:r>
                    <w:rPr>
                      <w:rFonts w:hint="eastAsia"/>
                      <w:color w:val="auto"/>
                      <w:szCs w:val="24"/>
                      <w:highlight w:val="none"/>
                      <w:lang w:bidi="ar"/>
                    </w:rPr>
                    <w:t>静摩擦系数（干法）</w:t>
                  </w:r>
                </w:p>
              </w:tc>
              <w:tc>
                <w:tcPr>
                  <w:tcW w:w="1453"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tLeast"/>
                    <w:ind w:left="32"/>
                    <w:jc w:val="center"/>
                    <w:rPr>
                      <w:color w:val="auto"/>
                      <w:szCs w:val="24"/>
                      <w:highlight w:val="none"/>
                    </w:rPr>
                  </w:pPr>
                  <w:r>
                    <w:rPr>
                      <w:rFonts w:hint="eastAsia"/>
                      <w:color w:val="auto"/>
                      <w:szCs w:val="24"/>
                      <w:highlight w:val="none"/>
                      <w:lang w:bidi="ar"/>
                    </w:rPr>
                    <w:t>GB/T4100-2006附录M</w:t>
                  </w:r>
                </w:p>
              </w:tc>
              <w:tc>
                <w:tcPr>
                  <w:tcW w:w="155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auto"/>
                      <w:szCs w:val="24"/>
                      <w:highlight w:val="none"/>
                    </w:rPr>
                  </w:pPr>
                  <w:r>
                    <w:rPr>
                      <w:rFonts w:hint="eastAsia"/>
                      <w:color w:val="auto"/>
                      <w:szCs w:val="24"/>
                      <w:highlight w:val="none"/>
                      <w:lang w:bidi="ar"/>
                    </w:rPr>
                    <w:t>≥0.55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3" w:hRule="atLeast"/>
                <w:jc w:val="center"/>
              </w:trPr>
              <w:tc>
                <w:tcPr>
                  <w:tcW w:w="95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ascii="Calibri" w:hAnsi="Calibri"/>
                      <w:color w:val="auto"/>
                      <w:sz w:val="20"/>
                      <w:highlight w:val="none"/>
                    </w:rPr>
                  </w:pPr>
                </w:p>
              </w:tc>
              <w:tc>
                <w:tcPr>
                  <w:tcW w:w="1398"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tLeast"/>
                    <w:ind w:firstLine="240" w:firstLineChars="100"/>
                    <w:jc w:val="center"/>
                    <w:rPr>
                      <w:color w:val="auto"/>
                      <w:szCs w:val="24"/>
                      <w:highlight w:val="none"/>
                    </w:rPr>
                  </w:pPr>
                  <w:r>
                    <w:rPr>
                      <w:rFonts w:hint="eastAsia"/>
                      <w:color w:val="auto"/>
                      <w:szCs w:val="24"/>
                      <w:highlight w:val="none"/>
                      <w:lang w:bidi="ar"/>
                    </w:rPr>
                    <w:t>抗冻性</w:t>
                  </w:r>
                </w:p>
              </w:tc>
              <w:tc>
                <w:tcPr>
                  <w:tcW w:w="1453"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tLeast"/>
                    <w:ind w:left="32"/>
                    <w:jc w:val="center"/>
                    <w:rPr>
                      <w:color w:val="auto"/>
                      <w:szCs w:val="24"/>
                      <w:highlight w:val="none"/>
                    </w:rPr>
                  </w:pPr>
                  <w:r>
                    <w:rPr>
                      <w:rFonts w:hint="eastAsia"/>
                      <w:color w:val="auto"/>
                      <w:szCs w:val="24"/>
                      <w:highlight w:val="none"/>
                      <w:lang w:bidi="ar"/>
                    </w:rPr>
                    <w:t>GB/T3810.12</w:t>
                  </w:r>
                </w:p>
              </w:tc>
              <w:tc>
                <w:tcPr>
                  <w:tcW w:w="155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auto"/>
                      <w:szCs w:val="24"/>
                      <w:highlight w:val="none"/>
                    </w:rPr>
                  </w:pPr>
                  <w:r>
                    <w:rPr>
                      <w:rFonts w:hint="eastAsia"/>
                      <w:color w:val="auto"/>
                      <w:szCs w:val="24"/>
                      <w:highlight w:val="none"/>
                      <w:lang w:bidi="ar"/>
                    </w:rPr>
                    <w:t>110次抗冻性试验无裂纹</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95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ascii="Calibri" w:hAnsi="Calibri"/>
                      <w:color w:val="auto"/>
                      <w:sz w:val="20"/>
                      <w:highlight w:val="none"/>
                    </w:rPr>
                  </w:pPr>
                </w:p>
              </w:tc>
              <w:tc>
                <w:tcPr>
                  <w:tcW w:w="139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auto"/>
                      <w:szCs w:val="24"/>
                      <w:highlight w:val="none"/>
                    </w:rPr>
                  </w:pPr>
                  <w:r>
                    <w:rPr>
                      <w:rFonts w:hint="eastAsia"/>
                      <w:color w:val="auto"/>
                      <w:szCs w:val="24"/>
                      <w:highlight w:val="none"/>
                      <w:lang w:bidi="ar"/>
                    </w:rPr>
                    <w:t>抗热震性</w:t>
                  </w:r>
                </w:p>
              </w:tc>
              <w:tc>
                <w:tcPr>
                  <w:tcW w:w="1453" w:type="dxa"/>
                  <w:tcBorders>
                    <w:top w:val="single" w:color="000000" w:sz="4" w:space="0"/>
                    <w:left w:val="single" w:color="000000" w:sz="4" w:space="0"/>
                    <w:bottom w:val="single" w:color="000000" w:sz="4" w:space="0"/>
                    <w:right w:val="single" w:color="000000" w:sz="4" w:space="0"/>
                  </w:tcBorders>
                  <w:shd w:val="clear" w:color="auto" w:fill="auto"/>
                  <w:vAlign w:val="center"/>
                </w:tcPr>
                <w:p>
                  <w:pPr>
                    <w:ind w:left="32"/>
                    <w:jc w:val="center"/>
                    <w:rPr>
                      <w:color w:val="auto"/>
                      <w:szCs w:val="24"/>
                      <w:highlight w:val="none"/>
                    </w:rPr>
                  </w:pPr>
                  <w:r>
                    <w:rPr>
                      <w:rFonts w:hint="eastAsia"/>
                      <w:color w:val="auto"/>
                      <w:szCs w:val="24"/>
                      <w:highlight w:val="none"/>
                      <w:lang w:bidi="ar"/>
                    </w:rPr>
                    <w:t>GB/T3810.9</w:t>
                  </w:r>
                </w:p>
              </w:tc>
              <w:tc>
                <w:tcPr>
                  <w:tcW w:w="155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auto"/>
                      <w:szCs w:val="24"/>
                      <w:highlight w:val="none"/>
                      <w:lang w:eastAsia="zh-CN"/>
                    </w:rPr>
                  </w:pPr>
                  <w:r>
                    <w:rPr>
                      <w:rFonts w:hint="eastAsia"/>
                      <w:color w:val="auto"/>
                      <w:szCs w:val="24"/>
                      <w:highlight w:val="none"/>
                      <w:lang w:eastAsia="zh-CN" w:bidi="ar"/>
                    </w:rPr>
                    <w:t>145℃±5℃～15℃±5℃ 之间循环，10次数不裂</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95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auto"/>
                      <w:szCs w:val="24"/>
                      <w:highlight w:val="none"/>
                      <w:lang w:eastAsia="zh-CN"/>
                    </w:rPr>
                  </w:pPr>
                </w:p>
              </w:tc>
              <w:tc>
                <w:tcPr>
                  <w:tcW w:w="139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auto"/>
                      <w:szCs w:val="24"/>
                      <w:highlight w:val="none"/>
                      <w:lang w:eastAsia="zh-CN"/>
                    </w:rPr>
                  </w:pPr>
                  <w:r>
                    <w:rPr>
                      <w:rFonts w:hint="eastAsia"/>
                      <w:color w:val="auto"/>
                      <w:szCs w:val="24"/>
                      <w:highlight w:val="none"/>
                      <w:lang w:eastAsia="zh-CN" w:bidi="ar"/>
                    </w:rPr>
                    <w:t>莫氏硬度</w:t>
                  </w:r>
                </w:p>
              </w:tc>
              <w:tc>
                <w:tcPr>
                  <w:tcW w:w="1453" w:type="dxa"/>
                  <w:tcBorders>
                    <w:top w:val="single" w:color="000000" w:sz="4" w:space="0"/>
                    <w:left w:val="single" w:color="000000" w:sz="4" w:space="0"/>
                    <w:bottom w:val="single" w:color="000000" w:sz="4" w:space="0"/>
                    <w:right w:val="single" w:color="000000" w:sz="4" w:space="0"/>
                  </w:tcBorders>
                  <w:shd w:val="clear" w:color="auto" w:fill="auto"/>
                  <w:vAlign w:val="center"/>
                </w:tcPr>
                <w:p>
                  <w:pPr>
                    <w:ind w:left="32"/>
                    <w:jc w:val="center"/>
                    <w:rPr>
                      <w:color w:val="auto"/>
                      <w:szCs w:val="24"/>
                      <w:highlight w:val="none"/>
                      <w:lang w:eastAsia="zh-CN"/>
                    </w:rPr>
                  </w:pPr>
                  <w:r>
                    <w:rPr>
                      <w:rFonts w:hint="eastAsia"/>
                      <w:color w:val="auto"/>
                      <w:szCs w:val="24"/>
                      <w:highlight w:val="none"/>
                      <w:lang w:eastAsia="zh-CN" w:bidi="ar"/>
                    </w:rPr>
                    <w:t>JC/T 908-2013</w:t>
                  </w:r>
                </w:p>
              </w:tc>
              <w:tc>
                <w:tcPr>
                  <w:tcW w:w="155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auto"/>
                      <w:szCs w:val="24"/>
                      <w:highlight w:val="none"/>
                      <w:lang w:eastAsia="zh-CN"/>
                    </w:rPr>
                  </w:pPr>
                  <w:r>
                    <w:rPr>
                      <w:rFonts w:hint="eastAsia"/>
                      <w:color w:val="auto"/>
                      <w:szCs w:val="24"/>
                      <w:highlight w:val="none"/>
                      <w:lang w:eastAsia="zh-CN" w:bidi="ar"/>
                    </w:rPr>
                    <w:t>6级</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7" w:hRule="atLeast"/>
                <w:jc w:val="center"/>
              </w:trPr>
              <w:tc>
                <w:tcPr>
                  <w:tcW w:w="95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auto"/>
                      <w:szCs w:val="24"/>
                      <w:highlight w:val="none"/>
                      <w:lang w:eastAsia="zh-CN"/>
                    </w:rPr>
                  </w:pPr>
                  <w:r>
                    <w:rPr>
                      <w:rFonts w:hint="eastAsia"/>
                      <w:color w:val="auto"/>
                      <w:szCs w:val="24"/>
                      <w:highlight w:val="none"/>
                      <w:lang w:eastAsia="zh-CN" w:bidi="ar"/>
                    </w:rPr>
                    <w:t>化学</w:t>
                  </w:r>
                </w:p>
                <w:p>
                  <w:pPr>
                    <w:jc w:val="center"/>
                    <w:rPr>
                      <w:color w:val="auto"/>
                      <w:szCs w:val="24"/>
                      <w:highlight w:val="none"/>
                      <w:lang w:eastAsia="zh-CN"/>
                    </w:rPr>
                  </w:pPr>
                  <w:r>
                    <w:rPr>
                      <w:rFonts w:hint="eastAsia"/>
                      <w:color w:val="auto"/>
                      <w:szCs w:val="24"/>
                      <w:highlight w:val="none"/>
                      <w:lang w:eastAsia="zh-CN" w:bidi="ar"/>
                    </w:rPr>
                    <w:t>性能</w:t>
                  </w:r>
                </w:p>
              </w:tc>
              <w:tc>
                <w:tcPr>
                  <w:tcW w:w="139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tLeast"/>
                    <w:ind w:firstLine="240" w:firstLineChars="100"/>
                    <w:jc w:val="center"/>
                    <w:rPr>
                      <w:color w:val="auto"/>
                      <w:szCs w:val="24"/>
                      <w:highlight w:val="none"/>
                      <w:lang w:eastAsia="zh-CN"/>
                    </w:rPr>
                  </w:pPr>
                  <w:r>
                    <w:rPr>
                      <w:rFonts w:hint="eastAsia"/>
                      <w:color w:val="auto"/>
                      <w:szCs w:val="24"/>
                      <w:highlight w:val="none"/>
                      <w:lang w:eastAsia="zh-CN" w:bidi="ar"/>
                    </w:rPr>
                    <w:t>耐化学腐蚀性</w:t>
                  </w:r>
                </w:p>
              </w:tc>
              <w:tc>
                <w:tcPr>
                  <w:tcW w:w="145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tLeast"/>
                    <w:ind w:left="72"/>
                    <w:jc w:val="center"/>
                    <w:rPr>
                      <w:color w:val="auto"/>
                      <w:szCs w:val="24"/>
                      <w:highlight w:val="none"/>
                      <w:lang w:eastAsia="zh-CN"/>
                    </w:rPr>
                  </w:pPr>
                  <w:r>
                    <w:rPr>
                      <w:rFonts w:hint="eastAsia"/>
                      <w:color w:val="auto"/>
                      <w:szCs w:val="24"/>
                      <w:highlight w:val="none"/>
                      <w:lang w:eastAsia="zh-CN" w:bidi="ar"/>
                    </w:rPr>
                    <w:t>GB/T3810.13</w:t>
                  </w:r>
                </w:p>
              </w:tc>
              <w:tc>
                <w:tcPr>
                  <w:tcW w:w="1559" w:type="dxa"/>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240" w:firstLineChars="100"/>
                    <w:rPr>
                      <w:color w:val="auto"/>
                      <w:szCs w:val="24"/>
                      <w:highlight w:val="none"/>
                      <w:lang w:eastAsia="zh-CN"/>
                    </w:rPr>
                  </w:pPr>
                  <w:r>
                    <w:rPr>
                      <w:rFonts w:hint="eastAsia"/>
                      <w:color w:val="auto"/>
                      <w:szCs w:val="24"/>
                      <w:highlight w:val="none"/>
                      <w:lang w:eastAsia="zh-CN" w:bidi="ar"/>
                    </w:rPr>
                    <w:t>ULA级</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6" w:hRule="atLeast"/>
                <w:jc w:val="center"/>
              </w:trPr>
              <w:tc>
                <w:tcPr>
                  <w:tcW w:w="95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ascii="Calibri" w:hAnsi="Calibri"/>
                      <w:color w:val="auto"/>
                      <w:sz w:val="20"/>
                      <w:highlight w:val="none"/>
                      <w:lang w:eastAsia="zh-CN"/>
                    </w:rPr>
                  </w:pPr>
                </w:p>
              </w:tc>
              <w:tc>
                <w:tcPr>
                  <w:tcW w:w="13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ascii="Calibri" w:hAnsi="Calibri"/>
                      <w:color w:val="auto"/>
                      <w:sz w:val="20"/>
                      <w:highlight w:val="none"/>
                      <w:lang w:eastAsia="zh-CN"/>
                    </w:rPr>
                  </w:pPr>
                </w:p>
              </w:tc>
              <w:tc>
                <w:tcPr>
                  <w:tcW w:w="145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ascii="Calibri" w:hAnsi="Calibri"/>
                      <w:color w:val="auto"/>
                      <w:sz w:val="20"/>
                      <w:highlight w:val="none"/>
                      <w:lang w:eastAsia="zh-CN"/>
                    </w:rPr>
                  </w:pPr>
                </w:p>
              </w:tc>
              <w:tc>
                <w:tcPr>
                  <w:tcW w:w="1559" w:type="dxa"/>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240" w:firstLineChars="100"/>
                    <w:jc w:val="center"/>
                    <w:rPr>
                      <w:color w:val="auto"/>
                      <w:szCs w:val="24"/>
                      <w:highlight w:val="none"/>
                      <w:lang w:eastAsia="zh-CN"/>
                    </w:rPr>
                  </w:pPr>
                  <w:r>
                    <w:rPr>
                      <w:rFonts w:hint="eastAsia"/>
                      <w:color w:val="auto"/>
                      <w:szCs w:val="24"/>
                      <w:highlight w:val="none"/>
                      <w:lang w:eastAsia="zh-CN" w:bidi="ar"/>
                    </w:rPr>
                    <w:t>UHA级</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6" w:hRule="atLeast"/>
                <w:jc w:val="center"/>
              </w:trPr>
              <w:tc>
                <w:tcPr>
                  <w:tcW w:w="95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ascii="Calibri" w:hAnsi="Calibri"/>
                      <w:color w:val="auto"/>
                      <w:sz w:val="20"/>
                      <w:highlight w:val="none"/>
                      <w:lang w:eastAsia="zh-CN"/>
                    </w:rPr>
                  </w:pPr>
                </w:p>
              </w:tc>
              <w:tc>
                <w:tcPr>
                  <w:tcW w:w="13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ascii="Calibri" w:hAnsi="Calibri"/>
                      <w:color w:val="auto"/>
                      <w:sz w:val="20"/>
                      <w:highlight w:val="none"/>
                      <w:lang w:eastAsia="zh-CN"/>
                    </w:rPr>
                  </w:pPr>
                </w:p>
              </w:tc>
              <w:tc>
                <w:tcPr>
                  <w:tcW w:w="145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ascii="Calibri" w:hAnsi="Calibri"/>
                      <w:color w:val="auto"/>
                      <w:sz w:val="20"/>
                      <w:highlight w:val="none"/>
                      <w:lang w:eastAsia="zh-CN"/>
                    </w:rPr>
                  </w:pPr>
                </w:p>
              </w:tc>
              <w:tc>
                <w:tcPr>
                  <w:tcW w:w="1559" w:type="dxa"/>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240" w:firstLineChars="100"/>
                    <w:jc w:val="center"/>
                    <w:rPr>
                      <w:color w:val="auto"/>
                      <w:szCs w:val="24"/>
                      <w:highlight w:val="none"/>
                      <w:lang w:eastAsia="zh-CN"/>
                    </w:rPr>
                  </w:pPr>
                  <w:r>
                    <w:rPr>
                      <w:rFonts w:hint="eastAsia"/>
                      <w:color w:val="auto"/>
                      <w:szCs w:val="24"/>
                      <w:highlight w:val="none"/>
                      <w:lang w:eastAsia="zh-CN" w:bidi="ar"/>
                    </w:rPr>
                    <w:t>GA级</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95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ascii="Calibri" w:hAnsi="Calibri"/>
                      <w:color w:val="auto"/>
                      <w:sz w:val="20"/>
                      <w:highlight w:val="none"/>
                      <w:lang w:eastAsia="zh-CN"/>
                    </w:rPr>
                  </w:pPr>
                </w:p>
              </w:tc>
              <w:tc>
                <w:tcPr>
                  <w:tcW w:w="1398"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tLeast"/>
                    <w:jc w:val="center"/>
                    <w:rPr>
                      <w:color w:val="auto"/>
                      <w:szCs w:val="24"/>
                      <w:highlight w:val="none"/>
                      <w:lang w:eastAsia="zh-CN"/>
                    </w:rPr>
                  </w:pPr>
                  <w:r>
                    <w:rPr>
                      <w:rFonts w:hint="eastAsia"/>
                      <w:color w:val="auto"/>
                      <w:szCs w:val="24"/>
                      <w:highlight w:val="none"/>
                      <w:lang w:eastAsia="zh-CN" w:bidi="ar"/>
                    </w:rPr>
                    <w:t>放射性核元素限量</w:t>
                  </w:r>
                </w:p>
              </w:tc>
              <w:tc>
                <w:tcPr>
                  <w:tcW w:w="1453"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tLeast"/>
                    <w:jc w:val="center"/>
                    <w:rPr>
                      <w:color w:val="auto"/>
                      <w:szCs w:val="24"/>
                      <w:highlight w:val="none"/>
                      <w:lang w:eastAsia="zh-CN"/>
                    </w:rPr>
                  </w:pPr>
                  <w:r>
                    <w:rPr>
                      <w:rFonts w:hint="eastAsia"/>
                      <w:color w:val="auto"/>
                      <w:szCs w:val="24"/>
                      <w:highlight w:val="none"/>
                      <w:lang w:eastAsia="zh-CN" w:bidi="ar"/>
                    </w:rPr>
                    <w:t>GB/6566-2010</w:t>
                  </w:r>
                </w:p>
              </w:tc>
              <w:tc>
                <w:tcPr>
                  <w:tcW w:w="1559"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tLeast"/>
                    <w:ind w:firstLine="600" w:firstLineChars="250"/>
                    <w:rPr>
                      <w:color w:val="auto"/>
                      <w:szCs w:val="24"/>
                      <w:highlight w:val="none"/>
                      <w:lang w:eastAsia="zh-CN"/>
                    </w:rPr>
                  </w:pPr>
                  <w:r>
                    <w:rPr>
                      <w:rFonts w:hint="eastAsia"/>
                      <w:color w:val="auto"/>
                      <w:szCs w:val="24"/>
                      <w:highlight w:val="none"/>
                      <w:lang w:eastAsia="zh-CN" w:bidi="ar"/>
                    </w:rPr>
                    <w:t>A</w:t>
                  </w:r>
                </w:p>
              </w:tc>
            </w:tr>
          </w:tbl>
          <w:p>
            <w:pPr>
              <w:rPr>
                <w:color w:val="auto"/>
                <w:highlight w:val="none"/>
                <w:lang w:eastAsia="zh-CN"/>
              </w:rPr>
            </w:pPr>
          </w:p>
          <w:p>
            <w:pPr>
              <w:rPr>
                <w:color w:val="auto"/>
                <w:highlight w:val="none"/>
                <w:lang w:eastAsia="zh-CN"/>
              </w:rPr>
            </w:pPr>
            <w:r>
              <w:rPr>
                <w:rFonts w:hint="eastAsia"/>
                <w:color w:val="auto"/>
                <w:highlight w:val="none"/>
                <w:lang w:eastAsia="zh-CN" w:bidi="ar"/>
              </w:rPr>
              <w:t>瓷砖铺贴必须采用背胶工艺。</w:t>
            </w:r>
          </w:p>
          <w:p>
            <w:pPr>
              <w:rPr>
                <w:color w:val="auto"/>
                <w:highlight w:val="none"/>
              </w:rPr>
            </w:pPr>
            <w:r>
              <w:rPr>
                <w:rFonts w:hint="eastAsia"/>
                <w:color w:val="auto"/>
                <w:highlight w:val="none"/>
                <w:lang w:bidi="ar"/>
              </w:rPr>
              <w:t>墙面平直度检测标准：</w:t>
            </w:r>
          </w:p>
          <w:tbl>
            <w:tblPr>
              <w:tblStyle w:val="85"/>
              <w:tblW w:w="614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70"/>
              <w:gridCol w:w="1007"/>
              <w:gridCol w:w="1007"/>
              <w:gridCol w:w="749"/>
              <w:gridCol w:w="28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1" w:hRule="atLeast"/>
              </w:trPr>
              <w:tc>
                <w:tcPr>
                  <w:tcW w:w="57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rPr>
                      <w:color w:val="auto"/>
                      <w:highlight w:val="none"/>
                    </w:rPr>
                  </w:pPr>
                  <w:r>
                    <w:rPr>
                      <w:rFonts w:hint="eastAsia"/>
                      <w:color w:val="auto"/>
                      <w:highlight w:val="none"/>
                      <w:lang w:bidi="ar"/>
                    </w:rPr>
                    <w:t>项次</w:t>
                  </w:r>
                </w:p>
              </w:tc>
              <w:tc>
                <w:tcPr>
                  <w:tcW w:w="100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rPr>
                      <w:color w:val="auto"/>
                      <w:highlight w:val="none"/>
                    </w:rPr>
                  </w:pPr>
                  <w:r>
                    <w:rPr>
                      <w:rFonts w:hint="eastAsia"/>
                      <w:color w:val="auto"/>
                      <w:highlight w:val="none"/>
                      <w:lang w:bidi="ar"/>
                    </w:rPr>
                    <w:t>项目</w:t>
                  </w:r>
                </w:p>
              </w:tc>
              <w:tc>
                <w:tcPr>
                  <w:tcW w:w="175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rPr>
                      <w:color w:val="auto"/>
                      <w:highlight w:val="none"/>
                    </w:rPr>
                  </w:pPr>
                  <w:r>
                    <w:rPr>
                      <w:rFonts w:hint="eastAsia"/>
                      <w:color w:val="auto"/>
                      <w:highlight w:val="none"/>
                      <w:lang w:bidi="ar"/>
                    </w:rPr>
                    <w:t>允许偏差（</w:t>
                  </w:r>
                  <w:r>
                    <w:rPr>
                      <w:color w:val="auto"/>
                      <w:highlight w:val="none"/>
                      <w:lang w:bidi="ar"/>
                    </w:rPr>
                    <w:t>mm</w:t>
                  </w:r>
                  <w:r>
                    <w:rPr>
                      <w:rFonts w:hint="eastAsia"/>
                      <w:color w:val="auto"/>
                      <w:highlight w:val="none"/>
                      <w:lang w:bidi="ar"/>
                    </w:rPr>
                    <w:t>）</w:t>
                  </w:r>
                </w:p>
              </w:tc>
              <w:tc>
                <w:tcPr>
                  <w:tcW w:w="2815"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rPr>
                      <w:color w:val="auto"/>
                      <w:highlight w:val="none"/>
                    </w:rPr>
                  </w:pPr>
                  <w:r>
                    <w:rPr>
                      <w:rFonts w:hint="eastAsia"/>
                      <w:color w:val="auto"/>
                      <w:highlight w:val="none"/>
                      <w:lang w:bidi="ar"/>
                    </w:rPr>
                    <w:t>检验方法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2" w:hRule="atLeast"/>
              </w:trPr>
              <w:tc>
                <w:tcPr>
                  <w:tcW w:w="570"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rPr>
                      <w:rFonts w:ascii="Calibri" w:hAnsi="Calibri"/>
                      <w:color w:val="auto"/>
                      <w:sz w:val="20"/>
                      <w:highlight w:val="none"/>
                    </w:rPr>
                  </w:pPr>
                </w:p>
              </w:tc>
              <w:tc>
                <w:tcPr>
                  <w:tcW w:w="100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rPr>
                      <w:rFonts w:ascii="Calibri" w:hAnsi="Calibri"/>
                      <w:color w:val="auto"/>
                      <w:sz w:val="20"/>
                      <w:highlight w:val="none"/>
                    </w:rPr>
                  </w:pPr>
                </w:p>
              </w:tc>
              <w:tc>
                <w:tcPr>
                  <w:tcW w:w="1007" w:type="dxa"/>
                  <w:tcBorders>
                    <w:top w:val="single" w:color="auto" w:sz="4" w:space="0"/>
                    <w:left w:val="single" w:color="auto" w:sz="4" w:space="0"/>
                    <w:bottom w:val="single" w:color="auto" w:sz="4" w:space="0"/>
                    <w:right w:val="single" w:color="auto" w:sz="4" w:space="0"/>
                  </w:tcBorders>
                  <w:shd w:val="clear" w:color="auto" w:fill="auto"/>
                  <w:vAlign w:val="center"/>
                </w:tcPr>
                <w:p>
                  <w:pPr>
                    <w:rPr>
                      <w:color w:val="auto"/>
                      <w:highlight w:val="none"/>
                    </w:rPr>
                  </w:pPr>
                  <w:r>
                    <w:rPr>
                      <w:rFonts w:hint="eastAsia"/>
                      <w:color w:val="auto"/>
                      <w:highlight w:val="none"/>
                      <w:lang w:bidi="ar"/>
                    </w:rPr>
                    <w:t>纸面石膏板</w:t>
                  </w:r>
                </w:p>
              </w:tc>
              <w:tc>
                <w:tcPr>
                  <w:tcW w:w="749" w:type="dxa"/>
                  <w:tcBorders>
                    <w:top w:val="single" w:color="auto" w:sz="4" w:space="0"/>
                    <w:left w:val="single" w:color="auto" w:sz="4" w:space="0"/>
                    <w:bottom w:val="single" w:color="auto" w:sz="4" w:space="0"/>
                    <w:right w:val="single" w:color="auto" w:sz="4" w:space="0"/>
                  </w:tcBorders>
                  <w:shd w:val="clear" w:color="auto" w:fill="auto"/>
                  <w:vAlign w:val="center"/>
                </w:tcPr>
                <w:p>
                  <w:pPr>
                    <w:rPr>
                      <w:color w:val="auto"/>
                      <w:highlight w:val="none"/>
                    </w:rPr>
                  </w:pPr>
                  <w:r>
                    <w:rPr>
                      <w:rFonts w:hint="eastAsia"/>
                      <w:color w:val="auto"/>
                      <w:highlight w:val="none"/>
                      <w:lang w:bidi="ar"/>
                    </w:rPr>
                    <w:t>金属板</w:t>
                  </w:r>
                </w:p>
              </w:tc>
              <w:tc>
                <w:tcPr>
                  <w:tcW w:w="2815"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rPr>
                      <w:rFonts w:ascii="Calibri" w:hAnsi="Calibri"/>
                      <w:color w:val="auto"/>
                      <w:sz w:val="20"/>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2" w:hRule="atLeast"/>
              </w:trPr>
              <w:tc>
                <w:tcPr>
                  <w:tcW w:w="570" w:type="dxa"/>
                  <w:tcBorders>
                    <w:top w:val="single" w:color="auto" w:sz="4" w:space="0"/>
                    <w:left w:val="single" w:color="auto" w:sz="4" w:space="0"/>
                    <w:bottom w:val="single" w:color="auto" w:sz="4" w:space="0"/>
                    <w:right w:val="single" w:color="auto" w:sz="4" w:space="0"/>
                  </w:tcBorders>
                  <w:shd w:val="clear" w:color="auto" w:fill="auto"/>
                  <w:vAlign w:val="center"/>
                </w:tcPr>
                <w:p>
                  <w:pPr>
                    <w:rPr>
                      <w:color w:val="auto"/>
                      <w:highlight w:val="none"/>
                    </w:rPr>
                  </w:pPr>
                  <w:r>
                    <w:rPr>
                      <w:color w:val="auto"/>
                      <w:highlight w:val="none"/>
                      <w:lang w:bidi="ar"/>
                    </w:rPr>
                    <w:t>1</w:t>
                  </w:r>
                </w:p>
              </w:tc>
              <w:tc>
                <w:tcPr>
                  <w:tcW w:w="1007" w:type="dxa"/>
                  <w:tcBorders>
                    <w:top w:val="single" w:color="auto" w:sz="4" w:space="0"/>
                    <w:left w:val="single" w:color="auto" w:sz="4" w:space="0"/>
                    <w:bottom w:val="single" w:color="auto" w:sz="4" w:space="0"/>
                    <w:right w:val="single" w:color="auto" w:sz="4" w:space="0"/>
                  </w:tcBorders>
                  <w:shd w:val="clear" w:color="auto" w:fill="auto"/>
                  <w:vAlign w:val="center"/>
                </w:tcPr>
                <w:p>
                  <w:pPr>
                    <w:rPr>
                      <w:color w:val="auto"/>
                      <w:highlight w:val="none"/>
                    </w:rPr>
                  </w:pPr>
                  <w:r>
                    <w:rPr>
                      <w:rFonts w:hint="eastAsia"/>
                      <w:color w:val="auto"/>
                      <w:highlight w:val="none"/>
                      <w:lang w:bidi="ar"/>
                    </w:rPr>
                    <w:t>表面平整度</w:t>
                  </w:r>
                </w:p>
              </w:tc>
              <w:tc>
                <w:tcPr>
                  <w:tcW w:w="1007" w:type="dxa"/>
                  <w:tcBorders>
                    <w:top w:val="single" w:color="auto" w:sz="4" w:space="0"/>
                    <w:left w:val="single" w:color="auto" w:sz="4" w:space="0"/>
                    <w:bottom w:val="single" w:color="auto" w:sz="4" w:space="0"/>
                    <w:right w:val="single" w:color="auto" w:sz="4" w:space="0"/>
                  </w:tcBorders>
                  <w:shd w:val="clear" w:color="auto" w:fill="auto"/>
                  <w:vAlign w:val="center"/>
                </w:tcPr>
                <w:p>
                  <w:pPr>
                    <w:rPr>
                      <w:color w:val="auto"/>
                      <w:highlight w:val="none"/>
                    </w:rPr>
                  </w:pPr>
                  <w:r>
                    <w:rPr>
                      <w:color w:val="auto"/>
                      <w:highlight w:val="none"/>
                      <w:lang w:bidi="ar"/>
                    </w:rPr>
                    <w:t>3</w:t>
                  </w:r>
                </w:p>
              </w:tc>
              <w:tc>
                <w:tcPr>
                  <w:tcW w:w="749" w:type="dxa"/>
                  <w:tcBorders>
                    <w:top w:val="single" w:color="auto" w:sz="4" w:space="0"/>
                    <w:left w:val="single" w:color="auto" w:sz="4" w:space="0"/>
                    <w:bottom w:val="single" w:color="auto" w:sz="4" w:space="0"/>
                    <w:right w:val="single" w:color="auto" w:sz="4" w:space="0"/>
                  </w:tcBorders>
                  <w:shd w:val="clear" w:color="auto" w:fill="auto"/>
                  <w:vAlign w:val="center"/>
                </w:tcPr>
                <w:p>
                  <w:pPr>
                    <w:rPr>
                      <w:color w:val="auto"/>
                      <w:highlight w:val="none"/>
                    </w:rPr>
                  </w:pPr>
                  <w:r>
                    <w:rPr>
                      <w:color w:val="auto"/>
                      <w:highlight w:val="none"/>
                      <w:lang w:bidi="ar"/>
                    </w:rPr>
                    <w:t>2</w:t>
                  </w:r>
                </w:p>
              </w:tc>
              <w:tc>
                <w:tcPr>
                  <w:tcW w:w="2815" w:type="dxa"/>
                  <w:tcBorders>
                    <w:top w:val="single" w:color="auto" w:sz="4" w:space="0"/>
                    <w:left w:val="single" w:color="auto" w:sz="4" w:space="0"/>
                    <w:bottom w:val="single" w:color="auto" w:sz="4" w:space="0"/>
                    <w:right w:val="single" w:color="auto" w:sz="4" w:space="0"/>
                  </w:tcBorders>
                  <w:shd w:val="clear" w:color="auto" w:fill="auto"/>
                  <w:vAlign w:val="center"/>
                </w:tcPr>
                <w:p>
                  <w:pPr>
                    <w:rPr>
                      <w:color w:val="auto"/>
                      <w:highlight w:val="none"/>
                    </w:rPr>
                  </w:pPr>
                  <w:r>
                    <w:rPr>
                      <w:rFonts w:hint="eastAsia"/>
                      <w:color w:val="auto"/>
                      <w:highlight w:val="none"/>
                      <w:lang w:bidi="ar"/>
                    </w:rPr>
                    <w:t>用</w:t>
                  </w:r>
                  <w:r>
                    <w:rPr>
                      <w:color w:val="auto"/>
                      <w:highlight w:val="none"/>
                      <w:lang w:bidi="ar"/>
                    </w:rPr>
                    <w:t>2m</w:t>
                  </w:r>
                  <w:r>
                    <w:rPr>
                      <w:rFonts w:hint="eastAsia"/>
                      <w:color w:val="auto"/>
                      <w:highlight w:val="none"/>
                      <w:lang w:bidi="ar"/>
                    </w:rPr>
                    <w:t>靠尺和塞尺检查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2" w:hRule="atLeast"/>
              </w:trPr>
              <w:tc>
                <w:tcPr>
                  <w:tcW w:w="570" w:type="dxa"/>
                  <w:tcBorders>
                    <w:top w:val="single" w:color="auto" w:sz="4" w:space="0"/>
                    <w:left w:val="single" w:color="auto" w:sz="4" w:space="0"/>
                    <w:bottom w:val="single" w:color="auto" w:sz="4" w:space="0"/>
                    <w:right w:val="single" w:color="auto" w:sz="4" w:space="0"/>
                  </w:tcBorders>
                  <w:shd w:val="clear" w:color="auto" w:fill="auto"/>
                  <w:vAlign w:val="center"/>
                </w:tcPr>
                <w:p>
                  <w:pPr>
                    <w:rPr>
                      <w:color w:val="auto"/>
                      <w:highlight w:val="none"/>
                    </w:rPr>
                  </w:pPr>
                  <w:r>
                    <w:rPr>
                      <w:color w:val="auto"/>
                      <w:highlight w:val="none"/>
                      <w:lang w:bidi="ar"/>
                    </w:rPr>
                    <w:t>2</w:t>
                  </w:r>
                </w:p>
              </w:tc>
              <w:tc>
                <w:tcPr>
                  <w:tcW w:w="1007" w:type="dxa"/>
                  <w:tcBorders>
                    <w:top w:val="single" w:color="auto" w:sz="4" w:space="0"/>
                    <w:left w:val="single" w:color="auto" w:sz="4" w:space="0"/>
                    <w:bottom w:val="single" w:color="auto" w:sz="4" w:space="0"/>
                    <w:right w:val="single" w:color="auto" w:sz="4" w:space="0"/>
                  </w:tcBorders>
                  <w:shd w:val="clear" w:color="auto" w:fill="auto"/>
                  <w:vAlign w:val="center"/>
                </w:tcPr>
                <w:p>
                  <w:pPr>
                    <w:rPr>
                      <w:color w:val="auto"/>
                      <w:highlight w:val="none"/>
                    </w:rPr>
                  </w:pPr>
                  <w:r>
                    <w:rPr>
                      <w:rFonts w:hint="eastAsia"/>
                      <w:color w:val="auto"/>
                      <w:highlight w:val="none"/>
                      <w:lang w:bidi="ar"/>
                    </w:rPr>
                    <w:t>接缝直线度</w:t>
                  </w:r>
                </w:p>
              </w:tc>
              <w:tc>
                <w:tcPr>
                  <w:tcW w:w="1007" w:type="dxa"/>
                  <w:tcBorders>
                    <w:top w:val="single" w:color="auto" w:sz="4" w:space="0"/>
                    <w:left w:val="single" w:color="auto" w:sz="4" w:space="0"/>
                    <w:bottom w:val="single" w:color="auto" w:sz="4" w:space="0"/>
                    <w:right w:val="single" w:color="auto" w:sz="4" w:space="0"/>
                  </w:tcBorders>
                  <w:shd w:val="clear" w:color="auto" w:fill="auto"/>
                  <w:vAlign w:val="center"/>
                </w:tcPr>
                <w:p>
                  <w:pPr>
                    <w:rPr>
                      <w:color w:val="auto"/>
                      <w:highlight w:val="none"/>
                    </w:rPr>
                  </w:pPr>
                  <w:r>
                    <w:rPr>
                      <w:color w:val="auto"/>
                      <w:highlight w:val="none"/>
                      <w:lang w:bidi="ar"/>
                    </w:rPr>
                    <w:t>3</w:t>
                  </w:r>
                </w:p>
              </w:tc>
              <w:tc>
                <w:tcPr>
                  <w:tcW w:w="749" w:type="dxa"/>
                  <w:tcBorders>
                    <w:top w:val="single" w:color="auto" w:sz="4" w:space="0"/>
                    <w:left w:val="single" w:color="auto" w:sz="4" w:space="0"/>
                    <w:bottom w:val="single" w:color="auto" w:sz="4" w:space="0"/>
                    <w:right w:val="single" w:color="auto" w:sz="4" w:space="0"/>
                  </w:tcBorders>
                  <w:shd w:val="clear" w:color="auto" w:fill="auto"/>
                  <w:vAlign w:val="center"/>
                </w:tcPr>
                <w:p>
                  <w:pPr>
                    <w:rPr>
                      <w:color w:val="auto"/>
                      <w:highlight w:val="none"/>
                    </w:rPr>
                  </w:pPr>
                  <w:r>
                    <w:rPr>
                      <w:color w:val="auto"/>
                      <w:highlight w:val="none"/>
                      <w:lang w:bidi="ar"/>
                    </w:rPr>
                    <w:t>1.5</w:t>
                  </w:r>
                </w:p>
              </w:tc>
              <w:tc>
                <w:tcPr>
                  <w:tcW w:w="2815" w:type="dxa"/>
                  <w:tcBorders>
                    <w:top w:val="single" w:color="auto" w:sz="4" w:space="0"/>
                    <w:left w:val="single" w:color="auto" w:sz="4" w:space="0"/>
                    <w:bottom w:val="single" w:color="auto" w:sz="4" w:space="0"/>
                    <w:right w:val="single" w:color="auto" w:sz="4" w:space="0"/>
                  </w:tcBorders>
                  <w:shd w:val="clear" w:color="auto" w:fill="auto"/>
                  <w:vAlign w:val="center"/>
                </w:tcPr>
                <w:p>
                  <w:pPr>
                    <w:rPr>
                      <w:color w:val="auto"/>
                      <w:highlight w:val="none"/>
                      <w:lang w:eastAsia="zh-CN"/>
                    </w:rPr>
                  </w:pPr>
                  <w:r>
                    <w:rPr>
                      <w:rFonts w:hint="eastAsia"/>
                      <w:color w:val="auto"/>
                      <w:highlight w:val="none"/>
                      <w:lang w:eastAsia="zh-CN" w:bidi="ar"/>
                    </w:rPr>
                    <w:t>拉</w:t>
                  </w:r>
                  <w:r>
                    <w:rPr>
                      <w:color w:val="auto"/>
                      <w:highlight w:val="none"/>
                      <w:lang w:eastAsia="zh-CN" w:bidi="ar"/>
                    </w:rPr>
                    <w:t>5m</w:t>
                  </w:r>
                  <w:r>
                    <w:rPr>
                      <w:rFonts w:hint="eastAsia"/>
                      <w:color w:val="auto"/>
                      <w:highlight w:val="none"/>
                      <w:lang w:eastAsia="zh-CN" w:bidi="ar"/>
                    </w:rPr>
                    <w:t>线，不足</w:t>
                  </w:r>
                  <w:r>
                    <w:rPr>
                      <w:color w:val="auto"/>
                      <w:highlight w:val="none"/>
                      <w:lang w:eastAsia="zh-CN" w:bidi="ar"/>
                    </w:rPr>
                    <w:t>5m</w:t>
                  </w:r>
                  <w:r>
                    <w:rPr>
                      <w:rFonts w:hint="eastAsia"/>
                      <w:color w:val="auto"/>
                      <w:highlight w:val="none"/>
                      <w:lang w:eastAsia="zh-CN" w:bidi="ar"/>
                    </w:rPr>
                    <w:t>拉通线，用钢直尺检查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2" w:hRule="atLeast"/>
              </w:trPr>
              <w:tc>
                <w:tcPr>
                  <w:tcW w:w="570" w:type="dxa"/>
                  <w:tcBorders>
                    <w:top w:val="single" w:color="auto" w:sz="4" w:space="0"/>
                    <w:left w:val="single" w:color="auto" w:sz="4" w:space="0"/>
                    <w:bottom w:val="single" w:color="auto" w:sz="4" w:space="0"/>
                    <w:right w:val="single" w:color="auto" w:sz="4" w:space="0"/>
                  </w:tcBorders>
                  <w:shd w:val="clear" w:color="auto" w:fill="auto"/>
                  <w:vAlign w:val="center"/>
                </w:tcPr>
                <w:p>
                  <w:pPr>
                    <w:rPr>
                      <w:color w:val="auto"/>
                      <w:highlight w:val="none"/>
                      <w:lang w:eastAsia="zh-CN"/>
                    </w:rPr>
                  </w:pPr>
                  <w:r>
                    <w:rPr>
                      <w:color w:val="auto"/>
                      <w:highlight w:val="none"/>
                      <w:lang w:eastAsia="zh-CN" w:bidi="ar"/>
                    </w:rPr>
                    <w:t>3</w:t>
                  </w:r>
                </w:p>
              </w:tc>
              <w:tc>
                <w:tcPr>
                  <w:tcW w:w="1007" w:type="dxa"/>
                  <w:tcBorders>
                    <w:top w:val="single" w:color="auto" w:sz="4" w:space="0"/>
                    <w:left w:val="single" w:color="auto" w:sz="4" w:space="0"/>
                    <w:bottom w:val="single" w:color="auto" w:sz="4" w:space="0"/>
                    <w:right w:val="single" w:color="auto" w:sz="4" w:space="0"/>
                  </w:tcBorders>
                  <w:shd w:val="clear" w:color="auto" w:fill="auto"/>
                  <w:vAlign w:val="center"/>
                </w:tcPr>
                <w:p>
                  <w:pPr>
                    <w:rPr>
                      <w:color w:val="auto"/>
                      <w:highlight w:val="none"/>
                      <w:lang w:eastAsia="zh-CN"/>
                    </w:rPr>
                  </w:pPr>
                  <w:r>
                    <w:rPr>
                      <w:rFonts w:hint="eastAsia"/>
                      <w:color w:val="auto"/>
                      <w:highlight w:val="none"/>
                      <w:lang w:eastAsia="zh-CN" w:bidi="ar"/>
                    </w:rPr>
                    <w:t>接缝高低差</w:t>
                  </w:r>
                </w:p>
              </w:tc>
              <w:tc>
                <w:tcPr>
                  <w:tcW w:w="1007" w:type="dxa"/>
                  <w:tcBorders>
                    <w:top w:val="single" w:color="auto" w:sz="4" w:space="0"/>
                    <w:left w:val="single" w:color="auto" w:sz="4" w:space="0"/>
                    <w:bottom w:val="single" w:color="auto" w:sz="4" w:space="0"/>
                    <w:right w:val="single" w:color="auto" w:sz="4" w:space="0"/>
                  </w:tcBorders>
                  <w:shd w:val="clear" w:color="auto" w:fill="auto"/>
                  <w:vAlign w:val="center"/>
                </w:tcPr>
                <w:p>
                  <w:pPr>
                    <w:rPr>
                      <w:color w:val="auto"/>
                      <w:highlight w:val="none"/>
                      <w:lang w:eastAsia="zh-CN"/>
                    </w:rPr>
                  </w:pPr>
                  <w:r>
                    <w:rPr>
                      <w:color w:val="auto"/>
                      <w:highlight w:val="none"/>
                      <w:lang w:eastAsia="zh-CN" w:bidi="ar"/>
                    </w:rPr>
                    <w:t>1</w:t>
                  </w:r>
                </w:p>
              </w:tc>
              <w:tc>
                <w:tcPr>
                  <w:tcW w:w="749" w:type="dxa"/>
                  <w:tcBorders>
                    <w:top w:val="single" w:color="auto" w:sz="4" w:space="0"/>
                    <w:left w:val="single" w:color="auto" w:sz="4" w:space="0"/>
                    <w:bottom w:val="single" w:color="auto" w:sz="4" w:space="0"/>
                    <w:right w:val="single" w:color="auto" w:sz="4" w:space="0"/>
                  </w:tcBorders>
                  <w:shd w:val="clear" w:color="auto" w:fill="auto"/>
                  <w:vAlign w:val="center"/>
                </w:tcPr>
                <w:p>
                  <w:pPr>
                    <w:rPr>
                      <w:color w:val="auto"/>
                      <w:highlight w:val="none"/>
                      <w:lang w:eastAsia="zh-CN"/>
                    </w:rPr>
                  </w:pPr>
                  <w:r>
                    <w:rPr>
                      <w:color w:val="auto"/>
                      <w:highlight w:val="none"/>
                      <w:lang w:eastAsia="zh-CN" w:bidi="ar"/>
                    </w:rPr>
                    <w:t>1</w:t>
                  </w:r>
                </w:p>
              </w:tc>
              <w:tc>
                <w:tcPr>
                  <w:tcW w:w="2815" w:type="dxa"/>
                  <w:tcBorders>
                    <w:top w:val="single" w:color="auto" w:sz="4" w:space="0"/>
                    <w:left w:val="single" w:color="auto" w:sz="4" w:space="0"/>
                    <w:bottom w:val="single" w:color="auto" w:sz="4" w:space="0"/>
                    <w:right w:val="single" w:color="auto" w:sz="4" w:space="0"/>
                  </w:tcBorders>
                  <w:shd w:val="clear" w:color="auto" w:fill="auto"/>
                  <w:vAlign w:val="center"/>
                </w:tcPr>
                <w:p>
                  <w:pPr>
                    <w:rPr>
                      <w:color w:val="auto"/>
                      <w:highlight w:val="none"/>
                      <w:lang w:eastAsia="zh-CN"/>
                    </w:rPr>
                  </w:pPr>
                  <w:r>
                    <w:rPr>
                      <w:rFonts w:hint="eastAsia"/>
                      <w:color w:val="auto"/>
                      <w:highlight w:val="none"/>
                      <w:lang w:eastAsia="zh-CN" w:bidi="ar"/>
                    </w:rPr>
                    <w:t>用钢直尺和塞尺检查</w:t>
                  </w:r>
                </w:p>
              </w:tc>
            </w:tr>
          </w:tbl>
          <w:p>
            <w:pPr>
              <w:rPr>
                <w:color w:val="auto"/>
                <w:highlight w:val="none"/>
                <w:lang w:eastAsia="zh-CN"/>
              </w:rPr>
            </w:pPr>
          </w:p>
          <w:p>
            <w:pPr>
              <w:rPr>
                <w:color w:val="auto"/>
                <w:highlight w:val="none"/>
                <w:lang w:eastAsia="zh-CN"/>
              </w:rPr>
            </w:pPr>
            <w:r>
              <w:rPr>
                <w:color w:val="auto"/>
                <w:highlight w:val="none"/>
                <w:lang w:eastAsia="zh-CN"/>
              </w:rPr>
              <w:t>3</w:t>
            </w:r>
            <w:r>
              <w:rPr>
                <w:rFonts w:hint="eastAsia"/>
                <w:color w:val="auto"/>
                <w:highlight w:val="none"/>
                <w:lang w:eastAsia="zh-CN"/>
              </w:rPr>
              <w:t>、吊顶工程</w:t>
            </w:r>
          </w:p>
          <w:p>
            <w:pPr>
              <w:rPr>
                <w:color w:val="auto"/>
                <w:highlight w:val="none"/>
                <w:lang w:eastAsia="zh-CN"/>
              </w:rPr>
            </w:pPr>
            <w:r>
              <w:rPr>
                <w:color w:val="auto"/>
                <w:highlight w:val="none"/>
                <w:lang w:eastAsia="zh-CN"/>
              </w:rPr>
              <w:t>3.1</w:t>
            </w:r>
            <w:r>
              <w:rPr>
                <w:rFonts w:hint="eastAsia"/>
                <w:color w:val="auto"/>
                <w:highlight w:val="none"/>
                <w:lang w:eastAsia="zh-CN"/>
              </w:rPr>
              <w:t>、一般规定：</w:t>
            </w:r>
          </w:p>
          <w:p>
            <w:pPr>
              <w:rPr>
                <w:color w:val="auto"/>
                <w:highlight w:val="none"/>
                <w:lang w:eastAsia="zh-CN"/>
              </w:rPr>
            </w:pPr>
            <w:r>
              <w:rPr>
                <w:rFonts w:hint="eastAsia"/>
                <w:color w:val="auto"/>
                <w:highlight w:val="none"/>
                <w:lang w:eastAsia="zh-CN"/>
              </w:rPr>
              <w:t>本规定适用于本工程中吊顶为轻钢龙骨、铝合金龙骨骨架，罩面板为电解钢板、铝扣板、硅钙板等吊顶工程的安装及验收。</w:t>
            </w:r>
          </w:p>
          <w:p>
            <w:pPr>
              <w:rPr>
                <w:color w:val="auto"/>
                <w:highlight w:val="none"/>
                <w:lang w:eastAsia="zh-CN"/>
              </w:rPr>
            </w:pPr>
            <w:r>
              <w:rPr>
                <w:rFonts w:hint="eastAsia"/>
                <w:color w:val="auto"/>
                <w:highlight w:val="none"/>
                <w:lang w:eastAsia="zh-CN"/>
              </w:rPr>
              <w:t>吊顶工程所用材料的品种、规格、颜色基层构造、固定方法应符合设计要求。金属吊顶材料供应商需在满足各种相关的国际或国内涂层检测标准的前提下，提供不少于五年的质量保证书，同时出具相关的物理机械性能、耐化学腐蚀性能、耐酸性的试验数据或相关说明；金属吊顶材料的供应商必须提供专业的施工设计详图及节点大样图纸；</w:t>
            </w:r>
          </w:p>
          <w:p>
            <w:pPr>
              <w:rPr>
                <w:color w:val="auto"/>
                <w:highlight w:val="none"/>
                <w:lang w:eastAsia="zh-CN"/>
              </w:rPr>
            </w:pPr>
            <w:r>
              <w:rPr>
                <w:rFonts w:hint="eastAsia"/>
                <w:color w:val="auto"/>
                <w:highlight w:val="none"/>
                <w:lang w:eastAsia="zh-CN"/>
              </w:rPr>
              <w:t>吊顶龙骨在运输安装时，不得扔摔、碰撞。龙骨应平放、防止变形；罩面板应按品种、规格分类存放于地面平整、干燥、通风处，并根据不同罩面板的性质，分另采用措施，防止受潮变形。</w:t>
            </w:r>
          </w:p>
          <w:p>
            <w:pPr>
              <w:rPr>
                <w:color w:val="auto"/>
                <w:highlight w:val="none"/>
                <w:lang w:eastAsia="zh-CN"/>
              </w:rPr>
            </w:pPr>
            <w:r>
              <w:rPr>
                <w:rFonts w:hint="eastAsia"/>
                <w:color w:val="auto"/>
                <w:highlight w:val="none"/>
                <w:lang w:eastAsia="zh-CN"/>
              </w:rPr>
              <w:t>吊顶龙骨宜存放于地面平整的室内，并应采取措施，防止龙骨变形、生锈；罩面板应按品种、规格分类存放于地面平整、干燥、通风处，并根据不同罩面板的性质，分别采取措施，防止受潮变形。</w:t>
            </w:r>
          </w:p>
          <w:p>
            <w:pPr>
              <w:rPr>
                <w:color w:val="auto"/>
                <w:highlight w:val="none"/>
                <w:lang w:eastAsia="zh-CN"/>
              </w:rPr>
            </w:pPr>
            <w:r>
              <w:rPr>
                <w:rFonts w:hint="eastAsia"/>
                <w:color w:val="auto"/>
                <w:highlight w:val="none"/>
                <w:lang w:eastAsia="zh-CN"/>
              </w:rPr>
              <w:t>罩面板安装前的准备工作应符合下列规定：</w:t>
            </w:r>
          </w:p>
          <w:p>
            <w:pPr>
              <w:rPr>
                <w:color w:val="auto"/>
                <w:highlight w:val="none"/>
                <w:lang w:eastAsia="zh-CN"/>
              </w:rPr>
            </w:pPr>
            <w:r>
              <w:rPr>
                <w:rFonts w:hint="eastAsia"/>
                <w:color w:val="auto"/>
                <w:highlight w:val="none"/>
                <w:lang w:eastAsia="zh-CN"/>
              </w:rPr>
              <w:t>吊顶内的通风、水电管道应安装完毕。消防管道安装并试压完毕；</w:t>
            </w:r>
          </w:p>
          <w:p>
            <w:pPr>
              <w:rPr>
                <w:color w:val="auto"/>
                <w:highlight w:val="none"/>
                <w:lang w:eastAsia="zh-CN"/>
              </w:rPr>
            </w:pPr>
            <w:r>
              <w:rPr>
                <w:rFonts w:hint="eastAsia"/>
                <w:color w:val="auto"/>
                <w:highlight w:val="none"/>
                <w:lang w:eastAsia="zh-CN"/>
              </w:rPr>
              <w:t>吊顶内的灯槽、斜撑、剪刀撑等，应根据工程情况适当布置。轻型灯具应吊在主龙骨或附加龙骨上，重型灯具、</w:t>
            </w:r>
            <w:r>
              <w:rPr>
                <w:color w:val="auto"/>
                <w:highlight w:val="none"/>
                <w:lang w:eastAsia="zh-CN"/>
              </w:rPr>
              <w:t>LED</w:t>
            </w:r>
            <w:r>
              <w:rPr>
                <w:rFonts w:hint="eastAsia"/>
                <w:color w:val="auto"/>
                <w:highlight w:val="none"/>
                <w:lang w:eastAsia="zh-CN"/>
              </w:rPr>
              <w:t>屏等不得与吊顶龙骨联结，应另设吊钓；</w:t>
            </w:r>
          </w:p>
          <w:p>
            <w:pPr>
              <w:rPr>
                <w:color w:val="auto"/>
                <w:highlight w:val="none"/>
                <w:lang w:eastAsia="zh-CN"/>
              </w:rPr>
            </w:pPr>
            <w:r>
              <w:rPr>
                <w:rFonts w:hint="eastAsia"/>
                <w:color w:val="auto"/>
                <w:highlight w:val="none"/>
                <w:lang w:eastAsia="zh-CN"/>
              </w:rPr>
              <w:t>罩面板应按规格、颜色等进行分类选配。</w:t>
            </w:r>
          </w:p>
          <w:p>
            <w:pPr>
              <w:rPr>
                <w:color w:val="auto"/>
                <w:highlight w:val="none"/>
                <w:lang w:eastAsia="zh-CN"/>
              </w:rPr>
            </w:pPr>
            <w:r>
              <w:rPr>
                <w:rFonts w:hint="eastAsia"/>
                <w:color w:val="auto"/>
                <w:highlight w:val="none"/>
                <w:lang w:eastAsia="zh-CN"/>
              </w:rPr>
              <w:t>所需脚手架及登高物件应自行准备，并需监理验收后才许使用。</w:t>
            </w:r>
          </w:p>
          <w:p>
            <w:pPr>
              <w:rPr>
                <w:color w:val="auto"/>
                <w:highlight w:val="none"/>
                <w:lang w:eastAsia="zh-CN"/>
              </w:rPr>
            </w:pPr>
            <w:r>
              <w:rPr>
                <w:rFonts w:hint="eastAsia"/>
                <w:color w:val="auto"/>
                <w:highlight w:val="none"/>
                <w:lang w:eastAsia="zh-CN"/>
              </w:rPr>
              <w:t>罩面板安装前应根据构造需要分块弹线。装饰图案罩面板的布置应符合设计要求。若设计无要求，宜由顶棚中间向两边对称排列安装。墙面与顶棚的接缝应交圈一致。</w:t>
            </w:r>
          </w:p>
          <w:p>
            <w:pPr>
              <w:rPr>
                <w:color w:val="auto"/>
                <w:highlight w:val="none"/>
                <w:lang w:eastAsia="zh-CN"/>
              </w:rPr>
            </w:pPr>
            <w:r>
              <w:rPr>
                <w:rFonts w:hint="eastAsia"/>
                <w:color w:val="auto"/>
                <w:highlight w:val="none"/>
                <w:lang w:eastAsia="zh-CN"/>
              </w:rPr>
              <w:t>罩面板与墙面、窗帘盒、灯具等交接处应严密，不得有漏缝现象。</w:t>
            </w:r>
          </w:p>
          <w:p>
            <w:pPr>
              <w:rPr>
                <w:color w:val="auto"/>
                <w:highlight w:val="none"/>
                <w:lang w:eastAsia="zh-CN"/>
              </w:rPr>
            </w:pPr>
            <w:r>
              <w:rPr>
                <w:rFonts w:hint="eastAsia"/>
                <w:color w:val="auto"/>
                <w:highlight w:val="none"/>
                <w:lang w:eastAsia="zh-CN"/>
              </w:rPr>
              <w:t>搁置式的轻质罩面板，应按设计要求设置压卡装置。</w:t>
            </w:r>
          </w:p>
          <w:p>
            <w:pPr>
              <w:rPr>
                <w:color w:val="auto"/>
                <w:highlight w:val="none"/>
                <w:lang w:eastAsia="zh-CN"/>
              </w:rPr>
            </w:pPr>
            <w:r>
              <w:rPr>
                <w:rFonts w:hint="eastAsia"/>
                <w:color w:val="auto"/>
                <w:highlight w:val="none"/>
                <w:lang w:eastAsia="zh-CN"/>
              </w:rPr>
              <w:t>罩面板不得有悬臂现象，如有应增设附加龙骨固定。</w:t>
            </w:r>
          </w:p>
          <w:p>
            <w:pPr>
              <w:rPr>
                <w:color w:val="auto"/>
                <w:highlight w:val="none"/>
                <w:lang w:eastAsia="zh-CN"/>
              </w:rPr>
            </w:pPr>
            <w:r>
              <w:rPr>
                <w:rFonts w:hint="eastAsia"/>
                <w:color w:val="auto"/>
                <w:highlight w:val="none"/>
                <w:lang w:eastAsia="zh-CN"/>
              </w:rPr>
              <w:t>施工用的临时灯具应架设或吊挂在结构受力构件上，严禁以吊顶龙骨作为支撑点。</w:t>
            </w:r>
          </w:p>
          <w:p>
            <w:pPr>
              <w:rPr>
                <w:color w:val="auto"/>
                <w:highlight w:val="none"/>
                <w:lang w:eastAsia="zh-CN"/>
              </w:rPr>
            </w:pPr>
            <w:r>
              <w:rPr>
                <w:rFonts w:hint="eastAsia"/>
                <w:color w:val="auto"/>
                <w:highlight w:val="none"/>
                <w:lang w:eastAsia="zh-CN"/>
              </w:rPr>
              <w:t>吊顶施工过程中，土建与电气设备等安装作业应密切配合，特别是预留孔洞，吊灯等的补强应符合设计要求，以保证安全。</w:t>
            </w:r>
          </w:p>
          <w:p>
            <w:pPr>
              <w:rPr>
                <w:color w:val="auto"/>
                <w:highlight w:val="none"/>
                <w:lang w:eastAsia="zh-CN"/>
              </w:rPr>
            </w:pPr>
            <w:r>
              <w:rPr>
                <w:rFonts w:hint="eastAsia"/>
                <w:color w:val="auto"/>
                <w:highlight w:val="none"/>
                <w:lang w:eastAsia="zh-CN"/>
              </w:rPr>
              <w:t>罩面板装后，应采取保护措施，防止损坏。</w:t>
            </w:r>
          </w:p>
          <w:p>
            <w:pPr>
              <w:rPr>
                <w:color w:val="auto"/>
                <w:highlight w:val="none"/>
                <w:lang w:eastAsia="zh-CN"/>
              </w:rPr>
            </w:pPr>
          </w:p>
          <w:p>
            <w:pPr>
              <w:rPr>
                <w:color w:val="auto"/>
                <w:highlight w:val="none"/>
                <w:lang w:eastAsia="zh-CN"/>
              </w:rPr>
            </w:pPr>
            <w:r>
              <w:rPr>
                <w:color w:val="auto"/>
                <w:highlight w:val="none"/>
                <w:lang w:eastAsia="zh-CN"/>
              </w:rPr>
              <w:t>3.2</w:t>
            </w:r>
            <w:r>
              <w:rPr>
                <w:rFonts w:hint="eastAsia"/>
                <w:color w:val="auto"/>
                <w:highlight w:val="none"/>
                <w:lang w:eastAsia="zh-CN"/>
              </w:rPr>
              <w:t>、材料质量要求</w:t>
            </w:r>
          </w:p>
          <w:p>
            <w:pPr>
              <w:rPr>
                <w:color w:val="auto"/>
                <w:highlight w:val="none"/>
                <w:lang w:eastAsia="zh-CN"/>
              </w:rPr>
            </w:pPr>
            <w:r>
              <w:rPr>
                <w:rFonts w:hint="eastAsia"/>
                <w:color w:val="auto"/>
                <w:highlight w:val="none"/>
                <w:lang w:eastAsia="zh-CN"/>
              </w:rPr>
              <w:t>各类罩面板不应有气泡、起皮、裂纹、缺角、污垢和图案不完整等缺陷，表面应平整，边缘应整齐，暗装的吸声材料应有防散落措施。各类罩面权的质量均符合现行国家标准，行业标准的规定。</w:t>
            </w:r>
          </w:p>
          <w:p>
            <w:pPr>
              <w:rPr>
                <w:color w:val="auto"/>
                <w:highlight w:val="none"/>
                <w:lang w:eastAsia="zh-CN"/>
              </w:rPr>
            </w:pPr>
            <w:r>
              <w:rPr>
                <w:rFonts w:hint="eastAsia"/>
                <w:color w:val="auto"/>
                <w:highlight w:val="none"/>
                <w:lang w:eastAsia="zh-CN"/>
              </w:rPr>
              <w:t>吊顶工程所用的铝合金龙骨及其配件应符合有关现行国家标准。</w:t>
            </w:r>
          </w:p>
          <w:p>
            <w:pPr>
              <w:rPr>
                <w:color w:val="auto"/>
                <w:highlight w:val="none"/>
                <w:lang w:eastAsia="zh-CN"/>
              </w:rPr>
            </w:pPr>
            <w:r>
              <w:rPr>
                <w:rFonts w:hint="eastAsia"/>
                <w:color w:val="auto"/>
                <w:highlight w:val="none"/>
                <w:lang w:eastAsia="zh-CN"/>
              </w:rPr>
              <w:t>安装罩面板的紧固件，宜采用镀锌制品，预埋的木砖应作防腐处理。</w:t>
            </w:r>
          </w:p>
          <w:p>
            <w:pPr>
              <w:rPr>
                <w:color w:val="auto"/>
                <w:highlight w:val="none"/>
                <w:lang w:eastAsia="zh-CN"/>
              </w:rPr>
            </w:pPr>
            <w:r>
              <w:rPr>
                <w:rFonts w:hint="eastAsia"/>
                <w:color w:val="auto"/>
                <w:highlight w:val="none"/>
                <w:lang w:eastAsia="zh-CN"/>
              </w:rPr>
              <w:t>粘剂皂类型应按所用罩面板的品种配套选用，现场配制的胶粘剂，其配比应由试验确定。</w:t>
            </w:r>
          </w:p>
          <w:p>
            <w:pPr>
              <w:rPr>
                <w:color w:val="auto"/>
                <w:highlight w:val="none"/>
                <w:lang w:eastAsia="zh-CN"/>
              </w:rPr>
            </w:pPr>
          </w:p>
          <w:p>
            <w:pPr>
              <w:rPr>
                <w:color w:val="auto"/>
                <w:highlight w:val="none"/>
                <w:lang w:eastAsia="zh-CN"/>
              </w:rPr>
            </w:pPr>
            <w:r>
              <w:rPr>
                <w:color w:val="auto"/>
                <w:highlight w:val="none"/>
                <w:lang w:eastAsia="zh-CN"/>
              </w:rPr>
              <w:t>3.3</w:t>
            </w:r>
            <w:r>
              <w:rPr>
                <w:rFonts w:hint="eastAsia"/>
                <w:color w:val="auto"/>
                <w:highlight w:val="none"/>
                <w:lang w:eastAsia="zh-CN"/>
              </w:rPr>
              <w:t>、龙骨安装工序</w:t>
            </w:r>
          </w:p>
          <w:p>
            <w:pPr>
              <w:rPr>
                <w:color w:val="auto"/>
                <w:highlight w:val="none"/>
                <w:lang w:eastAsia="zh-CN"/>
              </w:rPr>
            </w:pPr>
            <w:r>
              <w:rPr>
                <w:rFonts w:hint="eastAsia"/>
                <w:color w:val="auto"/>
                <w:highlight w:val="none"/>
                <w:lang w:eastAsia="zh-CN"/>
              </w:rPr>
              <w:t>安装吊顶龙骨的基体质量，应符合有关现行国家标准的规定。</w:t>
            </w:r>
          </w:p>
          <w:p>
            <w:pPr>
              <w:rPr>
                <w:color w:val="auto"/>
                <w:highlight w:val="none"/>
                <w:lang w:eastAsia="zh-CN"/>
              </w:rPr>
            </w:pPr>
            <w:r>
              <w:rPr>
                <w:rFonts w:hint="eastAsia"/>
                <w:color w:val="auto"/>
                <w:highlight w:val="none"/>
                <w:lang w:eastAsia="zh-CN"/>
              </w:rPr>
              <w:t>根据吊顶的设计标高在四周墙上弹线。弹线应清楚，位置准确，其水平允许偏差</w:t>
            </w:r>
            <w:r>
              <w:rPr>
                <w:color w:val="auto"/>
                <w:highlight w:val="none"/>
                <w:lang w:eastAsia="zh-CN"/>
              </w:rPr>
              <w:t xml:space="preserve"> </w:t>
            </w:r>
            <w:r>
              <w:rPr>
                <w:rFonts w:hint="eastAsia"/>
                <w:color w:val="auto"/>
                <w:highlight w:val="none"/>
                <w:lang w:eastAsia="zh-CN"/>
              </w:rPr>
              <w:t>±</w:t>
            </w:r>
            <w:r>
              <w:rPr>
                <w:color w:val="auto"/>
                <w:highlight w:val="none"/>
                <w:lang w:eastAsia="zh-CN"/>
              </w:rPr>
              <w:t>5mm</w:t>
            </w:r>
            <w:r>
              <w:rPr>
                <w:rFonts w:hint="eastAsia"/>
                <w:color w:val="auto"/>
                <w:highlight w:val="none"/>
                <w:lang w:eastAsia="zh-CN"/>
              </w:rPr>
              <w:t>。</w:t>
            </w:r>
          </w:p>
          <w:p>
            <w:pPr>
              <w:rPr>
                <w:color w:val="auto"/>
                <w:highlight w:val="none"/>
                <w:lang w:eastAsia="zh-CN"/>
              </w:rPr>
            </w:pPr>
            <w:r>
              <w:rPr>
                <w:rFonts w:hint="eastAsia"/>
                <w:color w:val="auto"/>
                <w:highlight w:val="none"/>
                <w:lang w:eastAsia="zh-CN"/>
              </w:rPr>
              <w:t>主龙骨吊点间距，应按设计推荐系列</w:t>
            </w:r>
            <w:r>
              <w:rPr>
                <w:color w:val="auto"/>
                <w:highlight w:val="none"/>
                <w:lang w:eastAsia="zh-CN"/>
              </w:rPr>
              <w:t>(900-1200)</w:t>
            </w:r>
            <w:r>
              <w:rPr>
                <w:rFonts w:hint="eastAsia"/>
                <w:color w:val="auto"/>
                <w:highlight w:val="none"/>
                <w:lang w:eastAsia="zh-CN"/>
              </w:rPr>
              <w:t>选择，中间部份应起拱，金属龙骨起拱高度应不小于房间短向跨度的</w:t>
            </w:r>
            <w:r>
              <w:rPr>
                <w:color w:val="auto"/>
                <w:highlight w:val="none"/>
                <w:lang w:eastAsia="zh-CN"/>
              </w:rPr>
              <w:t>1/200</w:t>
            </w:r>
            <w:r>
              <w:rPr>
                <w:rFonts w:hint="eastAsia"/>
                <w:color w:val="auto"/>
                <w:highlight w:val="none"/>
                <w:lang w:eastAsia="zh-CN"/>
              </w:rPr>
              <w:t>，主龙骨安装后应及时校正其位置和标高。</w:t>
            </w:r>
          </w:p>
          <w:p>
            <w:pPr>
              <w:rPr>
                <w:color w:val="auto"/>
                <w:highlight w:val="none"/>
                <w:lang w:eastAsia="zh-CN"/>
              </w:rPr>
            </w:pPr>
            <w:r>
              <w:rPr>
                <w:rFonts w:hint="eastAsia"/>
                <w:color w:val="auto"/>
                <w:highlight w:val="none"/>
                <w:lang w:eastAsia="zh-CN"/>
              </w:rPr>
              <w:t>吊杆距主龙骨端部距离不得超过</w:t>
            </w:r>
            <w:r>
              <w:rPr>
                <w:color w:val="auto"/>
                <w:highlight w:val="none"/>
                <w:lang w:eastAsia="zh-CN"/>
              </w:rPr>
              <w:t>300mm</w:t>
            </w:r>
            <w:r>
              <w:rPr>
                <w:rFonts w:hint="eastAsia"/>
                <w:color w:val="auto"/>
                <w:highlight w:val="none"/>
                <w:lang w:eastAsia="zh-CN"/>
              </w:rPr>
              <w:t>，否则应增设吊杆，以免主龙骨下坠。当吊杆与设备相遇时，应调整吊点构造或增设吊杆，以保证吊顶质量。当吊杆长度大于</w:t>
            </w:r>
            <w:r>
              <w:rPr>
                <w:color w:val="auto"/>
                <w:highlight w:val="none"/>
                <w:lang w:eastAsia="zh-CN"/>
              </w:rPr>
              <w:t>1.5 m</w:t>
            </w:r>
            <w:r>
              <w:rPr>
                <w:rFonts w:hint="eastAsia"/>
                <w:color w:val="auto"/>
                <w:highlight w:val="none"/>
                <w:lang w:eastAsia="zh-CN"/>
              </w:rPr>
              <w:t>时应设置反支撑。</w:t>
            </w:r>
          </w:p>
          <w:p>
            <w:pPr>
              <w:rPr>
                <w:color w:val="auto"/>
                <w:highlight w:val="none"/>
                <w:lang w:eastAsia="zh-CN"/>
              </w:rPr>
            </w:pPr>
            <w:r>
              <w:rPr>
                <w:rFonts w:hint="eastAsia"/>
                <w:color w:val="auto"/>
                <w:highlight w:val="none"/>
                <w:lang w:eastAsia="zh-CN"/>
              </w:rPr>
              <w:t>吊杆应通直并有足够的承载能力。当预埋的吊杆需接长时，必须搭接焊牢，焊缝均匀饱满。</w:t>
            </w:r>
          </w:p>
          <w:p>
            <w:pPr>
              <w:rPr>
                <w:color w:val="auto"/>
                <w:highlight w:val="none"/>
                <w:lang w:eastAsia="zh-CN"/>
              </w:rPr>
            </w:pPr>
            <w:r>
              <w:rPr>
                <w:rFonts w:hint="eastAsia"/>
                <w:color w:val="auto"/>
                <w:highlight w:val="none"/>
                <w:lang w:eastAsia="zh-CN"/>
              </w:rPr>
              <w:t>次龙骨（中或小龙骨，下同）应紧贴主龙骨安装。当用自攻螺钉安装板材时，板材的接缝处，必须安装在度不小于</w:t>
            </w:r>
            <w:r>
              <w:rPr>
                <w:color w:val="auto"/>
                <w:highlight w:val="none"/>
                <w:lang w:eastAsia="zh-CN"/>
              </w:rPr>
              <w:t>40mm</w:t>
            </w:r>
            <w:r>
              <w:rPr>
                <w:rFonts w:hint="eastAsia"/>
                <w:color w:val="auto"/>
                <w:highlight w:val="none"/>
                <w:lang w:eastAsia="zh-CN"/>
              </w:rPr>
              <w:t>的次龙骨上。</w:t>
            </w:r>
          </w:p>
          <w:p>
            <w:pPr>
              <w:rPr>
                <w:color w:val="auto"/>
                <w:highlight w:val="none"/>
                <w:lang w:eastAsia="zh-CN"/>
              </w:rPr>
            </w:pPr>
            <w:r>
              <w:rPr>
                <w:rFonts w:hint="eastAsia"/>
                <w:color w:val="auto"/>
                <w:highlight w:val="none"/>
                <w:lang w:eastAsia="zh-CN"/>
              </w:rPr>
              <w:t>根据板材布置的需要，应事先准备尺寸合格的横撑龙骨，用连接件将其两端连接在通长次龙骨上，横撑龙骨与通长次龙骨的间隙不得大于</w:t>
            </w:r>
            <w:r>
              <w:rPr>
                <w:color w:val="auto"/>
                <w:highlight w:val="none"/>
                <w:lang w:eastAsia="zh-CN"/>
              </w:rPr>
              <w:t>1mm</w:t>
            </w:r>
            <w:r>
              <w:rPr>
                <w:rFonts w:hint="eastAsia"/>
                <w:color w:val="auto"/>
                <w:highlight w:val="none"/>
                <w:lang w:eastAsia="zh-CN"/>
              </w:rPr>
              <w:t>。</w:t>
            </w:r>
          </w:p>
          <w:p>
            <w:pPr>
              <w:rPr>
                <w:color w:val="auto"/>
                <w:highlight w:val="none"/>
                <w:lang w:eastAsia="zh-CN"/>
              </w:rPr>
            </w:pPr>
            <w:r>
              <w:rPr>
                <w:rFonts w:hint="eastAsia"/>
                <w:color w:val="auto"/>
                <w:highlight w:val="none"/>
                <w:lang w:eastAsia="zh-CN"/>
              </w:rPr>
              <w:t>边龙骨应按设计要求弹线，固定在四周墙上。</w:t>
            </w:r>
          </w:p>
          <w:p>
            <w:pPr>
              <w:rPr>
                <w:color w:val="auto"/>
                <w:highlight w:val="none"/>
                <w:lang w:eastAsia="zh-CN"/>
              </w:rPr>
            </w:pPr>
            <w:r>
              <w:rPr>
                <w:rFonts w:hint="eastAsia"/>
                <w:color w:val="auto"/>
                <w:highlight w:val="none"/>
                <w:lang w:eastAsia="zh-CN"/>
              </w:rPr>
              <w:t>全面校正主、次龙骨的位置及水平度。连接件应错位安装。明龙骨应目测无明弯曲。通长次龙骨连接处的对错位偏差不得超过</w:t>
            </w:r>
            <w:r>
              <w:rPr>
                <w:color w:val="auto"/>
                <w:highlight w:val="none"/>
                <w:lang w:eastAsia="zh-CN"/>
              </w:rPr>
              <w:t>2mm</w:t>
            </w:r>
            <w:r>
              <w:rPr>
                <w:rFonts w:hint="eastAsia"/>
                <w:color w:val="auto"/>
                <w:highlight w:val="none"/>
                <w:lang w:eastAsia="zh-CN"/>
              </w:rPr>
              <w:t>。校正后应将龙骨的所有吊挂件、连接件拧夹紧。</w:t>
            </w:r>
          </w:p>
          <w:p>
            <w:pPr>
              <w:rPr>
                <w:color w:val="auto"/>
                <w:highlight w:val="none"/>
                <w:lang w:eastAsia="zh-CN"/>
              </w:rPr>
            </w:pPr>
            <w:r>
              <w:rPr>
                <w:rFonts w:hint="eastAsia"/>
                <w:color w:val="auto"/>
                <w:highlight w:val="none"/>
                <w:lang w:eastAsia="zh-CN"/>
              </w:rPr>
              <w:t>检查安装好吊顶骨架，应牢固可靠。</w:t>
            </w:r>
          </w:p>
          <w:p>
            <w:pPr>
              <w:rPr>
                <w:color w:val="auto"/>
                <w:highlight w:val="none"/>
                <w:lang w:eastAsia="zh-CN"/>
              </w:rPr>
            </w:pPr>
            <w:r>
              <w:rPr>
                <w:rFonts w:hint="eastAsia"/>
                <w:color w:val="auto"/>
                <w:highlight w:val="none"/>
                <w:lang w:eastAsia="zh-CN"/>
              </w:rPr>
              <w:t>吊杆固定严禁在梁上钻孔打眼，严禁打穿楼板及屋面板。</w:t>
            </w:r>
          </w:p>
          <w:p>
            <w:pPr>
              <w:rPr>
                <w:color w:val="auto"/>
                <w:highlight w:val="none"/>
                <w:lang w:eastAsia="zh-CN"/>
              </w:rPr>
            </w:pPr>
          </w:p>
          <w:p>
            <w:pPr>
              <w:rPr>
                <w:color w:val="auto"/>
                <w:highlight w:val="none"/>
                <w:lang w:eastAsia="zh-CN"/>
              </w:rPr>
            </w:pPr>
            <w:r>
              <w:rPr>
                <w:color w:val="auto"/>
                <w:highlight w:val="none"/>
                <w:lang w:eastAsia="zh-CN"/>
              </w:rPr>
              <w:t>3.4</w:t>
            </w:r>
            <w:r>
              <w:rPr>
                <w:rFonts w:hint="eastAsia"/>
                <w:color w:val="auto"/>
                <w:highlight w:val="none"/>
                <w:lang w:eastAsia="zh-CN"/>
              </w:rPr>
              <w:t>、罩面板安装工序</w:t>
            </w:r>
          </w:p>
          <w:p>
            <w:pPr>
              <w:rPr>
                <w:color w:val="auto"/>
                <w:highlight w:val="none"/>
                <w:lang w:eastAsia="zh-CN"/>
              </w:rPr>
            </w:pPr>
            <w:r>
              <w:rPr>
                <w:rFonts w:hint="eastAsia"/>
                <w:color w:val="auto"/>
                <w:highlight w:val="none"/>
                <w:lang w:eastAsia="zh-CN"/>
              </w:rPr>
              <w:t>铝扣板安装施工：</w:t>
            </w:r>
          </w:p>
          <w:p>
            <w:pPr>
              <w:rPr>
                <w:color w:val="auto"/>
                <w:highlight w:val="none"/>
                <w:lang w:eastAsia="zh-CN"/>
              </w:rPr>
            </w:pPr>
            <w:r>
              <w:rPr>
                <w:color w:val="auto"/>
                <w:highlight w:val="none"/>
                <w:lang w:eastAsia="zh-CN"/>
              </w:rPr>
              <w:t>600*600</w:t>
            </w:r>
            <w:r>
              <w:rPr>
                <w:rFonts w:hint="eastAsia"/>
                <w:color w:val="auto"/>
                <w:highlight w:val="none"/>
                <w:lang w:eastAsia="zh-CN"/>
              </w:rPr>
              <w:t>铝扣板采用托卡固定法，在</w:t>
            </w:r>
            <w:r>
              <w:rPr>
                <w:color w:val="auto"/>
                <w:highlight w:val="none"/>
                <w:lang w:eastAsia="zh-CN"/>
              </w:rPr>
              <w:t>T</w:t>
            </w:r>
            <w:r>
              <w:rPr>
                <w:rFonts w:hint="eastAsia"/>
                <w:color w:val="auto"/>
                <w:highlight w:val="none"/>
                <w:lang w:eastAsia="zh-CN"/>
              </w:rPr>
              <w:t>型轻钢骨架通长次龙骨安装完毕，经检查标高、间距、平直度和吊挂荷载符合设计要求，垂直于通长次龙骨弹分块及卡档龙骨线。安装由顶棚的中间行次龙骨的一端开始，先装一根边卡档次龙骨，再将罩面板槽托入</w:t>
            </w:r>
            <w:r>
              <w:rPr>
                <w:color w:val="auto"/>
                <w:highlight w:val="none"/>
                <w:lang w:eastAsia="zh-CN"/>
              </w:rPr>
              <w:t>T</w:t>
            </w:r>
            <w:r>
              <w:rPr>
                <w:rFonts w:hint="eastAsia"/>
                <w:color w:val="auto"/>
                <w:highlight w:val="none"/>
                <w:lang w:eastAsia="zh-CN"/>
              </w:rPr>
              <w:t>形次龙骨翼缘或将无槽的罩面板装在</w:t>
            </w:r>
            <w:r>
              <w:rPr>
                <w:color w:val="auto"/>
                <w:highlight w:val="none"/>
                <w:lang w:eastAsia="zh-CN"/>
              </w:rPr>
              <w:t>T</w:t>
            </w:r>
            <w:r>
              <w:rPr>
                <w:rFonts w:hint="eastAsia"/>
                <w:color w:val="auto"/>
                <w:highlight w:val="none"/>
                <w:lang w:eastAsia="zh-CN"/>
              </w:rPr>
              <w:t>形器缘上，然后安装另一侧长档次龙骨。按上述程序分行安装，最后分行拉线调整</w:t>
            </w:r>
            <w:r>
              <w:rPr>
                <w:color w:val="auto"/>
                <w:highlight w:val="none"/>
                <w:lang w:eastAsia="zh-CN"/>
              </w:rPr>
              <w:t>T</w:t>
            </w:r>
            <w:r>
              <w:rPr>
                <w:rFonts w:hint="eastAsia"/>
                <w:color w:val="auto"/>
                <w:highlight w:val="none"/>
                <w:lang w:eastAsia="zh-CN"/>
              </w:rPr>
              <w:t>形明龙骨。</w:t>
            </w:r>
          </w:p>
          <w:p>
            <w:pPr>
              <w:rPr>
                <w:color w:val="auto"/>
                <w:highlight w:val="none"/>
                <w:lang w:eastAsia="zh-CN"/>
              </w:rPr>
            </w:pPr>
            <w:r>
              <w:rPr>
                <w:rFonts w:hint="eastAsia"/>
                <w:color w:val="auto"/>
                <w:highlight w:val="none"/>
                <w:lang w:eastAsia="zh-CN"/>
              </w:rPr>
              <w:t>铝板、钢板吊顶安装施工：</w:t>
            </w:r>
          </w:p>
          <w:p>
            <w:pPr>
              <w:rPr>
                <w:color w:val="auto"/>
                <w:highlight w:val="none"/>
                <w:lang w:eastAsia="zh-CN"/>
              </w:rPr>
            </w:pPr>
            <w:r>
              <w:rPr>
                <w:rFonts w:hint="eastAsia"/>
                <w:color w:val="auto"/>
                <w:highlight w:val="none"/>
                <w:lang w:eastAsia="zh-CN"/>
              </w:rPr>
              <w:t>板的固定：首先要在龙骨调平的条件下才可安装，安装板时，应从单向开始，依次安装。采用自攻螺钉固定方板。</w:t>
            </w:r>
          </w:p>
          <w:p>
            <w:pPr>
              <w:rPr>
                <w:color w:val="auto"/>
                <w:highlight w:val="none"/>
                <w:lang w:eastAsia="zh-CN"/>
              </w:rPr>
            </w:pPr>
            <w:r>
              <w:rPr>
                <w:rFonts w:hint="eastAsia"/>
                <w:color w:val="auto"/>
                <w:highlight w:val="none"/>
                <w:lang w:eastAsia="zh-CN"/>
              </w:rPr>
              <w:t>接缝处理：板与板的接缝应为密缝，为防止空气泄露，所有板缝均采用中性硅酮密封胶封闭。</w:t>
            </w:r>
          </w:p>
          <w:p>
            <w:pPr>
              <w:rPr>
                <w:color w:val="auto"/>
                <w:highlight w:val="none"/>
                <w:lang w:eastAsia="zh-CN"/>
              </w:rPr>
            </w:pPr>
            <w:r>
              <w:rPr>
                <w:rFonts w:hint="eastAsia"/>
                <w:color w:val="auto"/>
                <w:highlight w:val="none"/>
                <w:lang w:eastAsia="zh-CN"/>
              </w:rPr>
              <w:t>石膏板吊顶安装施工：</w:t>
            </w:r>
          </w:p>
          <w:p>
            <w:pPr>
              <w:rPr>
                <w:color w:val="auto"/>
                <w:highlight w:val="none"/>
                <w:lang w:eastAsia="zh-CN"/>
              </w:rPr>
            </w:pPr>
            <w:r>
              <w:rPr>
                <w:rFonts w:hint="eastAsia"/>
                <w:color w:val="auto"/>
                <w:highlight w:val="none"/>
                <w:lang w:eastAsia="zh-CN"/>
              </w:rPr>
              <w:t>板材应在自由状态下进行固定，防止出现弯棱、凸鼓现象；</w:t>
            </w:r>
          </w:p>
          <w:p>
            <w:pPr>
              <w:rPr>
                <w:color w:val="auto"/>
                <w:highlight w:val="none"/>
                <w:lang w:eastAsia="zh-CN"/>
              </w:rPr>
            </w:pPr>
            <w:r>
              <w:rPr>
                <w:rFonts w:hint="eastAsia"/>
                <w:color w:val="auto"/>
                <w:highlight w:val="none"/>
                <w:lang w:eastAsia="zh-CN"/>
              </w:rPr>
              <w:t>纸面石膏板的长边（即包封边）沿纵向次龙骨铺设；</w:t>
            </w:r>
          </w:p>
          <w:p>
            <w:pPr>
              <w:rPr>
                <w:color w:val="auto"/>
                <w:highlight w:val="none"/>
                <w:lang w:eastAsia="zh-CN"/>
              </w:rPr>
            </w:pPr>
            <w:r>
              <w:rPr>
                <w:rFonts w:hint="eastAsia"/>
                <w:color w:val="auto"/>
                <w:highlight w:val="none"/>
                <w:lang w:eastAsia="zh-CN"/>
              </w:rPr>
              <w:t>自攻螺钉与纸面石膏板边距离：面纸包封边以</w:t>
            </w:r>
            <w:r>
              <w:rPr>
                <w:color w:val="auto"/>
                <w:highlight w:val="none"/>
                <w:lang w:eastAsia="zh-CN"/>
              </w:rPr>
              <w:t>10-15mm</w:t>
            </w:r>
            <w:r>
              <w:rPr>
                <w:rFonts w:hint="eastAsia"/>
                <w:color w:val="auto"/>
                <w:highlight w:val="none"/>
                <w:lang w:eastAsia="zh-CN"/>
              </w:rPr>
              <w:t>为宜，切割的板边边以</w:t>
            </w:r>
            <w:r>
              <w:rPr>
                <w:color w:val="auto"/>
                <w:highlight w:val="none"/>
                <w:lang w:eastAsia="zh-CN"/>
              </w:rPr>
              <w:t>10-15mm</w:t>
            </w:r>
            <w:r>
              <w:rPr>
                <w:rFonts w:hint="eastAsia"/>
                <w:color w:val="auto"/>
                <w:highlight w:val="none"/>
                <w:lang w:eastAsia="zh-CN"/>
              </w:rPr>
              <w:t>为宜；</w:t>
            </w:r>
          </w:p>
          <w:p>
            <w:pPr>
              <w:rPr>
                <w:color w:val="auto"/>
                <w:highlight w:val="none"/>
                <w:lang w:eastAsia="zh-CN"/>
              </w:rPr>
            </w:pPr>
            <w:r>
              <w:rPr>
                <w:rFonts w:hint="eastAsia"/>
                <w:color w:val="auto"/>
                <w:highlight w:val="none"/>
                <w:lang w:eastAsia="zh-CN"/>
              </w:rPr>
              <w:t>固定石膏板的次龙骨间距一般在</w:t>
            </w:r>
            <w:r>
              <w:rPr>
                <w:color w:val="auto"/>
                <w:highlight w:val="none"/>
                <w:lang w:eastAsia="zh-CN"/>
              </w:rPr>
              <w:t>300</w:t>
            </w:r>
            <w:r>
              <w:rPr>
                <w:rFonts w:hint="eastAsia"/>
                <w:color w:val="auto"/>
                <w:highlight w:val="none"/>
                <w:lang w:eastAsia="zh-CN"/>
              </w:rPr>
              <w:t>－</w:t>
            </w:r>
            <w:r>
              <w:rPr>
                <w:color w:val="auto"/>
                <w:highlight w:val="none"/>
                <w:lang w:eastAsia="zh-CN"/>
              </w:rPr>
              <w:t>600mm</w:t>
            </w:r>
            <w:r>
              <w:rPr>
                <w:rFonts w:hint="eastAsia"/>
                <w:color w:val="auto"/>
                <w:highlight w:val="none"/>
                <w:lang w:eastAsia="zh-CN"/>
              </w:rPr>
              <w:t>；</w:t>
            </w:r>
          </w:p>
          <w:p>
            <w:pPr>
              <w:rPr>
                <w:color w:val="auto"/>
                <w:highlight w:val="none"/>
                <w:lang w:eastAsia="zh-CN"/>
              </w:rPr>
            </w:pPr>
            <w:r>
              <w:rPr>
                <w:rFonts w:hint="eastAsia"/>
                <w:color w:val="auto"/>
                <w:highlight w:val="none"/>
                <w:lang w:eastAsia="zh-CN"/>
              </w:rPr>
              <w:t>钉距以</w:t>
            </w:r>
            <w:r>
              <w:rPr>
                <w:color w:val="auto"/>
                <w:highlight w:val="none"/>
                <w:lang w:eastAsia="zh-CN"/>
              </w:rPr>
              <w:t>150</w:t>
            </w:r>
            <w:r>
              <w:rPr>
                <w:rFonts w:hint="eastAsia"/>
                <w:color w:val="auto"/>
                <w:highlight w:val="none"/>
                <w:lang w:eastAsia="zh-CN"/>
              </w:rPr>
              <w:t>－</w:t>
            </w:r>
            <w:r>
              <w:rPr>
                <w:color w:val="auto"/>
                <w:highlight w:val="none"/>
                <w:lang w:eastAsia="zh-CN"/>
              </w:rPr>
              <w:t>170mm</w:t>
            </w:r>
            <w:r>
              <w:rPr>
                <w:rFonts w:hint="eastAsia"/>
                <w:color w:val="auto"/>
                <w:highlight w:val="none"/>
                <w:lang w:eastAsia="zh-CN"/>
              </w:rPr>
              <w:t>为宜，螺钉应与板面垂直。弯曲、变形的螺钉应剔除，并在相隔</w:t>
            </w:r>
            <w:r>
              <w:rPr>
                <w:color w:val="auto"/>
                <w:highlight w:val="none"/>
                <w:lang w:eastAsia="zh-CN"/>
              </w:rPr>
              <w:t>50mm</w:t>
            </w:r>
            <w:r>
              <w:rPr>
                <w:rFonts w:hint="eastAsia"/>
                <w:color w:val="auto"/>
                <w:highlight w:val="none"/>
                <w:lang w:eastAsia="zh-CN"/>
              </w:rPr>
              <w:t>的部位另安螺钉；</w:t>
            </w:r>
          </w:p>
          <w:p>
            <w:pPr>
              <w:rPr>
                <w:color w:val="auto"/>
                <w:highlight w:val="none"/>
                <w:lang w:eastAsia="zh-CN"/>
              </w:rPr>
            </w:pPr>
            <w:r>
              <w:rPr>
                <w:rFonts w:hint="eastAsia"/>
                <w:color w:val="auto"/>
                <w:highlight w:val="none"/>
                <w:lang w:eastAsia="zh-CN"/>
              </w:rPr>
              <w:t>石膏板的接缝，应按设计要求进行板缝处理；</w:t>
            </w:r>
          </w:p>
          <w:p>
            <w:pPr>
              <w:rPr>
                <w:color w:val="auto"/>
                <w:highlight w:val="none"/>
                <w:lang w:eastAsia="zh-CN"/>
              </w:rPr>
            </w:pPr>
            <w:r>
              <w:rPr>
                <w:rFonts w:hint="eastAsia"/>
                <w:color w:val="auto"/>
                <w:highlight w:val="none"/>
                <w:lang w:eastAsia="zh-CN"/>
              </w:rPr>
              <w:t>纸面石膏板与龙骨固定，应从一块板的中间向板的四周固定，不得多点同时作业；</w:t>
            </w:r>
          </w:p>
          <w:p>
            <w:pPr>
              <w:rPr>
                <w:color w:val="auto"/>
                <w:highlight w:val="none"/>
                <w:lang w:eastAsia="zh-CN"/>
              </w:rPr>
            </w:pPr>
            <w:r>
              <w:rPr>
                <w:rFonts w:hint="eastAsia"/>
                <w:color w:val="auto"/>
                <w:highlight w:val="none"/>
                <w:lang w:eastAsia="zh-CN"/>
              </w:rPr>
              <w:t>螺钉头宜略埋入板面，并不使纸面破坏。钉眼应作防锈处理并石膏腻子抹平；拌制石膏腻子，必须用清洁水和容器。</w:t>
            </w:r>
          </w:p>
          <w:p>
            <w:pPr>
              <w:rPr>
                <w:color w:val="auto"/>
                <w:highlight w:val="none"/>
                <w:lang w:eastAsia="zh-CN"/>
              </w:rPr>
            </w:pPr>
            <w:r>
              <w:rPr>
                <w:rFonts w:hint="eastAsia"/>
                <w:color w:val="auto"/>
                <w:highlight w:val="none"/>
                <w:lang w:eastAsia="zh-CN"/>
              </w:rPr>
              <w:t>工程验收</w:t>
            </w:r>
          </w:p>
          <w:p>
            <w:pPr>
              <w:rPr>
                <w:color w:val="auto"/>
                <w:highlight w:val="none"/>
                <w:lang w:eastAsia="zh-CN"/>
              </w:rPr>
            </w:pPr>
            <w:r>
              <w:rPr>
                <w:rFonts w:hint="eastAsia"/>
                <w:color w:val="auto"/>
                <w:highlight w:val="none"/>
                <w:lang w:eastAsia="zh-CN"/>
              </w:rPr>
              <w:t>检查数量，按有代表性的自然间抽查</w:t>
            </w:r>
            <w:r>
              <w:rPr>
                <w:color w:val="auto"/>
                <w:highlight w:val="none"/>
                <w:lang w:eastAsia="zh-CN"/>
              </w:rPr>
              <w:t>10%</w:t>
            </w:r>
            <w:r>
              <w:rPr>
                <w:rFonts w:hint="eastAsia"/>
                <w:color w:val="auto"/>
                <w:highlight w:val="none"/>
                <w:lang w:eastAsia="zh-CN"/>
              </w:rPr>
              <w:t>，过道按</w:t>
            </w:r>
            <w:r>
              <w:rPr>
                <w:color w:val="auto"/>
                <w:highlight w:val="none"/>
                <w:lang w:eastAsia="zh-CN"/>
              </w:rPr>
              <w:t>10</w:t>
            </w:r>
            <w:r>
              <w:rPr>
                <w:rFonts w:hint="eastAsia"/>
                <w:color w:val="auto"/>
                <w:highlight w:val="none"/>
                <w:lang w:eastAsia="zh-CN"/>
              </w:rPr>
              <w:t>延长米，大空间按两轴线为</w:t>
            </w:r>
            <w:r>
              <w:rPr>
                <w:color w:val="auto"/>
                <w:highlight w:val="none"/>
                <w:lang w:eastAsia="zh-CN"/>
              </w:rPr>
              <w:t>1</w:t>
            </w:r>
            <w:r>
              <w:rPr>
                <w:rFonts w:hint="eastAsia"/>
                <w:color w:val="auto"/>
                <w:highlight w:val="none"/>
                <w:lang w:eastAsia="zh-CN"/>
              </w:rPr>
              <w:t>间，但不少于</w:t>
            </w:r>
            <w:r>
              <w:rPr>
                <w:color w:val="auto"/>
                <w:highlight w:val="none"/>
                <w:lang w:eastAsia="zh-CN"/>
              </w:rPr>
              <w:t>3</w:t>
            </w:r>
            <w:r>
              <w:rPr>
                <w:rFonts w:hint="eastAsia"/>
                <w:color w:val="auto"/>
                <w:highlight w:val="none"/>
                <w:lang w:eastAsia="zh-CN"/>
              </w:rPr>
              <w:t>间。</w:t>
            </w:r>
          </w:p>
          <w:p>
            <w:pPr>
              <w:rPr>
                <w:color w:val="auto"/>
                <w:highlight w:val="none"/>
                <w:lang w:eastAsia="zh-CN"/>
              </w:rPr>
            </w:pPr>
            <w:r>
              <w:rPr>
                <w:rFonts w:hint="eastAsia"/>
                <w:color w:val="auto"/>
                <w:highlight w:val="none"/>
                <w:lang w:eastAsia="zh-CN"/>
              </w:rPr>
              <w:t>检查吊顶工程所用材料的品种、规格、颜色以及基层构造、固定方法等是否符合设计要求。</w:t>
            </w:r>
          </w:p>
          <w:p>
            <w:pPr>
              <w:rPr>
                <w:color w:val="auto"/>
                <w:highlight w:val="none"/>
                <w:lang w:eastAsia="zh-CN"/>
              </w:rPr>
            </w:pPr>
            <w:r>
              <w:rPr>
                <w:rFonts w:hint="eastAsia"/>
                <w:color w:val="auto"/>
                <w:highlight w:val="none"/>
                <w:lang w:eastAsia="zh-CN"/>
              </w:rPr>
              <w:t>罩面板与龙骨应连接紧密、表面应平整、不得有污染、拆裂、缺棱掉角、锤伤等缺陷，接缝应均匀一致，粘贴的罩面板不得有脱层及不得有创透之处。</w:t>
            </w:r>
          </w:p>
          <w:p>
            <w:pPr>
              <w:rPr>
                <w:color w:val="auto"/>
                <w:highlight w:val="none"/>
                <w:lang w:eastAsia="zh-CN"/>
              </w:rPr>
            </w:pPr>
            <w:r>
              <w:rPr>
                <w:rFonts w:hint="eastAsia"/>
                <w:color w:val="auto"/>
                <w:highlight w:val="none"/>
                <w:lang w:eastAsia="zh-CN"/>
              </w:rPr>
              <w:t>搁置的罩面板不得有漏、透、翘角现象。</w:t>
            </w:r>
          </w:p>
          <w:p>
            <w:pPr>
              <w:rPr>
                <w:color w:val="auto"/>
                <w:highlight w:val="none"/>
                <w:lang w:eastAsia="zh-CN"/>
              </w:rPr>
            </w:pPr>
            <w:r>
              <w:rPr>
                <w:rFonts w:hint="eastAsia"/>
                <w:color w:val="auto"/>
                <w:highlight w:val="none"/>
                <w:lang w:eastAsia="zh-CN"/>
              </w:rPr>
              <w:t>吊顶罩面板工程质量的允许偏差：</w:t>
            </w:r>
          </w:p>
          <w:p>
            <w:pPr>
              <w:rPr>
                <w:color w:val="auto"/>
                <w:highlight w:val="none"/>
                <w:lang w:eastAsia="zh-CN"/>
              </w:rPr>
            </w:pPr>
          </w:p>
          <w:tbl>
            <w:tblPr>
              <w:tblStyle w:val="85"/>
              <w:tblW w:w="6146"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70"/>
              <w:gridCol w:w="1007"/>
              <w:gridCol w:w="1007"/>
              <w:gridCol w:w="749"/>
              <w:gridCol w:w="28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1" w:hRule="atLeast"/>
              </w:trPr>
              <w:tc>
                <w:tcPr>
                  <w:tcW w:w="570" w:type="dxa"/>
                  <w:vMerge w:val="restart"/>
                  <w:vAlign w:val="center"/>
                </w:tcPr>
                <w:p>
                  <w:pPr>
                    <w:rPr>
                      <w:color w:val="auto"/>
                      <w:highlight w:val="none"/>
                    </w:rPr>
                  </w:pPr>
                  <w:r>
                    <w:rPr>
                      <w:rFonts w:hint="eastAsia"/>
                      <w:color w:val="auto"/>
                      <w:highlight w:val="none"/>
                    </w:rPr>
                    <w:t>项次</w:t>
                  </w:r>
                </w:p>
              </w:tc>
              <w:tc>
                <w:tcPr>
                  <w:tcW w:w="1007" w:type="dxa"/>
                  <w:vMerge w:val="restart"/>
                  <w:vAlign w:val="center"/>
                </w:tcPr>
                <w:p>
                  <w:pPr>
                    <w:rPr>
                      <w:color w:val="auto"/>
                      <w:highlight w:val="none"/>
                    </w:rPr>
                  </w:pPr>
                  <w:r>
                    <w:rPr>
                      <w:rFonts w:hint="eastAsia"/>
                      <w:color w:val="auto"/>
                      <w:highlight w:val="none"/>
                    </w:rPr>
                    <w:t>项目</w:t>
                  </w:r>
                </w:p>
              </w:tc>
              <w:tc>
                <w:tcPr>
                  <w:tcW w:w="1756" w:type="dxa"/>
                  <w:gridSpan w:val="2"/>
                  <w:vAlign w:val="center"/>
                </w:tcPr>
                <w:p>
                  <w:pPr>
                    <w:rPr>
                      <w:color w:val="auto"/>
                      <w:highlight w:val="none"/>
                    </w:rPr>
                  </w:pPr>
                  <w:r>
                    <w:rPr>
                      <w:rFonts w:hint="eastAsia"/>
                      <w:color w:val="auto"/>
                      <w:highlight w:val="none"/>
                    </w:rPr>
                    <w:t>允许偏差（</w:t>
                  </w:r>
                  <w:r>
                    <w:rPr>
                      <w:color w:val="auto"/>
                      <w:highlight w:val="none"/>
                    </w:rPr>
                    <w:t>mm</w:t>
                  </w:r>
                  <w:r>
                    <w:rPr>
                      <w:rFonts w:hint="eastAsia"/>
                      <w:color w:val="auto"/>
                      <w:highlight w:val="none"/>
                    </w:rPr>
                    <w:t>）</w:t>
                  </w:r>
                </w:p>
              </w:tc>
              <w:tc>
                <w:tcPr>
                  <w:tcW w:w="2813" w:type="dxa"/>
                  <w:vMerge w:val="restart"/>
                  <w:vAlign w:val="center"/>
                </w:tcPr>
                <w:p>
                  <w:pPr>
                    <w:rPr>
                      <w:color w:val="auto"/>
                      <w:highlight w:val="none"/>
                    </w:rPr>
                  </w:pPr>
                  <w:r>
                    <w:rPr>
                      <w:rFonts w:hint="eastAsia"/>
                      <w:color w:val="auto"/>
                      <w:highlight w:val="none"/>
                    </w:rPr>
                    <w:t>检验方法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2" w:hRule="atLeast"/>
              </w:trPr>
              <w:tc>
                <w:tcPr>
                  <w:tcW w:w="570" w:type="dxa"/>
                  <w:vMerge w:val="continue"/>
                  <w:vAlign w:val="center"/>
                </w:tcPr>
                <w:p>
                  <w:pPr>
                    <w:rPr>
                      <w:color w:val="auto"/>
                      <w:highlight w:val="none"/>
                    </w:rPr>
                  </w:pPr>
                </w:p>
              </w:tc>
              <w:tc>
                <w:tcPr>
                  <w:tcW w:w="1007" w:type="dxa"/>
                  <w:vMerge w:val="continue"/>
                  <w:vAlign w:val="center"/>
                </w:tcPr>
                <w:p>
                  <w:pPr>
                    <w:rPr>
                      <w:color w:val="auto"/>
                      <w:highlight w:val="none"/>
                    </w:rPr>
                  </w:pPr>
                </w:p>
              </w:tc>
              <w:tc>
                <w:tcPr>
                  <w:tcW w:w="1007" w:type="dxa"/>
                  <w:vAlign w:val="center"/>
                </w:tcPr>
                <w:p>
                  <w:pPr>
                    <w:rPr>
                      <w:color w:val="auto"/>
                      <w:highlight w:val="none"/>
                    </w:rPr>
                  </w:pPr>
                  <w:r>
                    <w:rPr>
                      <w:rFonts w:hint="eastAsia"/>
                      <w:color w:val="auto"/>
                      <w:highlight w:val="none"/>
                    </w:rPr>
                    <w:t>纸面石膏板</w:t>
                  </w:r>
                </w:p>
              </w:tc>
              <w:tc>
                <w:tcPr>
                  <w:tcW w:w="749" w:type="dxa"/>
                  <w:vAlign w:val="center"/>
                </w:tcPr>
                <w:p>
                  <w:pPr>
                    <w:rPr>
                      <w:color w:val="auto"/>
                      <w:highlight w:val="none"/>
                    </w:rPr>
                  </w:pPr>
                  <w:r>
                    <w:rPr>
                      <w:rFonts w:hint="eastAsia"/>
                      <w:color w:val="auto"/>
                      <w:highlight w:val="none"/>
                    </w:rPr>
                    <w:t>金属板</w:t>
                  </w:r>
                </w:p>
              </w:tc>
              <w:tc>
                <w:tcPr>
                  <w:tcW w:w="2813" w:type="dxa"/>
                  <w:vMerge w:val="continue"/>
                  <w:vAlign w:val="center"/>
                </w:tcPr>
                <w:p>
                  <w:pPr>
                    <w:rPr>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2" w:hRule="atLeast"/>
              </w:trPr>
              <w:tc>
                <w:tcPr>
                  <w:tcW w:w="570" w:type="dxa"/>
                  <w:vAlign w:val="center"/>
                </w:tcPr>
                <w:p>
                  <w:pPr>
                    <w:rPr>
                      <w:color w:val="auto"/>
                      <w:highlight w:val="none"/>
                    </w:rPr>
                  </w:pPr>
                  <w:r>
                    <w:rPr>
                      <w:color w:val="auto"/>
                      <w:highlight w:val="none"/>
                    </w:rPr>
                    <w:t>1</w:t>
                  </w:r>
                </w:p>
              </w:tc>
              <w:tc>
                <w:tcPr>
                  <w:tcW w:w="1007" w:type="dxa"/>
                  <w:vAlign w:val="center"/>
                </w:tcPr>
                <w:p>
                  <w:pPr>
                    <w:rPr>
                      <w:color w:val="auto"/>
                      <w:highlight w:val="none"/>
                    </w:rPr>
                  </w:pPr>
                  <w:r>
                    <w:rPr>
                      <w:rFonts w:hint="eastAsia"/>
                      <w:color w:val="auto"/>
                      <w:highlight w:val="none"/>
                    </w:rPr>
                    <w:t>表面平整度</w:t>
                  </w:r>
                </w:p>
              </w:tc>
              <w:tc>
                <w:tcPr>
                  <w:tcW w:w="1007" w:type="dxa"/>
                  <w:vAlign w:val="center"/>
                </w:tcPr>
                <w:p>
                  <w:pPr>
                    <w:rPr>
                      <w:color w:val="auto"/>
                      <w:highlight w:val="none"/>
                    </w:rPr>
                  </w:pPr>
                  <w:r>
                    <w:rPr>
                      <w:color w:val="auto"/>
                      <w:highlight w:val="none"/>
                    </w:rPr>
                    <w:t>3</w:t>
                  </w:r>
                </w:p>
              </w:tc>
              <w:tc>
                <w:tcPr>
                  <w:tcW w:w="749" w:type="dxa"/>
                  <w:vAlign w:val="center"/>
                </w:tcPr>
                <w:p>
                  <w:pPr>
                    <w:rPr>
                      <w:color w:val="auto"/>
                      <w:highlight w:val="none"/>
                    </w:rPr>
                  </w:pPr>
                  <w:r>
                    <w:rPr>
                      <w:color w:val="auto"/>
                      <w:highlight w:val="none"/>
                    </w:rPr>
                    <w:t>2</w:t>
                  </w:r>
                </w:p>
              </w:tc>
              <w:tc>
                <w:tcPr>
                  <w:tcW w:w="2813" w:type="dxa"/>
                  <w:vAlign w:val="center"/>
                </w:tcPr>
                <w:p>
                  <w:pPr>
                    <w:rPr>
                      <w:color w:val="auto"/>
                      <w:highlight w:val="none"/>
                    </w:rPr>
                  </w:pPr>
                  <w:r>
                    <w:rPr>
                      <w:rFonts w:hint="eastAsia"/>
                      <w:color w:val="auto"/>
                      <w:highlight w:val="none"/>
                    </w:rPr>
                    <w:t>用</w:t>
                  </w:r>
                  <w:r>
                    <w:rPr>
                      <w:color w:val="auto"/>
                      <w:highlight w:val="none"/>
                    </w:rPr>
                    <w:t>2m</w:t>
                  </w:r>
                  <w:r>
                    <w:rPr>
                      <w:rFonts w:hint="eastAsia"/>
                      <w:color w:val="auto"/>
                      <w:highlight w:val="none"/>
                    </w:rPr>
                    <w:t>靠尺和塞尺检查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2" w:hRule="atLeast"/>
              </w:trPr>
              <w:tc>
                <w:tcPr>
                  <w:tcW w:w="570" w:type="dxa"/>
                  <w:vAlign w:val="center"/>
                </w:tcPr>
                <w:p>
                  <w:pPr>
                    <w:rPr>
                      <w:color w:val="auto"/>
                      <w:highlight w:val="none"/>
                    </w:rPr>
                  </w:pPr>
                  <w:r>
                    <w:rPr>
                      <w:color w:val="auto"/>
                      <w:highlight w:val="none"/>
                    </w:rPr>
                    <w:t>2</w:t>
                  </w:r>
                </w:p>
              </w:tc>
              <w:tc>
                <w:tcPr>
                  <w:tcW w:w="1007" w:type="dxa"/>
                  <w:vAlign w:val="center"/>
                </w:tcPr>
                <w:p>
                  <w:pPr>
                    <w:rPr>
                      <w:color w:val="auto"/>
                      <w:highlight w:val="none"/>
                    </w:rPr>
                  </w:pPr>
                  <w:r>
                    <w:rPr>
                      <w:rFonts w:hint="eastAsia"/>
                      <w:color w:val="auto"/>
                      <w:highlight w:val="none"/>
                    </w:rPr>
                    <w:t>接缝直线度</w:t>
                  </w:r>
                </w:p>
              </w:tc>
              <w:tc>
                <w:tcPr>
                  <w:tcW w:w="1007" w:type="dxa"/>
                  <w:vAlign w:val="center"/>
                </w:tcPr>
                <w:p>
                  <w:pPr>
                    <w:rPr>
                      <w:color w:val="auto"/>
                      <w:highlight w:val="none"/>
                    </w:rPr>
                  </w:pPr>
                  <w:r>
                    <w:rPr>
                      <w:color w:val="auto"/>
                      <w:highlight w:val="none"/>
                    </w:rPr>
                    <w:t>3</w:t>
                  </w:r>
                </w:p>
              </w:tc>
              <w:tc>
                <w:tcPr>
                  <w:tcW w:w="749" w:type="dxa"/>
                  <w:vAlign w:val="center"/>
                </w:tcPr>
                <w:p>
                  <w:pPr>
                    <w:rPr>
                      <w:color w:val="auto"/>
                      <w:highlight w:val="none"/>
                    </w:rPr>
                  </w:pPr>
                  <w:r>
                    <w:rPr>
                      <w:color w:val="auto"/>
                      <w:highlight w:val="none"/>
                    </w:rPr>
                    <w:t>1.5</w:t>
                  </w:r>
                </w:p>
              </w:tc>
              <w:tc>
                <w:tcPr>
                  <w:tcW w:w="2813" w:type="dxa"/>
                  <w:vAlign w:val="center"/>
                </w:tcPr>
                <w:p>
                  <w:pPr>
                    <w:rPr>
                      <w:color w:val="auto"/>
                      <w:highlight w:val="none"/>
                      <w:lang w:eastAsia="zh-CN"/>
                    </w:rPr>
                  </w:pPr>
                  <w:r>
                    <w:rPr>
                      <w:rFonts w:hint="eastAsia"/>
                      <w:color w:val="auto"/>
                      <w:highlight w:val="none"/>
                      <w:lang w:eastAsia="zh-CN"/>
                    </w:rPr>
                    <w:t>拉</w:t>
                  </w:r>
                  <w:r>
                    <w:rPr>
                      <w:color w:val="auto"/>
                      <w:highlight w:val="none"/>
                      <w:lang w:eastAsia="zh-CN"/>
                    </w:rPr>
                    <w:t>5m</w:t>
                  </w:r>
                  <w:r>
                    <w:rPr>
                      <w:rFonts w:hint="eastAsia"/>
                      <w:color w:val="auto"/>
                      <w:highlight w:val="none"/>
                      <w:lang w:eastAsia="zh-CN"/>
                    </w:rPr>
                    <w:t>线，不足</w:t>
                  </w:r>
                  <w:r>
                    <w:rPr>
                      <w:color w:val="auto"/>
                      <w:highlight w:val="none"/>
                      <w:lang w:eastAsia="zh-CN"/>
                    </w:rPr>
                    <w:t>5m</w:t>
                  </w:r>
                  <w:r>
                    <w:rPr>
                      <w:rFonts w:hint="eastAsia"/>
                      <w:color w:val="auto"/>
                      <w:highlight w:val="none"/>
                      <w:lang w:eastAsia="zh-CN"/>
                    </w:rPr>
                    <w:t>拉通线，用钢直尺检查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2" w:hRule="atLeast"/>
              </w:trPr>
              <w:tc>
                <w:tcPr>
                  <w:tcW w:w="570" w:type="dxa"/>
                  <w:vAlign w:val="center"/>
                </w:tcPr>
                <w:p>
                  <w:pPr>
                    <w:rPr>
                      <w:color w:val="auto"/>
                      <w:highlight w:val="none"/>
                      <w:lang w:eastAsia="zh-CN"/>
                    </w:rPr>
                  </w:pPr>
                  <w:r>
                    <w:rPr>
                      <w:color w:val="auto"/>
                      <w:highlight w:val="none"/>
                      <w:lang w:eastAsia="zh-CN"/>
                    </w:rPr>
                    <w:t>3</w:t>
                  </w:r>
                </w:p>
              </w:tc>
              <w:tc>
                <w:tcPr>
                  <w:tcW w:w="1007" w:type="dxa"/>
                  <w:vAlign w:val="center"/>
                </w:tcPr>
                <w:p>
                  <w:pPr>
                    <w:rPr>
                      <w:color w:val="auto"/>
                      <w:highlight w:val="none"/>
                      <w:lang w:eastAsia="zh-CN"/>
                    </w:rPr>
                  </w:pPr>
                  <w:r>
                    <w:rPr>
                      <w:rFonts w:hint="eastAsia"/>
                      <w:color w:val="auto"/>
                      <w:highlight w:val="none"/>
                      <w:lang w:eastAsia="zh-CN"/>
                    </w:rPr>
                    <w:t>接缝高低差</w:t>
                  </w:r>
                </w:p>
              </w:tc>
              <w:tc>
                <w:tcPr>
                  <w:tcW w:w="1007" w:type="dxa"/>
                  <w:vAlign w:val="center"/>
                </w:tcPr>
                <w:p>
                  <w:pPr>
                    <w:rPr>
                      <w:color w:val="auto"/>
                      <w:highlight w:val="none"/>
                      <w:lang w:eastAsia="zh-CN"/>
                    </w:rPr>
                  </w:pPr>
                  <w:r>
                    <w:rPr>
                      <w:color w:val="auto"/>
                      <w:highlight w:val="none"/>
                      <w:lang w:eastAsia="zh-CN"/>
                    </w:rPr>
                    <w:t>1</w:t>
                  </w:r>
                </w:p>
              </w:tc>
              <w:tc>
                <w:tcPr>
                  <w:tcW w:w="749" w:type="dxa"/>
                  <w:vAlign w:val="center"/>
                </w:tcPr>
                <w:p>
                  <w:pPr>
                    <w:rPr>
                      <w:color w:val="auto"/>
                      <w:highlight w:val="none"/>
                      <w:lang w:eastAsia="zh-CN"/>
                    </w:rPr>
                  </w:pPr>
                  <w:r>
                    <w:rPr>
                      <w:color w:val="auto"/>
                      <w:highlight w:val="none"/>
                      <w:lang w:eastAsia="zh-CN"/>
                    </w:rPr>
                    <w:t>1</w:t>
                  </w:r>
                </w:p>
              </w:tc>
              <w:tc>
                <w:tcPr>
                  <w:tcW w:w="2813" w:type="dxa"/>
                  <w:vAlign w:val="center"/>
                </w:tcPr>
                <w:p>
                  <w:pPr>
                    <w:rPr>
                      <w:color w:val="auto"/>
                      <w:highlight w:val="none"/>
                      <w:lang w:eastAsia="zh-CN"/>
                    </w:rPr>
                  </w:pPr>
                  <w:r>
                    <w:rPr>
                      <w:rFonts w:hint="eastAsia"/>
                      <w:color w:val="auto"/>
                      <w:highlight w:val="none"/>
                      <w:lang w:eastAsia="zh-CN"/>
                    </w:rPr>
                    <w:t>用钢直尺和塞尺检查</w:t>
                  </w:r>
                </w:p>
              </w:tc>
            </w:tr>
          </w:tbl>
          <w:p>
            <w:pPr>
              <w:rPr>
                <w:color w:val="auto"/>
                <w:highlight w:val="none"/>
                <w:lang w:eastAsia="zh-CN"/>
              </w:rPr>
            </w:pPr>
            <w:r>
              <w:rPr>
                <w:color w:val="auto"/>
                <w:highlight w:val="none"/>
                <w:lang w:eastAsia="zh-CN"/>
              </w:rPr>
              <w:t>4</w:t>
            </w:r>
            <w:r>
              <w:rPr>
                <w:rFonts w:hint="eastAsia"/>
                <w:color w:val="auto"/>
                <w:highlight w:val="none"/>
                <w:lang w:eastAsia="zh-CN"/>
              </w:rPr>
              <w:t>、地面、踢脚</w:t>
            </w:r>
          </w:p>
          <w:p>
            <w:pPr>
              <w:rPr>
                <w:color w:val="auto"/>
                <w:highlight w:val="none"/>
                <w:lang w:eastAsia="zh-CN"/>
              </w:rPr>
            </w:pPr>
          </w:p>
          <w:p>
            <w:pPr>
              <w:rPr>
                <w:color w:val="auto"/>
                <w:highlight w:val="none"/>
                <w:lang w:eastAsia="zh-CN"/>
              </w:rPr>
            </w:pPr>
            <w:r>
              <w:rPr>
                <w:color w:val="auto"/>
                <w:highlight w:val="none"/>
                <w:lang w:eastAsia="zh-CN"/>
              </w:rPr>
              <w:t>4.1</w:t>
            </w:r>
            <w:r>
              <w:rPr>
                <w:rFonts w:hint="eastAsia"/>
                <w:color w:val="auto"/>
                <w:highlight w:val="none"/>
                <w:lang w:eastAsia="zh-CN"/>
              </w:rPr>
              <w:t>、一般规定：</w:t>
            </w:r>
          </w:p>
          <w:p>
            <w:pPr>
              <w:rPr>
                <w:color w:val="auto"/>
                <w:highlight w:val="none"/>
                <w:lang w:eastAsia="zh-CN"/>
              </w:rPr>
            </w:pPr>
            <w:r>
              <w:rPr>
                <w:rFonts w:hint="eastAsia"/>
                <w:color w:val="auto"/>
                <w:highlight w:val="none"/>
                <w:lang w:eastAsia="zh-CN"/>
              </w:rPr>
              <w:t>所有卷材拼缝均为平整无缝，与墙体均为圆弧连结。踢脚线与相应房间内的地面材料相同。</w:t>
            </w:r>
          </w:p>
          <w:p>
            <w:pPr>
              <w:rPr>
                <w:color w:val="auto"/>
                <w:highlight w:val="none"/>
                <w:lang w:eastAsia="zh-CN"/>
              </w:rPr>
            </w:pPr>
            <w:r>
              <w:rPr>
                <w:rFonts w:hint="eastAsia"/>
                <w:color w:val="auto"/>
                <w:highlight w:val="none"/>
                <w:lang w:eastAsia="zh-CN"/>
              </w:rPr>
              <w:t>材料报验：对所进场材料必须经监理见证送检合格后方能使用。成品材料需提供大约</w:t>
            </w:r>
            <w:r>
              <w:rPr>
                <w:color w:val="auto"/>
                <w:highlight w:val="none"/>
                <w:lang w:eastAsia="zh-CN"/>
              </w:rPr>
              <w:t>1m2</w:t>
            </w:r>
            <w:r>
              <w:rPr>
                <w:rFonts w:hint="eastAsia"/>
                <w:color w:val="auto"/>
                <w:highlight w:val="none"/>
                <w:lang w:eastAsia="zh-CN"/>
              </w:rPr>
              <w:t>的样本板块，并在工程开始前取得批准。</w:t>
            </w:r>
          </w:p>
          <w:p>
            <w:pPr>
              <w:rPr>
                <w:color w:val="auto"/>
                <w:highlight w:val="none"/>
                <w:lang w:eastAsia="zh-CN"/>
              </w:rPr>
            </w:pPr>
            <w:r>
              <w:rPr>
                <w:rFonts w:hint="eastAsia"/>
                <w:color w:val="auto"/>
                <w:highlight w:val="none"/>
                <w:lang w:eastAsia="zh-CN"/>
              </w:rPr>
              <w:t>基层处理：测量校核地面基层标高，清理基层表面浮尘，颗粒、松动的基层面，根据装饰面层的不同进行找平。当铺设卷材地面时，地面含水率应符合卷材粘贴的要求。</w:t>
            </w:r>
          </w:p>
          <w:p>
            <w:pPr>
              <w:rPr>
                <w:color w:val="auto"/>
                <w:highlight w:val="none"/>
                <w:lang w:eastAsia="zh-CN"/>
              </w:rPr>
            </w:pPr>
          </w:p>
          <w:p>
            <w:pPr>
              <w:rPr>
                <w:color w:val="auto"/>
                <w:highlight w:val="none"/>
                <w:lang w:eastAsia="zh-CN"/>
              </w:rPr>
            </w:pPr>
            <w:r>
              <w:rPr>
                <w:color w:val="auto"/>
                <w:highlight w:val="none"/>
                <w:lang w:eastAsia="zh-CN"/>
              </w:rPr>
              <w:t>4.2</w:t>
            </w:r>
            <w:r>
              <w:rPr>
                <w:rFonts w:hint="eastAsia"/>
                <w:color w:val="auto"/>
                <w:highlight w:val="none"/>
                <w:lang w:eastAsia="zh-CN"/>
              </w:rPr>
              <w:t>、地砖楼面</w:t>
            </w:r>
          </w:p>
          <w:p>
            <w:pPr>
              <w:rPr>
                <w:color w:val="auto"/>
                <w:highlight w:val="none"/>
                <w:lang w:eastAsia="zh-CN"/>
              </w:rPr>
            </w:pPr>
            <w:r>
              <w:rPr>
                <w:rFonts w:hint="eastAsia"/>
                <w:color w:val="auto"/>
                <w:highlight w:val="none"/>
                <w:lang w:eastAsia="zh-CN"/>
              </w:rPr>
              <w:t>施工工序</w:t>
            </w:r>
          </w:p>
          <w:p>
            <w:pPr>
              <w:rPr>
                <w:color w:val="auto"/>
                <w:highlight w:val="none"/>
                <w:lang w:eastAsia="zh-CN"/>
              </w:rPr>
            </w:pPr>
            <w:r>
              <w:rPr>
                <w:rFonts w:hint="eastAsia"/>
                <w:color w:val="auto"/>
                <w:highlight w:val="none"/>
                <w:lang w:eastAsia="zh-CN"/>
              </w:rPr>
              <w:t>用清水浸湿瓷砖</w:t>
            </w:r>
            <w:r>
              <w:rPr>
                <w:color w:val="auto"/>
                <w:highlight w:val="none"/>
                <w:lang w:eastAsia="zh-CN"/>
              </w:rPr>
              <w:t>2-3</w:t>
            </w:r>
            <w:r>
              <w:rPr>
                <w:rFonts w:hint="eastAsia"/>
                <w:color w:val="auto"/>
                <w:highlight w:val="none"/>
                <w:lang w:eastAsia="zh-CN"/>
              </w:rPr>
              <w:t>小时，取出阴干；（地砖应按颜色和花纹分类放置，有裂纹，掉角和表面有缺陷的不许用于本工程）</w:t>
            </w:r>
          </w:p>
          <w:p>
            <w:pPr>
              <w:rPr>
                <w:color w:val="auto"/>
                <w:highlight w:val="none"/>
                <w:lang w:eastAsia="zh-CN"/>
              </w:rPr>
            </w:pPr>
            <w:r>
              <w:rPr>
                <w:rFonts w:hint="eastAsia"/>
                <w:color w:val="auto"/>
                <w:highlight w:val="none"/>
                <w:lang w:eastAsia="zh-CN"/>
              </w:rPr>
              <w:t>清理好基层，地面扫水泥浆；</w:t>
            </w:r>
          </w:p>
          <w:p>
            <w:pPr>
              <w:rPr>
                <w:color w:val="auto"/>
                <w:highlight w:val="none"/>
                <w:lang w:eastAsia="zh-CN"/>
              </w:rPr>
            </w:pPr>
            <w:r>
              <w:rPr>
                <w:rFonts w:hint="eastAsia"/>
                <w:color w:val="auto"/>
                <w:highlight w:val="none"/>
                <w:lang w:eastAsia="zh-CN"/>
              </w:rPr>
              <w:t>铺放</w:t>
            </w:r>
            <w:r>
              <w:rPr>
                <w:color w:val="auto"/>
                <w:highlight w:val="none"/>
                <w:lang w:eastAsia="zh-CN"/>
              </w:rPr>
              <w:t>1:3</w:t>
            </w:r>
            <w:r>
              <w:rPr>
                <w:rFonts w:hint="eastAsia"/>
                <w:color w:val="auto"/>
                <w:highlight w:val="none"/>
                <w:lang w:eastAsia="zh-CN"/>
              </w:rPr>
              <w:t>的水泥及砂加入</w:t>
            </w:r>
            <w:r>
              <w:rPr>
                <w:color w:val="auto"/>
                <w:highlight w:val="none"/>
                <w:lang w:eastAsia="zh-CN"/>
              </w:rPr>
              <w:t>5%-8%</w:t>
            </w:r>
            <w:r>
              <w:rPr>
                <w:rFonts w:hint="eastAsia"/>
                <w:color w:val="auto"/>
                <w:highlight w:val="none"/>
                <w:lang w:eastAsia="zh-CN"/>
              </w:rPr>
              <w:t>的防水剂，约</w:t>
            </w:r>
            <w:r>
              <w:rPr>
                <w:color w:val="auto"/>
                <w:highlight w:val="none"/>
                <w:lang w:eastAsia="zh-CN"/>
              </w:rPr>
              <w:t>20mm</w:t>
            </w:r>
            <w:r>
              <w:rPr>
                <w:rFonts w:hint="eastAsia"/>
                <w:color w:val="auto"/>
                <w:highlight w:val="none"/>
                <w:lang w:eastAsia="zh-CN"/>
              </w:rPr>
              <w:t>厚；</w:t>
            </w:r>
          </w:p>
          <w:p>
            <w:pPr>
              <w:rPr>
                <w:color w:val="auto"/>
                <w:highlight w:val="none"/>
                <w:lang w:eastAsia="zh-CN"/>
              </w:rPr>
            </w:pPr>
            <w:r>
              <w:rPr>
                <w:rFonts w:hint="eastAsia"/>
                <w:color w:val="auto"/>
                <w:highlight w:val="none"/>
                <w:lang w:eastAsia="zh-CN"/>
              </w:rPr>
              <w:t>放前在瓷砖底层涂上稀浆；</w:t>
            </w:r>
          </w:p>
          <w:p>
            <w:pPr>
              <w:rPr>
                <w:color w:val="auto"/>
                <w:highlight w:val="none"/>
                <w:lang w:eastAsia="zh-CN"/>
              </w:rPr>
            </w:pPr>
            <w:r>
              <w:rPr>
                <w:rFonts w:hint="eastAsia"/>
                <w:color w:val="auto"/>
                <w:highlight w:val="none"/>
                <w:lang w:eastAsia="zh-CN"/>
              </w:rPr>
              <w:t>对缝：有缝饰面材料应按设计要求对缝，按图纸铺装启始点施工。</w:t>
            </w:r>
          </w:p>
          <w:p>
            <w:pPr>
              <w:rPr>
                <w:color w:val="auto"/>
                <w:highlight w:val="none"/>
                <w:lang w:eastAsia="zh-CN"/>
              </w:rPr>
            </w:pPr>
            <w:r>
              <w:rPr>
                <w:rFonts w:hint="eastAsia"/>
                <w:color w:val="auto"/>
                <w:highlight w:val="none"/>
                <w:lang w:eastAsia="zh-CN"/>
              </w:rPr>
              <w:t>瓷砖夯实于底层内；（地砖应相互结合紧密，不得用砂浆填补，代替面砖）</w:t>
            </w:r>
          </w:p>
          <w:p>
            <w:pPr>
              <w:rPr>
                <w:color w:val="auto"/>
                <w:highlight w:val="none"/>
                <w:lang w:eastAsia="zh-CN"/>
              </w:rPr>
            </w:pPr>
            <w:r>
              <w:rPr>
                <w:rFonts w:hint="eastAsia"/>
                <w:color w:val="auto"/>
                <w:highlight w:val="none"/>
                <w:lang w:eastAsia="zh-CN"/>
              </w:rPr>
              <w:t>在铺放面砖</w:t>
            </w:r>
            <w:r>
              <w:rPr>
                <w:color w:val="auto"/>
                <w:highlight w:val="none"/>
                <w:lang w:eastAsia="zh-CN"/>
              </w:rPr>
              <w:t>1-2</w:t>
            </w:r>
            <w:r>
              <w:rPr>
                <w:rFonts w:hint="eastAsia"/>
                <w:color w:val="auto"/>
                <w:highlight w:val="none"/>
                <w:lang w:eastAsia="zh-CN"/>
              </w:rPr>
              <w:t>小时后，用</w:t>
            </w:r>
            <w:r>
              <w:rPr>
                <w:color w:val="auto"/>
                <w:highlight w:val="none"/>
                <w:lang w:eastAsia="zh-CN"/>
              </w:rPr>
              <w:t>1:1</w:t>
            </w:r>
            <w:r>
              <w:rPr>
                <w:rFonts w:hint="eastAsia"/>
                <w:color w:val="auto"/>
                <w:highlight w:val="none"/>
                <w:lang w:eastAsia="zh-CN"/>
              </w:rPr>
              <w:t>的水泥砂浆填缝，面砖接缝小于</w:t>
            </w:r>
            <w:r>
              <w:rPr>
                <w:color w:val="auto"/>
                <w:highlight w:val="none"/>
                <w:lang w:eastAsia="zh-CN"/>
              </w:rPr>
              <w:t>2mm</w:t>
            </w:r>
            <w:r>
              <w:rPr>
                <w:rFonts w:hint="eastAsia"/>
                <w:color w:val="auto"/>
                <w:highlight w:val="none"/>
                <w:lang w:eastAsia="zh-CN"/>
              </w:rPr>
              <w:t>；</w:t>
            </w:r>
          </w:p>
          <w:p>
            <w:pPr>
              <w:rPr>
                <w:color w:val="auto"/>
                <w:highlight w:val="none"/>
                <w:lang w:eastAsia="zh-CN"/>
              </w:rPr>
            </w:pPr>
            <w:r>
              <w:rPr>
                <w:color w:val="auto"/>
                <w:highlight w:val="none"/>
                <w:lang w:eastAsia="zh-CN"/>
              </w:rPr>
              <w:t>24</w:t>
            </w:r>
            <w:r>
              <w:rPr>
                <w:rFonts w:hint="eastAsia"/>
                <w:color w:val="auto"/>
                <w:highlight w:val="none"/>
                <w:lang w:eastAsia="zh-CN"/>
              </w:rPr>
              <w:t>小时后浇水养护；</w:t>
            </w:r>
          </w:p>
          <w:p>
            <w:pPr>
              <w:rPr>
                <w:color w:val="auto"/>
                <w:highlight w:val="none"/>
                <w:lang w:eastAsia="zh-CN"/>
              </w:rPr>
            </w:pPr>
            <w:r>
              <w:rPr>
                <w:rFonts w:hint="eastAsia"/>
                <w:color w:val="auto"/>
                <w:highlight w:val="none"/>
                <w:lang w:eastAsia="zh-CN"/>
              </w:rPr>
              <w:t>在接缝处灌浆，并将过多的薄浆自瓷砖面清除。</w:t>
            </w:r>
          </w:p>
          <w:p>
            <w:pPr>
              <w:rPr>
                <w:color w:val="auto"/>
                <w:highlight w:val="none"/>
                <w:lang w:eastAsia="zh-CN"/>
              </w:rPr>
            </w:pPr>
            <w:r>
              <w:rPr>
                <w:rFonts w:hint="eastAsia"/>
                <w:color w:val="auto"/>
                <w:highlight w:val="none"/>
                <w:lang w:eastAsia="zh-CN"/>
              </w:rPr>
              <w:t>养护：所有水泥砂浆铺面，颜色水泥砂浆铺面，防水水泥砂浆找平层，人造石铺面，现浇水磨石等的表面应在铺放后七天（最少）之内保持湿润。方法是厚厚地铺上湿砂、粗麻布袋或聚乙烯膜而且经常酒水以保持潮湿。</w:t>
            </w:r>
          </w:p>
          <w:p>
            <w:pPr>
              <w:rPr>
                <w:color w:val="auto"/>
                <w:highlight w:val="none"/>
                <w:lang w:eastAsia="zh-CN"/>
              </w:rPr>
            </w:pPr>
            <w:r>
              <w:rPr>
                <w:rFonts w:hint="eastAsia"/>
                <w:color w:val="auto"/>
                <w:highlight w:val="none"/>
                <w:lang w:eastAsia="zh-CN"/>
              </w:rPr>
              <w:t>保护工作：在完成饰面的地台上铺放保护层。不可在完成的饰面地台上，进行污染性工程。</w:t>
            </w:r>
          </w:p>
          <w:p>
            <w:pPr>
              <w:rPr>
                <w:color w:val="auto"/>
                <w:highlight w:val="none"/>
                <w:lang w:eastAsia="zh-CN"/>
              </w:rPr>
            </w:pPr>
            <w:r>
              <w:rPr>
                <w:rFonts w:hint="eastAsia"/>
                <w:color w:val="auto"/>
                <w:highlight w:val="none"/>
                <w:lang w:eastAsia="zh-CN"/>
              </w:rPr>
              <w:t>质量检验与工程验收</w:t>
            </w:r>
          </w:p>
          <w:p>
            <w:pPr>
              <w:rPr>
                <w:color w:val="auto"/>
                <w:highlight w:val="none"/>
                <w:lang w:eastAsia="zh-CN"/>
              </w:rPr>
            </w:pPr>
            <w:r>
              <w:rPr>
                <w:rFonts w:hint="eastAsia"/>
                <w:color w:val="auto"/>
                <w:highlight w:val="none"/>
                <w:lang w:eastAsia="zh-CN"/>
              </w:rPr>
              <w:t>饰面砖的品种、规格、颜色、图案必须符合设计要求和符合现行标准的规定。</w:t>
            </w:r>
          </w:p>
          <w:p>
            <w:pPr>
              <w:rPr>
                <w:color w:val="auto"/>
                <w:highlight w:val="none"/>
                <w:lang w:eastAsia="zh-CN"/>
              </w:rPr>
            </w:pPr>
            <w:r>
              <w:rPr>
                <w:rFonts w:hint="eastAsia"/>
                <w:color w:val="auto"/>
                <w:highlight w:val="none"/>
                <w:lang w:eastAsia="zh-CN"/>
              </w:rPr>
              <w:t>饰面砖镶贴必须牢固，无歪斜、缺楞、掉角和裂缝等缺陷。</w:t>
            </w:r>
          </w:p>
          <w:p>
            <w:pPr>
              <w:rPr>
                <w:color w:val="auto"/>
                <w:highlight w:val="none"/>
                <w:lang w:eastAsia="zh-CN"/>
              </w:rPr>
            </w:pPr>
            <w:r>
              <w:rPr>
                <w:rFonts w:hint="eastAsia"/>
                <w:color w:val="auto"/>
                <w:highlight w:val="none"/>
                <w:lang w:eastAsia="zh-CN"/>
              </w:rPr>
              <w:t>表面平整、洁净，颜色一致，无变色，起碱，污痕，无显著的光泽受损处，无空鼓。</w:t>
            </w:r>
          </w:p>
          <w:p>
            <w:pPr>
              <w:rPr>
                <w:color w:val="auto"/>
                <w:highlight w:val="none"/>
                <w:lang w:eastAsia="zh-CN"/>
              </w:rPr>
            </w:pPr>
            <w:r>
              <w:rPr>
                <w:rFonts w:hint="eastAsia"/>
                <w:color w:val="auto"/>
                <w:highlight w:val="none"/>
                <w:lang w:eastAsia="zh-CN"/>
              </w:rPr>
              <w:t>接缝填嵌密实、平直，宽窄一致，颜色一致，阴阳角处压向正确，非整砖的使用部位适宜。</w:t>
            </w:r>
          </w:p>
          <w:p>
            <w:pPr>
              <w:rPr>
                <w:color w:val="auto"/>
                <w:highlight w:val="none"/>
                <w:lang w:eastAsia="zh-CN"/>
              </w:rPr>
            </w:pPr>
          </w:p>
          <w:p>
            <w:pPr>
              <w:rPr>
                <w:color w:val="auto"/>
                <w:highlight w:val="none"/>
                <w:lang w:eastAsia="zh-CN"/>
              </w:rPr>
            </w:pPr>
            <w:r>
              <w:rPr>
                <w:color w:val="auto"/>
                <w:highlight w:val="none"/>
                <w:lang w:eastAsia="zh-CN"/>
              </w:rPr>
              <w:t>5</w:t>
            </w:r>
            <w:r>
              <w:rPr>
                <w:rFonts w:hint="eastAsia"/>
                <w:color w:val="auto"/>
                <w:highlight w:val="none"/>
                <w:lang w:eastAsia="zh-CN"/>
              </w:rPr>
              <w:t>、门、自动门安装工程</w:t>
            </w:r>
          </w:p>
          <w:p>
            <w:pPr>
              <w:rPr>
                <w:color w:val="auto"/>
                <w:highlight w:val="none"/>
                <w:lang w:eastAsia="zh-CN"/>
              </w:rPr>
            </w:pPr>
          </w:p>
          <w:p>
            <w:pPr>
              <w:rPr>
                <w:color w:val="auto"/>
                <w:highlight w:val="none"/>
                <w:lang w:eastAsia="zh-CN"/>
              </w:rPr>
            </w:pPr>
            <w:r>
              <w:rPr>
                <w:color w:val="auto"/>
                <w:highlight w:val="none"/>
                <w:lang w:eastAsia="zh-CN"/>
              </w:rPr>
              <w:t>5.1</w:t>
            </w:r>
            <w:r>
              <w:rPr>
                <w:rFonts w:hint="eastAsia"/>
                <w:color w:val="auto"/>
                <w:highlight w:val="none"/>
                <w:lang w:eastAsia="zh-CN"/>
              </w:rPr>
              <w:t>、门框加固</w:t>
            </w:r>
          </w:p>
          <w:p>
            <w:pPr>
              <w:rPr>
                <w:color w:val="auto"/>
                <w:highlight w:val="none"/>
                <w:lang w:eastAsia="zh-CN"/>
              </w:rPr>
            </w:pPr>
            <w:r>
              <w:rPr>
                <w:rFonts w:hint="eastAsia"/>
                <w:color w:val="auto"/>
                <w:highlight w:val="none"/>
                <w:lang w:eastAsia="zh-CN"/>
              </w:rPr>
              <w:t>安装于轻质隔墙（如轻钢龙骨隔墙）的门，在门洞进行加固。</w:t>
            </w:r>
          </w:p>
          <w:p>
            <w:pPr>
              <w:rPr>
                <w:color w:val="auto"/>
                <w:highlight w:val="none"/>
                <w:lang w:eastAsia="zh-CN"/>
              </w:rPr>
            </w:pPr>
            <w:r>
              <w:rPr>
                <w:rFonts w:hint="eastAsia"/>
                <w:color w:val="auto"/>
                <w:highlight w:val="none"/>
                <w:lang w:eastAsia="zh-CN"/>
              </w:rPr>
              <w:t>加固采用薄壁型钢或普通型钢，型钢采用</w:t>
            </w:r>
            <w:r>
              <w:rPr>
                <w:color w:val="auto"/>
                <w:highlight w:val="none"/>
                <w:lang w:eastAsia="zh-CN"/>
              </w:rPr>
              <w:t>M8</w:t>
            </w:r>
            <w:r>
              <w:rPr>
                <w:rFonts w:hint="eastAsia"/>
                <w:color w:val="auto"/>
                <w:highlight w:val="none"/>
                <w:lang w:eastAsia="zh-CN"/>
              </w:rPr>
              <w:t>膨胀螺栓和</w:t>
            </w:r>
            <w:r>
              <w:rPr>
                <w:color w:val="auto"/>
                <w:highlight w:val="none"/>
                <w:lang w:eastAsia="zh-CN"/>
              </w:rPr>
              <w:t>8</w:t>
            </w:r>
            <w:r>
              <w:rPr>
                <w:rFonts w:hint="eastAsia"/>
                <w:color w:val="auto"/>
                <w:highlight w:val="none"/>
                <w:lang w:eastAsia="zh-CN"/>
              </w:rPr>
              <w:t>厚钢板与土建结构相连接牢固。</w:t>
            </w:r>
          </w:p>
          <w:p>
            <w:pPr>
              <w:rPr>
                <w:color w:val="auto"/>
                <w:highlight w:val="none"/>
                <w:lang w:eastAsia="zh-CN"/>
              </w:rPr>
            </w:pPr>
          </w:p>
          <w:p>
            <w:pPr>
              <w:rPr>
                <w:color w:val="auto"/>
                <w:highlight w:val="none"/>
                <w:lang w:eastAsia="zh-CN"/>
              </w:rPr>
            </w:pPr>
            <w:r>
              <w:rPr>
                <w:color w:val="auto"/>
                <w:highlight w:val="none"/>
                <w:lang w:eastAsia="zh-CN"/>
              </w:rPr>
              <w:t>5.2</w:t>
            </w:r>
            <w:r>
              <w:rPr>
                <w:rFonts w:hint="eastAsia"/>
                <w:color w:val="auto"/>
                <w:highlight w:val="none"/>
                <w:lang w:eastAsia="zh-CN"/>
              </w:rPr>
              <w:t>、手动门安装</w:t>
            </w:r>
          </w:p>
          <w:p>
            <w:pPr>
              <w:rPr>
                <w:color w:val="auto"/>
                <w:highlight w:val="none"/>
                <w:lang w:eastAsia="zh-CN"/>
              </w:rPr>
            </w:pPr>
            <w:r>
              <w:rPr>
                <w:rFonts w:hint="eastAsia"/>
                <w:color w:val="auto"/>
                <w:highlight w:val="none"/>
                <w:lang w:eastAsia="zh-CN"/>
              </w:rPr>
              <w:t>施工工序</w:t>
            </w:r>
          </w:p>
          <w:p>
            <w:pPr>
              <w:rPr>
                <w:color w:val="auto"/>
                <w:highlight w:val="none"/>
                <w:lang w:eastAsia="zh-CN"/>
              </w:rPr>
            </w:pPr>
            <w:r>
              <w:rPr>
                <w:rFonts w:hint="eastAsia"/>
                <w:color w:val="auto"/>
                <w:highlight w:val="none"/>
                <w:lang w:eastAsia="zh-CN"/>
              </w:rPr>
              <w:t>成品门框（套）与加固钢结构侧向螺栓连接安装，门框（套）闭合后灌浆（或发泡）加固。</w:t>
            </w:r>
          </w:p>
          <w:p>
            <w:pPr>
              <w:rPr>
                <w:color w:val="auto"/>
                <w:highlight w:val="none"/>
                <w:lang w:eastAsia="zh-CN"/>
              </w:rPr>
            </w:pPr>
            <w:r>
              <w:rPr>
                <w:rFonts w:hint="eastAsia"/>
                <w:color w:val="auto"/>
                <w:highlight w:val="none"/>
                <w:lang w:eastAsia="zh-CN"/>
              </w:rPr>
              <w:t>测量验证门框垂直度、水平度，四角成</w:t>
            </w:r>
            <w:r>
              <w:rPr>
                <w:color w:val="auto"/>
                <w:highlight w:val="none"/>
                <w:lang w:eastAsia="zh-CN"/>
              </w:rPr>
              <w:t>90</w:t>
            </w:r>
            <w:r>
              <w:rPr>
                <w:rFonts w:hint="eastAsia"/>
                <w:color w:val="auto"/>
                <w:highlight w:val="none"/>
                <w:lang w:eastAsia="zh-CN"/>
              </w:rPr>
              <w:t>度，对角线测量一致，误差低于</w:t>
            </w:r>
            <w:r>
              <w:rPr>
                <w:color w:val="auto"/>
                <w:highlight w:val="none"/>
                <w:lang w:eastAsia="zh-CN"/>
              </w:rPr>
              <w:t>2mm</w:t>
            </w:r>
            <w:r>
              <w:rPr>
                <w:rFonts w:hint="eastAsia"/>
                <w:color w:val="auto"/>
                <w:highlight w:val="none"/>
                <w:lang w:eastAsia="zh-CN"/>
              </w:rPr>
              <w:t>。</w:t>
            </w:r>
          </w:p>
          <w:p>
            <w:pPr>
              <w:rPr>
                <w:color w:val="auto"/>
                <w:highlight w:val="none"/>
                <w:lang w:eastAsia="zh-CN"/>
              </w:rPr>
            </w:pPr>
            <w:r>
              <w:rPr>
                <w:rFonts w:hint="eastAsia"/>
                <w:color w:val="auto"/>
                <w:highlight w:val="none"/>
                <w:lang w:eastAsia="zh-CN"/>
              </w:rPr>
              <w:t>安装门体，根据门体重量安装铰链五金。</w:t>
            </w:r>
          </w:p>
          <w:p>
            <w:pPr>
              <w:rPr>
                <w:color w:val="auto"/>
                <w:highlight w:val="none"/>
                <w:lang w:eastAsia="zh-CN"/>
              </w:rPr>
            </w:pPr>
            <w:r>
              <w:rPr>
                <w:rFonts w:hint="eastAsia"/>
                <w:color w:val="auto"/>
                <w:highlight w:val="none"/>
                <w:lang w:eastAsia="zh-CN"/>
              </w:rPr>
              <w:t>安装闭门器、门锁、门止（吸）等五金</w:t>
            </w:r>
          </w:p>
          <w:p>
            <w:pPr>
              <w:rPr>
                <w:color w:val="auto"/>
                <w:highlight w:val="none"/>
                <w:lang w:eastAsia="zh-CN"/>
              </w:rPr>
            </w:pPr>
            <w:r>
              <w:rPr>
                <w:rFonts w:hint="eastAsia"/>
                <w:color w:val="auto"/>
                <w:highlight w:val="none"/>
                <w:lang w:eastAsia="zh-CN"/>
              </w:rPr>
              <w:t>门框（套）卡槽或粘贴安装密封胶条。</w:t>
            </w:r>
          </w:p>
          <w:p>
            <w:pPr>
              <w:rPr>
                <w:color w:val="auto"/>
                <w:highlight w:val="none"/>
                <w:lang w:eastAsia="zh-CN"/>
              </w:rPr>
            </w:pPr>
            <w:r>
              <w:rPr>
                <w:rFonts w:hint="eastAsia"/>
                <w:color w:val="auto"/>
                <w:highlight w:val="none"/>
                <w:lang w:eastAsia="zh-CN"/>
              </w:rPr>
              <w:t>质量检验与工程验收</w:t>
            </w:r>
          </w:p>
          <w:p>
            <w:pPr>
              <w:rPr>
                <w:color w:val="auto"/>
                <w:highlight w:val="none"/>
                <w:lang w:eastAsia="zh-CN"/>
              </w:rPr>
            </w:pPr>
            <w:r>
              <w:rPr>
                <w:rFonts w:hint="eastAsia"/>
                <w:color w:val="auto"/>
                <w:highlight w:val="none"/>
                <w:lang w:eastAsia="zh-CN"/>
              </w:rPr>
              <w:t>门体转动自如，平正。门体平整度好，无磕碰现象。</w:t>
            </w:r>
          </w:p>
          <w:p>
            <w:pPr>
              <w:rPr>
                <w:color w:val="auto"/>
                <w:highlight w:val="none"/>
                <w:lang w:eastAsia="zh-CN"/>
              </w:rPr>
            </w:pPr>
            <w:r>
              <w:rPr>
                <w:rFonts w:hint="eastAsia"/>
                <w:color w:val="auto"/>
                <w:highlight w:val="none"/>
                <w:lang w:eastAsia="zh-CN"/>
              </w:rPr>
              <w:t>门体密封性好，与地面最大缝隙不大于</w:t>
            </w:r>
            <w:r>
              <w:rPr>
                <w:color w:val="auto"/>
                <w:highlight w:val="none"/>
                <w:lang w:eastAsia="zh-CN"/>
              </w:rPr>
              <w:t>2mm</w:t>
            </w:r>
            <w:r>
              <w:rPr>
                <w:rFonts w:hint="eastAsia"/>
                <w:color w:val="auto"/>
                <w:highlight w:val="none"/>
                <w:lang w:eastAsia="zh-CN"/>
              </w:rPr>
              <w:t>。</w:t>
            </w:r>
          </w:p>
          <w:p>
            <w:pPr>
              <w:rPr>
                <w:color w:val="auto"/>
                <w:highlight w:val="none"/>
                <w:lang w:eastAsia="zh-CN"/>
              </w:rPr>
            </w:pPr>
            <w:r>
              <w:rPr>
                <w:rFonts w:hint="eastAsia"/>
                <w:color w:val="auto"/>
                <w:highlight w:val="none"/>
                <w:lang w:eastAsia="zh-CN"/>
              </w:rPr>
              <w:t>门窗框与非不锈钢紧固件接触面之间，必须做防腐处理；</w:t>
            </w:r>
            <w:r>
              <w:rPr>
                <w:color w:val="auto"/>
                <w:highlight w:val="none"/>
                <w:lang w:eastAsia="zh-CN"/>
              </w:rPr>
              <w:t xml:space="preserve"> </w:t>
            </w:r>
          </w:p>
          <w:p>
            <w:pPr>
              <w:rPr>
                <w:color w:val="auto"/>
                <w:highlight w:val="none"/>
                <w:lang w:eastAsia="zh-CN"/>
              </w:rPr>
            </w:pPr>
          </w:p>
          <w:p>
            <w:pPr>
              <w:rPr>
                <w:color w:val="auto"/>
                <w:highlight w:val="none"/>
                <w:lang w:eastAsia="zh-CN"/>
              </w:rPr>
            </w:pPr>
            <w:r>
              <w:rPr>
                <w:color w:val="auto"/>
                <w:highlight w:val="none"/>
                <w:lang w:eastAsia="zh-CN"/>
              </w:rPr>
              <w:t>5.3</w:t>
            </w:r>
            <w:r>
              <w:rPr>
                <w:rFonts w:hint="eastAsia"/>
                <w:color w:val="auto"/>
                <w:highlight w:val="none"/>
                <w:lang w:eastAsia="zh-CN"/>
              </w:rPr>
              <w:t>、自动门安装</w:t>
            </w:r>
          </w:p>
          <w:p>
            <w:pPr>
              <w:rPr>
                <w:color w:val="auto"/>
                <w:highlight w:val="none"/>
                <w:lang w:eastAsia="zh-CN"/>
              </w:rPr>
            </w:pPr>
            <w:r>
              <w:rPr>
                <w:rFonts w:hint="eastAsia"/>
                <w:color w:val="auto"/>
                <w:highlight w:val="none"/>
                <w:lang w:eastAsia="zh-CN"/>
              </w:rPr>
              <w:t>施工工序</w:t>
            </w:r>
          </w:p>
          <w:p>
            <w:pPr>
              <w:rPr>
                <w:color w:val="auto"/>
                <w:highlight w:val="none"/>
                <w:lang w:eastAsia="zh-CN"/>
              </w:rPr>
            </w:pPr>
            <w:r>
              <w:rPr>
                <w:rFonts w:hint="eastAsia"/>
                <w:color w:val="auto"/>
                <w:highlight w:val="none"/>
                <w:lang w:eastAsia="zh-CN"/>
              </w:rPr>
              <w:t>门机横梁安装：以制造厂家标准为依据，测量横梁安装位置，螺栓固定。</w:t>
            </w:r>
          </w:p>
          <w:p>
            <w:pPr>
              <w:rPr>
                <w:color w:val="auto"/>
                <w:highlight w:val="none"/>
                <w:lang w:eastAsia="zh-CN"/>
              </w:rPr>
            </w:pPr>
            <w:r>
              <w:rPr>
                <w:rFonts w:hint="eastAsia"/>
                <w:color w:val="auto"/>
                <w:highlight w:val="none"/>
                <w:lang w:eastAsia="zh-CN"/>
              </w:rPr>
              <w:t>安装门机构，安装门机构控制线。</w:t>
            </w:r>
          </w:p>
          <w:p>
            <w:pPr>
              <w:rPr>
                <w:color w:val="auto"/>
                <w:highlight w:val="none"/>
                <w:lang w:eastAsia="zh-CN"/>
              </w:rPr>
            </w:pPr>
            <w:r>
              <w:rPr>
                <w:rFonts w:hint="eastAsia"/>
                <w:color w:val="auto"/>
                <w:highlight w:val="none"/>
                <w:lang w:eastAsia="zh-CN"/>
              </w:rPr>
              <w:t>安装自动门门框（套）（同手动门），安装自动门感应装置，穿线。</w:t>
            </w:r>
          </w:p>
          <w:p>
            <w:pPr>
              <w:rPr>
                <w:color w:val="auto"/>
                <w:highlight w:val="none"/>
                <w:lang w:eastAsia="zh-CN"/>
              </w:rPr>
            </w:pPr>
            <w:r>
              <w:rPr>
                <w:rFonts w:hint="eastAsia"/>
                <w:color w:val="auto"/>
                <w:highlight w:val="none"/>
                <w:lang w:eastAsia="zh-CN"/>
              </w:rPr>
              <w:t>安装门体，门体构件组装后挂在门机构上，安装门体限位器。</w:t>
            </w:r>
          </w:p>
          <w:p>
            <w:pPr>
              <w:rPr>
                <w:color w:val="auto"/>
                <w:highlight w:val="none"/>
                <w:lang w:eastAsia="zh-CN"/>
              </w:rPr>
            </w:pPr>
            <w:r>
              <w:rPr>
                <w:rFonts w:hint="eastAsia"/>
                <w:color w:val="auto"/>
                <w:highlight w:val="none"/>
                <w:lang w:eastAsia="zh-CN"/>
              </w:rPr>
              <w:t>门体调平、调直，轨道调试，安装密封条。</w:t>
            </w:r>
          </w:p>
          <w:p>
            <w:pPr>
              <w:rPr>
                <w:color w:val="auto"/>
                <w:highlight w:val="none"/>
                <w:lang w:eastAsia="zh-CN"/>
              </w:rPr>
            </w:pPr>
            <w:r>
              <w:rPr>
                <w:rFonts w:hint="eastAsia"/>
                <w:color w:val="auto"/>
                <w:highlight w:val="none"/>
                <w:lang w:eastAsia="zh-CN"/>
              </w:rPr>
              <w:t>自动门安装应力求紧密；安装时应对接口平整度进行反复校验，以保证门之气密性；开门时保持底部与地板之间有</w:t>
            </w:r>
            <w:r>
              <w:rPr>
                <w:color w:val="auto"/>
                <w:highlight w:val="none"/>
                <w:lang w:eastAsia="zh-CN"/>
              </w:rPr>
              <w:t>4mm</w:t>
            </w:r>
            <w:r>
              <w:rPr>
                <w:rFonts w:hint="eastAsia"/>
                <w:color w:val="auto"/>
                <w:highlight w:val="none"/>
                <w:lang w:eastAsia="zh-CN"/>
              </w:rPr>
              <w:t>左右的间隙，关门状态下，门之摆动应在</w:t>
            </w:r>
            <w:r>
              <w:rPr>
                <w:color w:val="auto"/>
                <w:highlight w:val="none"/>
                <w:lang w:eastAsia="zh-CN"/>
              </w:rPr>
              <w:t>1mm</w:t>
            </w:r>
            <w:r>
              <w:rPr>
                <w:rFonts w:hint="eastAsia"/>
                <w:color w:val="auto"/>
                <w:highlight w:val="none"/>
                <w:lang w:eastAsia="zh-CN"/>
              </w:rPr>
              <w:t>以下。</w:t>
            </w:r>
          </w:p>
          <w:p>
            <w:pPr>
              <w:rPr>
                <w:color w:val="auto"/>
                <w:highlight w:val="none"/>
                <w:lang w:eastAsia="zh-CN"/>
              </w:rPr>
            </w:pPr>
            <w:r>
              <w:rPr>
                <w:rFonts w:hint="eastAsia"/>
                <w:color w:val="auto"/>
                <w:highlight w:val="none"/>
                <w:lang w:eastAsia="zh-CN"/>
              </w:rPr>
              <w:t>应进行电动、手动开启试验、防夹功能等试验。</w:t>
            </w:r>
          </w:p>
          <w:p>
            <w:pPr>
              <w:rPr>
                <w:color w:val="auto"/>
                <w:highlight w:val="none"/>
                <w:lang w:eastAsia="zh-CN"/>
              </w:rPr>
            </w:pPr>
            <w:r>
              <w:rPr>
                <w:rFonts w:hint="eastAsia"/>
                <w:color w:val="auto"/>
                <w:highlight w:val="none"/>
                <w:lang w:eastAsia="zh-CN"/>
              </w:rPr>
              <w:t>质量检验与工程验收</w:t>
            </w:r>
          </w:p>
          <w:p>
            <w:pPr>
              <w:rPr>
                <w:color w:val="auto"/>
                <w:highlight w:val="none"/>
                <w:lang w:eastAsia="zh-CN"/>
              </w:rPr>
            </w:pPr>
            <w:r>
              <w:rPr>
                <w:rFonts w:hint="eastAsia"/>
                <w:color w:val="auto"/>
                <w:highlight w:val="none"/>
                <w:lang w:eastAsia="zh-CN"/>
              </w:rPr>
              <w:t>门体平整度好，无磕碰现象。门传动机构良好。</w:t>
            </w:r>
          </w:p>
          <w:p>
            <w:pPr>
              <w:rPr>
                <w:color w:val="auto"/>
                <w:highlight w:val="none"/>
                <w:lang w:eastAsia="zh-CN"/>
              </w:rPr>
            </w:pPr>
            <w:r>
              <w:rPr>
                <w:rFonts w:hint="eastAsia"/>
                <w:color w:val="auto"/>
                <w:highlight w:val="none"/>
                <w:lang w:eastAsia="zh-CN"/>
              </w:rPr>
              <w:t>感应装置灵敏度适当，开启、关闭平滑，密封性能好。</w:t>
            </w:r>
          </w:p>
          <w:p>
            <w:pPr>
              <w:rPr>
                <w:color w:val="auto"/>
                <w:highlight w:val="none"/>
                <w:lang w:eastAsia="zh-CN"/>
              </w:rPr>
            </w:pPr>
            <w:r>
              <w:rPr>
                <w:rFonts w:hint="eastAsia"/>
                <w:color w:val="auto"/>
                <w:highlight w:val="none"/>
                <w:lang w:eastAsia="zh-CN"/>
              </w:rPr>
              <w:t>门开启关闭运行噪音应小于</w:t>
            </w:r>
            <w:r>
              <w:rPr>
                <w:color w:val="auto"/>
                <w:highlight w:val="none"/>
                <w:lang w:eastAsia="zh-CN"/>
              </w:rPr>
              <w:t>55dB</w:t>
            </w:r>
            <w:r>
              <w:rPr>
                <w:rFonts w:hint="eastAsia"/>
                <w:color w:val="auto"/>
                <w:highlight w:val="none"/>
                <w:lang w:eastAsia="zh-CN"/>
              </w:rPr>
              <w:t>。</w:t>
            </w:r>
          </w:p>
          <w:p>
            <w:pPr>
              <w:rPr>
                <w:color w:val="auto"/>
                <w:highlight w:val="none"/>
                <w:lang w:eastAsia="zh-CN"/>
              </w:rPr>
            </w:pPr>
            <w:r>
              <w:rPr>
                <w:rFonts w:hint="eastAsia"/>
                <w:color w:val="auto"/>
                <w:highlight w:val="none"/>
                <w:lang w:eastAsia="zh-CN"/>
              </w:rPr>
              <w:t>门运行时门体无摆动。</w:t>
            </w:r>
          </w:p>
          <w:p>
            <w:pPr>
              <w:rPr>
                <w:color w:val="auto"/>
                <w:highlight w:val="none"/>
                <w:lang w:eastAsia="zh-CN"/>
              </w:rPr>
            </w:pPr>
          </w:p>
          <w:p>
            <w:pPr>
              <w:rPr>
                <w:color w:val="auto"/>
                <w:highlight w:val="none"/>
                <w:lang w:eastAsia="zh-CN"/>
              </w:rPr>
            </w:pPr>
            <w:r>
              <w:rPr>
                <w:color w:val="auto"/>
                <w:highlight w:val="none"/>
                <w:lang w:eastAsia="zh-CN"/>
              </w:rPr>
              <w:t>6</w:t>
            </w:r>
            <w:r>
              <w:rPr>
                <w:rFonts w:hint="eastAsia"/>
                <w:color w:val="auto"/>
                <w:highlight w:val="none"/>
                <w:lang w:eastAsia="zh-CN"/>
              </w:rPr>
              <w:t>、室内嵌入式设施安装</w:t>
            </w:r>
          </w:p>
          <w:p>
            <w:pPr>
              <w:rPr>
                <w:color w:val="auto"/>
                <w:highlight w:val="none"/>
                <w:lang w:eastAsia="zh-CN"/>
              </w:rPr>
            </w:pPr>
            <w:r>
              <w:rPr>
                <w:rFonts w:hint="eastAsia"/>
                <w:color w:val="auto"/>
                <w:highlight w:val="none"/>
                <w:lang w:eastAsia="zh-CN"/>
              </w:rPr>
              <w:t>手术室内设备器材主要包括：器械柜、药品柜、麻醉柜、观片灯、控制面板、书写台、保温柜、保冷柜、气体面板的安装。</w:t>
            </w:r>
          </w:p>
          <w:p>
            <w:pPr>
              <w:rPr>
                <w:color w:val="auto"/>
                <w:highlight w:val="none"/>
                <w:lang w:eastAsia="zh-CN"/>
              </w:rPr>
            </w:pPr>
            <w:r>
              <w:rPr>
                <w:rFonts w:hint="eastAsia"/>
                <w:color w:val="auto"/>
                <w:highlight w:val="none"/>
                <w:lang w:eastAsia="zh-CN"/>
              </w:rPr>
              <w:t>安装要点：</w:t>
            </w:r>
          </w:p>
          <w:p>
            <w:pPr>
              <w:rPr>
                <w:color w:val="auto"/>
                <w:highlight w:val="none"/>
                <w:lang w:eastAsia="zh-CN"/>
              </w:rPr>
            </w:pPr>
            <w:r>
              <w:rPr>
                <w:rFonts w:hint="eastAsia"/>
                <w:color w:val="auto"/>
                <w:highlight w:val="none"/>
                <w:lang w:eastAsia="zh-CN"/>
              </w:rPr>
              <w:t>手术室龙骨安装预留设备安装位置；</w:t>
            </w:r>
          </w:p>
          <w:p>
            <w:pPr>
              <w:rPr>
                <w:color w:val="auto"/>
                <w:highlight w:val="none"/>
                <w:lang w:eastAsia="zh-CN"/>
              </w:rPr>
            </w:pPr>
            <w:r>
              <w:rPr>
                <w:rFonts w:hint="eastAsia"/>
                <w:color w:val="auto"/>
                <w:highlight w:val="none"/>
                <w:lang w:eastAsia="zh-CN"/>
              </w:rPr>
              <w:t>柜体或面板加固框架固定安装；</w:t>
            </w:r>
          </w:p>
          <w:p>
            <w:pPr>
              <w:rPr>
                <w:color w:val="auto"/>
                <w:highlight w:val="none"/>
                <w:lang w:eastAsia="zh-CN"/>
              </w:rPr>
            </w:pPr>
            <w:r>
              <w:rPr>
                <w:rFonts w:hint="eastAsia"/>
                <w:color w:val="auto"/>
                <w:highlight w:val="none"/>
                <w:lang w:eastAsia="zh-CN"/>
              </w:rPr>
              <w:t>完成手术室龙骨安装，在墙板安装前进行柜体或面板的安装、接线测试工作；</w:t>
            </w:r>
          </w:p>
          <w:p>
            <w:pPr>
              <w:rPr>
                <w:color w:val="auto"/>
                <w:highlight w:val="none"/>
                <w:lang w:eastAsia="zh-CN"/>
              </w:rPr>
            </w:pPr>
            <w:r>
              <w:rPr>
                <w:rFonts w:hint="eastAsia"/>
                <w:color w:val="auto"/>
                <w:highlight w:val="none"/>
                <w:lang w:eastAsia="zh-CN"/>
              </w:rPr>
              <w:t>安装完成后作好成品保护；</w:t>
            </w:r>
          </w:p>
          <w:p>
            <w:pPr>
              <w:rPr>
                <w:color w:val="auto"/>
                <w:highlight w:val="none"/>
                <w:lang w:eastAsia="zh-CN"/>
              </w:rPr>
            </w:pPr>
            <w:r>
              <w:rPr>
                <w:rFonts w:hint="eastAsia"/>
                <w:color w:val="auto"/>
                <w:highlight w:val="none"/>
                <w:lang w:eastAsia="zh-CN"/>
              </w:rPr>
              <w:t>手术室墙板安装完成后进行整个墙面的调整，保证设备与墙面平齐，柜体正直；</w:t>
            </w:r>
          </w:p>
          <w:p>
            <w:pPr>
              <w:rPr>
                <w:color w:val="auto"/>
                <w:highlight w:val="none"/>
                <w:lang w:eastAsia="zh-CN"/>
              </w:rPr>
            </w:pPr>
            <w:r>
              <w:rPr>
                <w:rFonts w:hint="eastAsia"/>
                <w:color w:val="auto"/>
                <w:highlight w:val="none"/>
                <w:lang w:eastAsia="zh-CN"/>
              </w:rPr>
              <w:t>柜体与墙面结合紧密，缝隙均匀，与墙体缝隙宽度一致；</w:t>
            </w:r>
          </w:p>
          <w:p>
            <w:pPr>
              <w:rPr>
                <w:color w:val="auto"/>
                <w:highlight w:val="none"/>
                <w:lang w:eastAsia="zh-CN"/>
              </w:rPr>
            </w:pPr>
            <w:r>
              <w:rPr>
                <w:rFonts w:hint="eastAsia"/>
                <w:color w:val="auto"/>
                <w:highlight w:val="none"/>
                <w:lang w:eastAsia="zh-CN"/>
              </w:rPr>
              <w:t>质量检验与工程验收</w:t>
            </w:r>
          </w:p>
          <w:p>
            <w:pPr>
              <w:rPr>
                <w:color w:val="auto"/>
                <w:highlight w:val="none"/>
                <w:lang w:eastAsia="zh-CN"/>
              </w:rPr>
            </w:pPr>
            <w:r>
              <w:rPr>
                <w:rFonts w:hint="eastAsia"/>
                <w:color w:val="auto"/>
                <w:highlight w:val="none"/>
                <w:lang w:eastAsia="zh-CN"/>
              </w:rPr>
              <w:t>隐蔽工程验收合格后安装。</w:t>
            </w:r>
          </w:p>
          <w:p>
            <w:pPr>
              <w:rPr>
                <w:color w:val="auto"/>
                <w:highlight w:val="none"/>
                <w:lang w:eastAsia="zh-CN"/>
              </w:rPr>
            </w:pPr>
            <w:r>
              <w:rPr>
                <w:rFonts w:hint="eastAsia"/>
                <w:color w:val="auto"/>
                <w:highlight w:val="none"/>
                <w:lang w:eastAsia="zh-CN"/>
              </w:rPr>
              <w:t>柜体等设施无变形。</w:t>
            </w:r>
          </w:p>
          <w:p>
            <w:pPr>
              <w:rPr>
                <w:color w:val="auto"/>
                <w:highlight w:val="none"/>
                <w:lang w:eastAsia="zh-CN"/>
              </w:rPr>
            </w:pPr>
            <w:r>
              <w:rPr>
                <w:rFonts w:hint="eastAsia"/>
                <w:color w:val="auto"/>
                <w:highlight w:val="none"/>
                <w:lang w:eastAsia="zh-CN"/>
              </w:rPr>
              <w:t>表面清理洁净。</w:t>
            </w:r>
          </w:p>
        </w:tc>
        <w:tc>
          <w:tcPr>
            <w:tcW w:w="1276" w:type="dxa"/>
            <w:tcBorders>
              <w:left w:val="single" w:color="000000" w:sz="6" w:space="0"/>
            </w:tcBorders>
            <w:vAlign w:val="center"/>
          </w:tcPr>
          <w:p>
            <w:pPr>
              <w:rPr>
                <w:color w:val="auto"/>
                <w:highlight w:val="none"/>
                <w:lang w:eastAsia="zh-CN"/>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708" w:type="dxa"/>
            <w:tcBorders>
              <w:right w:val="single" w:color="000000" w:sz="6" w:space="0"/>
            </w:tcBorders>
            <w:vAlign w:val="center"/>
          </w:tcPr>
          <w:p>
            <w:pPr>
              <w:rPr>
                <w:color w:val="auto"/>
                <w:highlight w:val="none"/>
                <w:lang w:eastAsia="zh-CN"/>
              </w:rPr>
            </w:pPr>
          </w:p>
        </w:tc>
        <w:tc>
          <w:tcPr>
            <w:tcW w:w="1276" w:type="dxa"/>
            <w:tcBorders>
              <w:left w:val="single" w:color="000000" w:sz="6" w:space="0"/>
              <w:right w:val="single" w:color="000000" w:sz="6" w:space="0"/>
            </w:tcBorders>
            <w:vAlign w:val="center"/>
          </w:tcPr>
          <w:p>
            <w:pPr>
              <w:rPr>
                <w:color w:val="auto"/>
                <w:highlight w:val="none"/>
              </w:rPr>
            </w:pPr>
            <w:r>
              <w:rPr>
                <w:rFonts w:hint="eastAsia"/>
                <w:color w:val="auto"/>
                <w:highlight w:val="none"/>
              </w:rPr>
              <w:t>玻化砖</w:t>
            </w:r>
          </w:p>
        </w:tc>
        <w:tc>
          <w:tcPr>
            <w:tcW w:w="6237" w:type="dxa"/>
            <w:tcBorders>
              <w:left w:val="single" w:color="000000" w:sz="6" w:space="0"/>
              <w:right w:val="single" w:color="000000" w:sz="6" w:space="0"/>
            </w:tcBorders>
            <w:vAlign w:val="center"/>
          </w:tcPr>
          <w:p>
            <w:pPr>
              <w:rPr>
                <w:color w:val="auto"/>
                <w:highlight w:val="none"/>
                <w:lang w:eastAsia="zh-CN"/>
              </w:rPr>
            </w:pPr>
            <w:r>
              <w:rPr>
                <w:rFonts w:hint="eastAsia"/>
                <w:color w:val="auto"/>
                <w:highlight w:val="none"/>
                <w:lang w:eastAsia="zh-CN"/>
              </w:rPr>
              <w:t>符合设计、国家有关标准、规范、规定要求，产品执行标准：</w:t>
            </w:r>
            <w:r>
              <w:rPr>
                <w:color w:val="auto"/>
                <w:highlight w:val="none"/>
                <w:lang w:eastAsia="zh-CN"/>
              </w:rPr>
              <w:t>GB/ T 4100-2006</w:t>
            </w:r>
            <w:r>
              <w:rPr>
                <w:rFonts w:hint="eastAsia"/>
                <w:color w:val="auto"/>
                <w:highlight w:val="none"/>
                <w:lang w:eastAsia="zh-CN"/>
              </w:rPr>
              <w:t>；并符合下列要求：</w:t>
            </w:r>
          </w:p>
          <w:p>
            <w:pPr>
              <w:rPr>
                <w:color w:val="auto"/>
                <w:highlight w:val="none"/>
                <w:lang w:eastAsia="zh-CN"/>
              </w:rPr>
            </w:pPr>
            <w:r>
              <w:rPr>
                <w:color w:val="auto"/>
                <w:highlight w:val="none"/>
                <w:lang w:eastAsia="zh-CN"/>
              </w:rPr>
              <w:t>1</w:t>
            </w:r>
            <w:r>
              <w:rPr>
                <w:rFonts w:hint="eastAsia"/>
                <w:color w:val="auto"/>
                <w:highlight w:val="none"/>
                <w:lang w:eastAsia="zh-CN"/>
              </w:rPr>
              <w:t>、材质及成型方法：材质为瓷质砖；成型方法采用干压法。</w:t>
            </w:r>
          </w:p>
          <w:p>
            <w:pPr>
              <w:rPr>
                <w:color w:val="auto"/>
                <w:highlight w:val="none"/>
                <w:lang w:eastAsia="zh-CN"/>
              </w:rPr>
            </w:pPr>
            <w:r>
              <w:rPr>
                <w:color w:val="auto"/>
                <w:highlight w:val="none"/>
                <w:lang w:eastAsia="zh-CN"/>
              </w:rPr>
              <w:t>2</w:t>
            </w:r>
            <w:r>
              <w:rPr>
                <w:rFonts w:hint="eastAsia"/>
                <w:color w:val="auto"/>
                <w:highlight w:val="none"/>
                <w:lang w:eastAsia="zh-CN"/>
              </w:rPr>
              <w:t>、吸水率：≤</w:t>
            </w:r>
            <w:r>
              <w:rPr>
                <w:color w:val="auto"/>
                <w:highlight w:val="none"/>
                <w:lang w:eastAsia="zh-CN"/>
              </w:rPr>
              <w:t>0.1%</w:t>
            </w:r>
            <w:r>
              <w:rPr>
                <w:rFonts w:hint="eastAsia"/>
                <w:color w:val="auto"/>
                <w:highlight w:val="none"/>
                <w:lang w:eastAsia="zh-CN"/>
              </w:rPr>
              <w:t>。</w:t>
            </w:r>
          </w:p>
          <w:p>
            <w:pPr>
              <w:rPr>
                <w:color w:val="auto"/>
                <w:highlight w:val="none"/>
                <w:lang w:eastAsia="zh-CN"/>
              </w:rPr>
            </w:pPr>
            <w:r>
              <w:rPr>
                <w:color w:val="auto"/>
                <w:highlight w:val="none"/>
                <w:lang w:eastAsia="zh-CN"/>
              </w:rPr>
              <w:t>3</w:t>
            </w:r>
            <w:r>
              <w:rPr>
                <w:rFonts w:hint="eastAsia"/>
                <w:color w:val="auto"/>
                <w:highlight w:val="none"/>
                <w:lang w:eastAsia="zh-CN"/>
              </w:rPr>
              <w:t>、尺寸要求：①边长偏差：</w:t>
            </w:r>
            <w:r>
              <w:rPr>
                <w:color w:val="auto"/>
                <w:highlight w:val="none"/>
                <w:lang w:eastAsia="zh-CN"/>
              </w:rPr>
              <w:t>10</w:t>
            </w:r>
            <w:r>
              <w:rPr>
                <w:rFonts w:hint="eastAsia"/>
                <w:color w:val="auto"/>
                <w:highlight w:val="none"/>
                <w:lang w:eastAsia="zh-CN"/>
              </w:rPr>
              <w:t>块砖平均允许偏差（</w:t>
            </w:r>
            <w:r>
              <w:rPr>
                <w:color w:val="auto"/>
                <w:highlight w:val="none"/>
                <w:lang w:eastAsia="zh-CN"/>
              </w:rPr>
              <w:t>mm</w:t>
            </w:r>
            <w:r>
              <w:rPr>
                <w:rFonts w:hint="eastAsia"/>
                <w:color w:val="auto"/>
                <w:highlight w:val="none"/>
                <w:lang w:eastAsia="zh-CN"/>
              </w:rPr>
              <w:t>）±</w:t>
            </w:r>
            <w:r>
              <w:rPr>
                <w:color w:val="auto"/>
                <w:highlight w:val="none"/>
                <w:lang w:eastAsia="zh-CN"/>
              </w:rPr>
              <w:t>0.4</w:t>
            </w:r>
            <w:r>
              <w:rPr>
                <w:rFonts w:hint="eastAsia"/>
                <w:color w:val="auto"/>
                <w:highlight w:val="none"/>
                <w:lang w:eastAsia="zh-CN"/>
              </w:rPr>
              <w:t>；②边直度允许偏差为±</w:t>
            </w:r>
            <w:r>
              <w:rPr>
                <w:color w:val="auto"/>
                <w:highlight w:val="none"/>
                <w:lang w:eastAsia="zh-CN"/>
              </w:rPr>
              <w:t>0.2%</w:t>
            </w:r>
            <w:r>
              <w:rPr>
                <w:rFonts w:hint="eastAsia"/>
                <w:color w:val="auto"/>
                <w:highlight w:val="none"/>
                <w:lang w:eastAsia="zh-CN"/>
              </w:rPr>
              <w:t>，且最大偏差≤</w:t>
            </w:r>
            <w:r>
              <w:rPr>
                <w:color w:val="auto"/>
                <w:highlight w:val="none"/>
                <w:lang w:eastAsia="zh-CN"/>
              </w:rPr>
              <w:t>0.5mm</w:t>
            </w:r>
            <w:r>
              <w:rPr>
                <w:rFonts w:hint="eastAsia"/>
                <w:color w:val="auto"/>
                <w:highlight w:val="none"/>
                <w:lang w:eastAsia="zh-CN"/>
              </w:rPr>
              <w:t>；③直角度允许偏差为±</w:t>
            </w:r>
            <w:r>
              <w:rPr>
                <w:color w:val="auto"/>
                <w:highlight w:val="none"/>
                <w:lang w:eastAsia="zh-CN"/>
              </w:rPr>
              <w:t>0.2%</w:t>
            </w:r>
            <w:r>
              <w:rPr>
                <w:rFonts w:hint="eastAsia"/>
                <w:color w:val="auto"/>
                <w:highlight w:val="none"/>
                <w:lang w:eastAsia="zh-CN"/>
              </w:rPr>
              <w:t>，且最大偏差≤</w:t>
            </w:r>
            <w:r>
              <w:rPr>
                <w:color w:val="auto"/>
                <w:highlight w:val="none"/>
                <w:lang w:eastAsia="zh-CN"/>
              </w:rPr>
              <w:t>0.5mm</w:t>
            </w:r>
            <w:r>
              <w:rPr>
                <w:rFonts w:hint="eastAsia"/>
                <w:color w:val="auto"/>
                <w:highlight w:val="none"/>
                <w:lang w:eastAsia="zh-CN"/>
              </w:rPr>
              <w:t>；④厚度偏差±</w:t>
            </w:r>
            <w:r>
              <w:rPr>
                <w:color w:val="auto"/>
                <w:highlight w:val="none"/>
                <w:lang w:eastAsia="zh-CN"/>
              </w:rPr>
              <w:t>5%</w:t>
            </w:r>
            <w:r>
              <w:rPr>
                <w:rFonts w:hint="eastAsia"/>
                <w:color w:val="auto"/>
                <w:highlight w:val="none"/>
                <w:lang w:eastAsia="zh-CN"/>
              </w:rPr>
              <w:t>；⑤表面平整度允许偏差为±</w:t>
            </w:r>
            <w:r>
              <w:rPr>
                <w:color w:val="auto"/>
                <w:highlight w:val="none"/>
                <w:lang w:eastAsia="zh-CN"/>
              </w:rPr>
              <w:t>0.2%</w:t>
            </w:r>
            <w:r>
              <w:rPr>
                <w:rFonts w:hint="eastAsia"/>
                <w:color w:val="auto"/>
                <w:highlight w:val="none"/>
                <w:lang w:eastAsia="zh-CN"/>
              </w:rPr>
              <w:t>，最大偏差≤</w:t>
            </w:r>
            <w:r>
              <w:rPr>
                <w:color w:val="auto"/>
                <w:highlight w:val="none"/>
                <w:lang w:eastAsia="zh-CN"/>
              </w:rPr>
              <w:t>0.5mm</w:t>
            </w:r>
            <w:r>
              <w:rPr>
                <w:rFonts w:hint="eastAsia"/>
                <w:color w:val="auto"/>
                <w:highlight w:val="none"/>
                <w:lang w:eastAsia="zh-CN"/>
              </w:rPr>
              <w:t>。</w:t>
            </w:r>
          </w:p>
          <w:p>
            <w:pPr>
              <w:rPr>
                <w:color w:val="auto"/>
                <w:highlight w:val="none"/>
                <w:lang w:eastAsia="zh-CN"/>
              </w:rPr>
            </w:pPr>
            <w:r>
              <w:rPr>
                <w:color w:val="auto"/>
                <w:highlight w:val="none"/>
                <w:lang w:eastAsia="zh-CN"/>
              </w:rPr>
              <w:t>4</w:t>
            </w:r>
            <w:r>
              <w:rPr>
                <w:rFonts w:hint="eastAsia"/>
                <w:color w:val="auto"/>
                <w:highlight w:val="none"/>
                <w:lang w:eastAsia="zh-CN"/>
              </w:rPr>
              <w:t>、表面质量：至少</w:t>
            </w:r>
            <w:r>
              <w:rPr>
                <w:color w:val="auto"/>
                <w:highlight w:val="none"/>
                <w:lang w:eastAsia="zh-CN"/>
              </w:rPr>
              <w:t>95%</w:t>
            </w:r>
            <w:r>
              <w:rPr>
                <w:rFonts w:hint="eastAsia"/>
                <w:color w:val="auto"/>
                <w:highlight w:val="none"/>
                <w:lang w:eastAsia="zh-CN"/>
              </w:rPr>
              <w:t>以上的砖无明显缺陷；用肉眼观测批量砖与选定样板对比无明显色差。</w:t>
            </w:r>
          </w:p>
          <w:p>
            <w:pPr>
              <w:rPr>
                <w:color w:val="auto"/>
                <w:highlight w:val="none"/>
                <w:lang w:eastAsia="zh-CN"/>
              </w:rPr>
            </w:pPr>
            <w:r>
              <w:rPr>
                <w:color w:val="auto"/>
                <w:highlight w:val="none"/>
                <w:lang w:eastAsia="zh-CN"/>
              </w:rPr>
              <w:t>5</w:t>
            </w:r>
            <w:r>
              <w:rPr>
                <w:rFonts w:hint="eastAsia"/>
                <w:color w:val="auto"/>
                <w:highlight w:val="none"/>
                <w:lang w:eastAsia="zh-CN"/>
              </w:rPr>
              <w:t>、物理性能要求：①破坏强度（</w:t>
            </w:r>
            <w:r>
              <w:rPr>
                <w:color w:val="auto"/>
                <w:highlight w:val="none"/>
                <w:lang w:eastAsia="zh-CN"/>
              </w:rPr>
              <w:t>N</w:t>
            </w:r>
            <w:r>
              <w:rPr>
                <w:rFonts w:hint="eastAsia"/>
                <w:color w:val="auto"/>
                <w:highlight w:val="none"/>
                <w:lang w:eastAsia="zh-CN"/>
              </w:rPr>
              <w:t>）：平均值≥</w:t>
            </w:r>
            <w:r>
              <w:rPr>
                <w:color w:val="auto"/>
                <w:highlight w:val="none"/>
                <w:lang w:eastAsia="zh-CN"/>
              </w:rPr>
              <w:t xml:space="preserve">2500 </w:t>
            </w:r>
            <w:r>
              <w:rPr>
                <w:rFonts w:hint="eastAsia"/>
                <w:color w:val="auto"/>
                <w:highlight w:val="none"/>
                <w:lang w:eastAsia="zh-CN"/>
              </w:rPr>
              <w:t>；②断裂模数（</w:t>
            </w:r>
            <w:r>
              <w:rPr>
                <w:color w:val="auto"/>
                <w:highlight w:val="none"/>
                <w:lang w:eastAsia="zh-CN"/>
              </w:rPr>
              <w:t>MPa</w:t>
            </w:r>
            <w:r>
              <w:rPr>
                <w:rFonts w:hint="eastAsia"/>
                <w:color w:val="auto"/>
                <w:highlight w:val="none"/>
                <w:lang w:eastAsia="zh-CN"/>
              </w:rPr>
              <w:t>）：平均值≥</w:t>
            </w:r>
            <w:r>
              <w:rPr>
                <w:color w:val="auto"/>
                <w:highlight w:val="none"/>
                <w:lang w:eastAsia="zh-CN"/>
              </w:rPr>
              <w:t>40</w:t>
            </w:r>
            <w:r>
              <w:rPr>
                <w:rFonts w:hint="eastAsia"/>
                <w:color w:val="auto"/>
                <w:highlight w:val="none"/>
                <w:lang w:eastAsia="zh-CN"/>
              </w:rPr>
              <w:t>。单块值≥</w:t>
            </w:r>
            <w:r>
              <w:rPr>
                <w:color w:val="auto"/>
                <w:highlight w:val="none"/>
                <w:lang w:eastAsia="zh-CN"/>
              </w:rPr>
              <w:t>40</w:t>
            </w:r>
            <w:r>
              <w:rPr>
                <w:rFonts w:hint="eastAsia"/>
                <w:color w:val="auto"/>
                <w:highlight w:val="none"/>
                <w:lang w:eastAsia="zh-CN"/>
              </w:rPr>
              <w:t>；③无釉砖耐磨（耐磨损体积</w:t>
            </w:r>
            <w:r>
              <w:rPr>
                <w:color w:val="auto"/>
                <w:highlight w:val="none"/>
                <w:lang w:eastAsia="zh-CN"/>
              </w:rPr>
              <w:t>/mm3</w:t>
            </w:r>
            <w:r>
              <w:rPr>
                <w:rFonts w:hint="eastAsia"/>
                <w:color w:val="auto"/>
                <w:highlight w:val="none"/>
                <w:lang w:eastAsia="zh-CN"/>
              </w:rPr>
              <w:t>）</w:t>
            </w:r>
            <w:r>
              <w:rPr>
                <w:color w:val="auto"/>
                <w:highlight w:val="none"/>
                <w:lang w:eastAsia="zh-CN"/>
              </w:rPr>
              <w:t xml:space="preserve">: </w:t>
            </w:r>
            <w:r>
              <w:rPr>
                <w:rFonts w:hint="eastAsia"/>
                <w:color w:val="auto"/>
                <w:highlight w:val="none"/>
                <w:lang w:eastAsia="zh-CN"/>
              </w:rPr>
              <w:t>≤</w:t>
            </w:r>
            <w:r>
              <w:rPr>
                <w:color w:val="auto"/>
                <w:highlight w:val="none"/>
                <w:lang w:eastAsia="zh-CN"/>
              </w:rPr>
              <w:t>140</w:t>
            </w:r>
            <w:r>
              <w:rPr>
                <w:rFonts w:hint="eastAsia"/>
                <w:color w:val="auto"/>
                <w:highlight w:val="none"/>
                <w:lang w:eastAsia="zh-CN"/>
              </w:rPr>
              <w:t>；④抗热震性：无炸裂和裂纹；⑤抗冻性：无裂纹和剥落；⑥静磨擦系数：干法</w:t>
            </w:r>
            <w:r>
              <w:rPr>
                <w:color w:val="auto"/>
                <w:highlight w:val="none"/>
                <w:lang w:eastAsia="zh-CN"/>
              </w:rPr>
              <w:t xml:space="preserve"> 0.65</w:t>
            </w:r>
            <w:r>
              <w:rPr>
                <w:rFonts w:hint="eastAsia"/>
                <w:color w:val="auto"/>
                <w:highlight w:val="none"/>
                <w:lang w:eastAsia="zh-CN"/>
              </w:rPr>
              <w:t>；⑦湿膨胀（</w:t>
            </w:r>
            <w:r>
              <w:rPr>
                <w:color w:val="auto"/>
                <w:highlight w:val="none"/>
                <w:lang w:eastAsia="zh-CN"/>
              </w:rPr>
              <w:t>mm/m</w:t>
            </w:r>
            <w:r>
              <w:rPr>
                <w:rFonts w:hint="eastAsia"/>
                <w:color w:val="auto"/>
                <w:highlight w:val="none"/>
                <w:lang w:eastAsia="zh-CN"/>
              </w:rPr>
              <w:t>）</w:t>
            </w:r>
            <w:r>
              <w:rPr>
                <w:color w:val="auto"/>
                <w:highlight w:val="none"/>
                <w:lang w:eastAsia="zh-CN"/>
              </w:rPr>
              <w:t xml:space="preserve">: </w:t>
            </w:r>
            <w:r>
              <w:rPr>
                <w:rFonts w:hint="eastAsia"/>
                <w:color w:val="auto"/>
                <w:highlight w:val="none"/>
                <w:lang w:eastAsia="zh-CN"/>
              </w:rPr>
              <w:t>无；⑧抗冲击性：</w:t>
            </w:r>
            <w:r>
              <w:rPr>
                <w:color w:val="auto"/>
                <w:highlight w:val="none"/>
                <w:lang w:eastAsia="zh-CN"/>
              </w:rPr>
              <w:t>0.80</w:t>
            </w:r>
            <w:r>
              <w:rPr>
                <w:rFonts w:hint="eastAsia"/>
                <w:color w:val="auto"/>
                <w:highlight w:val="none"/>
                <w:lang w:eastAsia="zh-CN"/>
              </w:rPr>
              <w:t>；⑨光泽度：≥</w:t>
            </w:r>
            <w:r>
              <w:rPr>
                <w:color w:val="auto"/>
                <w:highlight w:val="none"/>
                <w:lang w:eastAsia="zh-CN"/>
              </w:rPr>
              <w:t>55</w:t>
            </w:r>
            <w:r>
              <w:rPr>
                <w:rFonts w:hint="eastAsia"/>
                <w:color w:val="auto"/>
                <w:highlight w:val="none"/>
                <w:lang w:eastAsia="zh-CN"/>
              </w:rPr>
              <w:t>。</w:t>
            </w:r>
          </w:p>
          <w:p>
            <w:pPr>
              <w:rPr>
                <w:color w:val="auto"/>
                <w:highlight w:val="none"/>
                <w:lang w:eastAsia="zh-CN"/>
              </w:rPr>
            </w:pPr>
            <w:r>
              <w:rPr>
                <w:color w:val="auto"/>
                <w:highlight w:val="none"/>
                <w:lang w:eastAsia="zh-CN"/>
              </w:rPr>
              <w:t>6</w:t>
            </w:r>
            <w:r>
              <w:rPr>
                <w:rFonts w:hint="eastAsia"/>
                <w:color w:val="auto"/>
                <w:highlight w:val="none"/>
                <w:lang w:eastAsia="zh-CN"/>
              </w:rPr>
              <w:t>、化学性能要求：①耐污染性（级）：</w:t>
            </w:r>
            <w:r>
              <w:rPr>
                <w:color w:val="auto"/>
                <w:highlight w:val="none"/>
                <w:lang w:eastAsia="zh-CN"/>
              </w:rPr>
              <w:t>5</w:t>
            </w:r>
            <w:r>
              <w:rPr>
                <w:rFonts w:hint="eastAsia"/>
                <w:color w:val="auto"/>
                <w:highlight w:val="none"/>
                <w:lang w:eastAsia="zh-CN"/>
              </w:rPr>
              <w:t>；②耐化学腐蚀性：低浓度酸碱</w:t>
            </w:r>
            <w:r>
              <w:rPr>
                <w:color w:val="auto"/>
                <w:highlight w:val="none"/>
                <w:lang w:eastAsia="zh-CN"/>
              </w:rPr>
              <w:t xml:space="preserve"> ULA</w:t>
            </w:r>
            <w:r>
              <w:rPr>
                <w:rFonts w:hint="eastAsia"/>
                <w:color w:val="auto"/>
                <w:highlight w:val="none"/>
                <w:lang w:eastAsia="zh-CN"/>
              </w:rPr>
              <w:t>级，高浓度酸碱</w:t>
            </w:r>
            <w:r>
              <w:rPr>
                <w:color w:val="auto"/>
                <w:highlight w:val="none"/>
                <w:lang w:eastAsia="zh-CN"/>
              </w:rPr>
              <w:t>UHA</w:t>
            </w:r>
            <w:r>
              <w:rPr>
                <w:rFonts w:hint="eastAsia"/>
                <w:color w:val="auto"/>
                <w:highlight w:val="none"/>
                <w:lang w:eastAsia="zh-CN"/>
              </w:rPr>
              <w:t>级</w:t>
            </w:r>
            <w:r>
              <w:rPr>
                <w:color w:val="auto"/>
                <w:highlight w:val="none"/>
                <w:lang w:eastAsia="zh-CN"/>
              </w:rPr>
              <w:t>,</w:t>
            </w:r>
            <w:r>
              <w:rPr>
                <w:rFonts w:hint="eastAsia"/>
                <w:color w:val="auto"/>
                <w:highlight w:val="none"/>
                <w:lang w:eastAsia="zh-CN"/>
              </w:rPr>
              <w:t>化学试剂及游泳池盐类</w:t>
            </w:r>
            <w:r>
              <w:rPr>
                <w:color w:val="auto"/>
                <w:highlight w:val="none"/>
                <w:lang w:eastAsia="zh-CN"/>
              </w:rPr>
              <w:t xml:space="preserve"> UA </w:t>
            </w:r>
            <w:r>
              <w:rPr>
                <w:rFonts w:hint="eastAsia"/>
                <w:color w:val="auto"/>
                <w:highlight w:val="none"/>
                <w:lang w:eastAsia="zh-CN"/>
              </w:rPr>
              <w:t>级。</w:t>
            </w:r>
          </w:p>
        </w:tc>
        <w:tc>
          <w:tcPr>
            <w:tcW w:w="1276" w:type="dxa"/>
            <w:tcBorders>
              <w:left w:val="single" w:color="000000" w:sz="6" w:space="0"/>
            </w:tcBorders>
            <w:vAlign w:val="center"/>
          </w:tcPr>
          <w:p>
            <w:pPr>
              <w:rPr>
                <w:color w:val="auto"/>
                <w:highlight w:val="none"/>
                <w:lang w:eastAsia="zh-CN"/>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708" w:type="dxa"/>
            <w:tcBorders>
              <w:right w:val="single" w:color="000000" w:sz="6" w:space="0"/>
            </w:tcBorders>
            <w:vAlign w:val="center"/>
          </w:tcPr>
          <w:p>
            <w:pPr>
              <w:rPr>
                <w:color w:val="auto"/>
                <w:highlight w:val="none"/>
                <w:lang w:eastAsia="zh-CN"/>
              </w:rPr>
            </w:pPr>
          </w:p>
        </w:tc>
        <w:tc>
          <w:tcPr>
            <w:tcW w:w="1276" w:type="dxa"/>
            <w:tcBorders>
              <w:left w:val="single" w:color="000000" w:sz="6" w:space="0"/>
              <w:right w:val="single" w:color="000000" w:sz="6" w:space="0"/>
            </w:tcBorders>
            <w:vAlign w:val="center"/>
          </w:tcPr>
          <w:p>
            <w:pPr>
              <w:rPr>
                <w:color w:val="auto"/>
                <w:highlight w:val="none"/>
              </w:rPr>
            </w:pPr>
            <w:r>
              <w:rPr>
                <w:rFonts w:hint="eastAsia"/>
                <w:color w:val="auto"/>
                <w:highlight w:val="none"/>
              </w:rPr>
              <w:t>釉面砖</w:t>
            </w:r>
          </w:p>
        </w:tc>
        <w:tc>
          <w:tcPr>
            <w:tcW w:w="6237" w:type="dxa"/>
            <w:tcBorders>
              <w:left w:val="single" w:color="000000" w:sz="6" w:space="0"/>
              <w:right w:val="single" w:color="000000" w:sz="6" w:space="0"/>
            </w:tcBorders>
            <w:vAlign w:val="center"/>
          </w:tcPr>
          <w:p>
            <w:pPr>
              <w:rPr>
                <w:color w:val="auto"/>
                <w:highlight w:val="none"/>
                <w:lang w:eastAsia="zh-CN"/>
              </w:rPr>
            </w:pPr>
            <w:r>
              <w:rPr>
                <w:rFonts w:hint="eastAsia"/>
                <w:color w:val="auto"/>
                <w:highlight w:val="none"/>
                <w:lang w:eastAsia="zh-CN"/>
              </w:rPr>
              <w:t>符合设计、国家有关标准、规范、规定要求，产品执行标准：</w:t>
            </w:r>
            <w:r>
              <w:rPr>
                <w:color w:val="auto"/>
                <w:highlight w:val="none"/>
                <w:lang w:eastAsia="zh-CN"/>
              </w:rPr>
              <w:t>GB/ T 4100-2006</w:t>
            </w:r>
            <w:r>
              <w:rPr>
                <w:rFonts w:hint="eastAsia"/>
                <w:color w:val="auto"/>
                <w:highlight w:val="none"/>
                <w:lang w:eastAsia="zh-CN"/>
              </w:rPr>
              <w:t>；并符合下列要求：</w:t>
            </w:r>
          </w:p>
          <w:p>
            <w:pPr>
              <w:rPr>
                <w:color w:val="auto"/>
                <w:highlight w:val="none"/>
                <w:lang w:eastAsia="zh-CN"/>
              </w:rPr>
            </w:pPr>
            <w:r>
              <w:rPr>
                <w:color w:val="auto"/>
                <w:highlight w:val="none"/>
                <w:lang w:eastAsia="zh-CN"/>
              </w:rPr>
              <w:t>1</w:t>
            </w:r>
            <w:r>
              <w:rPr>
                <w:rFonts w:hint="eastAsia"/>
                <w:color w:val="auto"/>
                <w:highlight w:val="none"/>
                <w:lang w:eastAsia="zh-CN"/>
              </w:rPr>
              <w:t>、材质及成型方法：材质为陶质砖；成型方法采用干压法。</w:t>
            </w:r>
          </w:p>
          <w:p>
            <w:pPr>
              <w:rPr>
                <w:color w:val="auto"/>
                <w:highlight w:val="none"/>
                <w:lang w:eastAsia="zh-CN"/>
              </w:rPr>
            </w:pPr>
            <w:r>
              <w:rPr>
                <w:color w:val="auto"/>
                <w:highlight w:val="none"/>
                <w:lang w:eastAsia="zh-CN"/>
              </w:rPr>
              <w:t>2</w:t>
            </w:r>
            <w:r>
              <w:rPr>
                <w:rFonts w:hint="eastAsia"/>
                <w:color w:val="auto"/>
                <w:highlight w:val="none"/>
                <w:lang w:eastAsia="zh-CN"/>
              </w:rPr>
              <w:t>、吸水率：≤</w:t>
            </w:r>
            <w:r>
              <w:rPr>
                <w:color w:val="auto"/>
                <w:highlight w:val="none"/>
                <w:lang w:eastAsia="zh-CN"/>
              </w:rPr>
              <w:t>10%</w:t>
            </w:r>
            <w:r>
              <w:rPr>
                <w:rFonts w:hint="eastAsia"/>
                <w:color w:val="auto"/>
                <w:highlight w:val="none"/>
                <w:lang w:eastAsia="zh-CN"/>
              </w:rPr>
              <w:t>。</w:t>
            </w:r>
          </w:p>
          <w:p>
            <w:pPr>
              <w:rPr>
                <w:color w:val="auto"/>
                <w:highlight w:val="none"/>
                <w:lang w:eastAsia="zh-CN"/>
              </w:rPr>
            </w:pPr>
            <w:r>
              <w:rPr>
                <w:color w:val="auto"/>
                <w:highlight w:val="none"/>
                <w:lang w:eastAsia="zh-CN"/>
              </w:rPr>
              <w:t>3</w:t>
            </w:r>
            <w:r>
              <w:rPr>
                <w:rFonts w:hint="eastAsia"/>
                <w:color w:val="auto"/>
                <w:highlight w:val="none"/>
                <w:lang w:eastAsia="zh-CN"/>
              </w:rPr>
              <w:t>、尺寸要求：①长度和宽度偏差：平均允许偏差±</w:t>
            </w:r>
            <w:r>
              <w:rPr>
                <w:color w:val="auto"/>
                <w:highlight w:val="none"/>
                <w:lang w:eastAsia="zh-CN"/>
              </w:rPr>
              <w:t>0.2%</w:t>
            </w:r>
            <w:r>
              <w:rPr>
                <w:rFonts w:hint="eastAsia"/>
                <w:color w:val="auto"/>
                <w:highlight w:val="none"/>
                <w:lang w:eastAsia="zh-CN"/>
              </w:rPr>
              <w:t>；②边直度最大允许偏差为±</w:t>
            </w:r>
            <w:r>
              <w:rPr>
                <w:color w:val="auto"/>
                <w:highlight w:val="none"/>
                <w:lang w:eastAsia="zh-CN"/>
              </w:rPr>
              <w:t>0.3%</w:t>
            </w:r>
            <w:r>
              <w:rPr>
                <w:rFonts w:hint="eastAsia"/>
                <w:color w:val="auto"/>
                <w:highlight w:val="none"/>
                <w:lang w:eastAsia="zh-CN"/>
              </w:rPr>
              <w:t>；③直角度最大允许偏差为±</w:t>
            </w:r>
            <w:r>
              <w:rPr>
                <w:color w:val="auto"/>
                <w:highlight w:val="none"/>
                <w:lang w:eastAsia="zh-CN"/>
              </w:rPr>
              <w:t>0.3%</w:t>
            </w:r>
            <w:r>
              <w:rPr>
                <w:rFonts w:hint="eastAsia"/>
                <w:color w:val="auto"/>
                <w:highlight w:val="none"/>
                <w:lang w:eastAsia="zh-CN"/>
              </w:rPr>
              <w:t>；④厚度偏差±</w:t>
            </w:r>
            <w:r>
              <w:rPr>
                <w:color w:val="auto"/>
                <w:highlight w:val="none"/>
                <w:lang w:eastAsia="zh-CN"/>
              </w:rPr>
              <w:t>8%</w:t>
            </w:r>
            <w:r>
              <w:rPr>
                <w:rFonts w:hint="eastAsia"/>
                <w:color w:val="auto"/>
                <w:highlight w:val="none"/>
                <w:lang w:eastAsia="zh-CN"/>
              </w:rPr>
              <w:t>；⑤表面平整度最大允许偏差为±</w:t>
            </w:r>
            <w:r>
              <w:rPr>
                <w:color w:val="auto"/>
                <w:highlight w:val="none"/>
                <w:lang w:eastAsia="zh-CN"/>
              </w:rPr>
              <w:t>0.3%</w:t>
            </w:r>
            <w:r>
              <w:rPr>
                <w:rFonts w:hint="eastAsia"/>
                <w:color w:val="auto"/>
                <w:highlight w:val="none"/>
                <w:lang w:eastAsia="zh-CN"/>
              </w:rPr>
              <w:t>。</w:t>
            </w:r>
          </w:p>
          <w:p>
            <w:pPr>
              <w:rPr>
                <w:color w:val="auto"/>
                <w:highlight w:val="none"/>
                <w:lang w:eastAsia="zh-CN"/>
              </w:rPr>
            </w:pPr>
            <w:r>
              <w:rPr>
                <w:color w:val="auto"/>
                <w:highlight w:val="none"/>
                <w:lang w:eastAsia="zh-CN"/>
              </w:rPr>
              <w:t>4</w:t>
            </w:r>
            <w:r>
              <w:rPr>
                <w:rFonts w:hint="eastAsia"/>
                <w:color w:val="auto"/>
                <w:highlight w:val="none"/>
                <w:lang w:eastAsia="zh-CN"/>
              </w:rPr>
              <w:t>、表面质量：至少</w:t>
            </w:r>
            <w:r>
              <w:rPr>
                <w:color w:val="auto"/>
                <w:highlight w:val="none"/>
                <w:lang w:eastAsia="zh-CN"/>
              </w:rPr>
              <w:t>95%</w:t>
            </w:r>
            <w:r>
              <w:rPr>
                <w:rFonts w:hint="eastAsia"/>
                <w:color w:val="auto"/>
                <w:highlight w:val="none"/>
                <w:lang w:eastAsia="zh-CN"/>
              </w:rPr>
              <w:t>以上的砖无明显缺陷；用肉眼观测批量砖与选定样板对比无明显色差。</w:t>
            </w:r>
          </w:p>
          <w:p>
            <w:pPr>
              <w:rPr>
                <w:color w:val="auto"/>
                <w:highlight w:val="none"/>
                <w:lang w:eastAsia="zh-CN"/>
              </w:rPr>
            </w:pPr>
            <w:r>
              <w:rPr>
                <w:color w:val="auto"/>
                <w:highlight w:val="none"/>
                <w:lang w:eastAsia="zh-CN"/>
              </w:rPr>
              <w:t>5</w:t>
            </w:r>
            <w:r>
              <w:rPr>
                <w:rFonts w:hint="eastAsia"/>
                <w:color w:val="auto"/>
                <w:highlight w:val="none"/>
                <w:lang w:eastAsia="zh-CN"/>
              </w:rPr>
              <w:t>、物理性能要求：①破坏强度（</w:t>
            </w:r>
            <w:r>
              <w:rPr>
                <w:color w:val="auto"/>
                <w:highlight w:val="none"/>
                <w:lang w:eastAsia="zh-CN"/>
              </w:rPr>
              <w:t>N</w:t>
            </w:r>
            <w:r>
              <w:rPr>
                <w:rFonts w:hint="eastAsia"/>
                <w:color w:val="auto"/>
                <w:highlight w:val="none"/>
                <w:lang w:eastAsia="zh-CN"/>
              </w:rPr>
              <w:t>）：平均值≥</w:t>
            </w:r>
            <w:r>
              <w:rPr>
                <w:color w:val="auto"/>
                <w:highlight w:val="none"/>
                <w:lang w:eastAsia="zh-CN"/>
              </w:rPr>
              <w:t>1000</w:t>
            </w:r>
            <w:r>
              <w:rPr>
                <w:rFonts w:hint="eastAsia"/>
                <w:color w:val="auto"/>
                <w:highlight w:val="none"/>
                <w:lang w:eastAsia="zh-CN"/>
              </w:rPr>
              <w:t>；②断裂模数（</w:t>
            </w:r>
            <w:r>
              <w:rPr>
                <w:color w:val="auto"/>
                <w:highlight w:val="none"/>
                <w:lang w:eastAsia="zh-CN"/>
              </w:rPr>
              <w:t>MPa</w:t>
            </w:r>
            <w:r>
              <w:rPr>
                <w:rFonts w:hint="eastAsia"/>
                <w:color w:val="auto"/>
                <w:highlight w:val="none"/>
                <w:lang w:eastAsia="zh-CN"/>
              </w:rPr>
              <w:t>）：平均值≥</w:t>
            </w:r>
            <w:r>
              <w:rPr>
                <w:color w:val="auto"/>
                <w:highlight w:val="none"/>
                <w:lang w:eastAsia="zh-CN"/>
              </w:rPr>
              <w:t>20</w:t>
            </w:r>
            <w:r>
              <w:rPr>
                <w:rFonts w:hint="eastAsia"/>
                <w:color w:val="auto"/>
                <w:highlight w:val="none"/>
                <w:lang w:eastAsia="zh-CN"/>
              </w:rPr>
              <w:t>。单块值≥</w:t>
            </w:r>
            <w:r>
              <w:rPr>
                <w:color w:val="auto"/>
                <w:highlight w:val="none"/>
                <w:lang w:eastAsia="zh-CN"/>
              </w:rPr>
              <w:t>15</w:t>
            </w:r>
            <w:r>
              <w:rPr>
                <w:rFonts w:hint="eastAsia"/>
                <w:color w:val="auto"/>
                <w:highlight w:val="none"/>
                <w:lang w:eastAsia="zh-CN"/>
              </w:rPr>
              <w:t>；③有釉砖耐磨（类）</w:t>
            </w:r>
            <w:r>
              <w:rPr>
                <w:color w:val="auto"/>
                <w:highlight w:val="none"/>
                <w:lang w:eastAsia="zh-CN"/>
              </w:rPr>
              <w:t>:3</w:t>
            </w:r>
            <w:r>
              <w:rPr>
                <w:rFonts w:hint="eastAsia"/>
                <w:color w:val="auto"/>
                <w:highlight w:val="none"/>
                <w:lang w:eastAsia="zh-CN"/>
              </w:rPr>
              <w:t>类（</w:t>
            </w:r>
            <w:r>
              <w:rPr>
                <w:color w:val="auto"/>
                <w:highlight w:val="none"/>
                <w:lang w:eastAsia="zh-CN"/>
              </w:rPr>
              <w:t>700</w:t>
            </w:r>
            <w:r>
              <w:rPr>
                <w:rFonts w:hint="eastAsia"/>
                <w:color w:val="auto"/>
                <w:highlight w:val="none"/>
                <w:lang w:eastAsia="zh-CN"/>
              </w:rPr>
              <w:t>转）；④抗热震性：无炸裂和裂纹；⑤抗釉裂性：五次后无裂釉；⑥抗冻性：无裂纹和剥落；⑦静磨擦系数：干法</w:t>
            </w:r>
            <w:r>
              <w:rPr>
                <w:color w:val="auto"/>
                <w:highlight w:val="none"/>
                <w:lang w:eastAsia="zh-CN"/>
              </w:rPr>
              <w:t xml:space="preserve"> 0.70</w:t>
            </w:r>
            <w:r>
              <w:rPr>
                <w:rFonts w:hint="eastAsia"/>
                <w:color w:val="auto"/>
                <w:highlight w:val="none"/>
                <w:lang w:eastAsia="zh-CN"/>
              </w:rPr>
              <w:t>；⑧湿膨胀（</w:t>
            </w:r>
            <w:r>
              <w:rPr>
                <w:color w:val="auto"/>
                <w:highlight w:val="none"/>
                <w:lang w:eastAsia="zh-CN"/>
              </w:rPr>
              <w:t>mm/m</w:t>
            </w:r>
            <w:r>
              <w:rPr>
                <w:rFonts w:hint="eastAsia"/>
                <w:color w:val="auto"/>
                <w:highlight w:val="none"/>
                <w:lang w:eastAsia="zh-CN"/>
              </w:rPr>
              <w:t>）</w:t>
            </w:r>
            <w:r>
              <w:rPr>
                <w:color w:val="auto"/>
                <w:highlight w:val="none"/>
                <w:lang w:eastAsia="zh-CN"/>
              </w:rPr>
              <w:t>:</w:t>
            </w:r>
            <w:r>
              <w:rPr>
                <w:rFonts w:hint="eastAsia"/>
                <w:color w:val="auto"/>
                <w:highlight w:val="none"/>
                <w:lang w:eastAsia="zh-CN"/>
              </w:rPr>
              <w:t>无；⑨抗冲击性：</w:t>
            </w:r>
            <w:r>
              <w:rPr>
                <w:color w:val="auto"/>
                <w:highlight w:val="none"/>
                <w:lang w:eastAsia="zh-CN"/>
              </w:rPr>
              <w:t>0.55</w:t>
            </w:r>
            <w:r>
              <w:rPr>
                <w:rFonts w:hint="eastAsia"/>
                <w:color w:val="auto"/>
                <w:highlight w:val="none"/>
                <w:lang w:eastAsia="zh-CN"/>
              </w:rPr>
              <w:t>。</w:t>
            </w:r>
          </w:p>
          <w:p>
            <w:pPr>
              <w:rPr>
                <w:color w:val="auto"/>
                <w:highlight w:val="none"/>
                <w:lang w:eastAsia="zh-CN"/>
              </w:rPr>
            </w:pPr>
            <w:r>
              <w:rPr>
                <w:color w:val="auto"/>
                <w:highlight w:val="none"/>
                <w:lang w:eastAsia="zh-CN"/>
              </w:rPr>
              <w:t>6</w:t>
            </w:r>
            <w:r>
              <w:rPr>
                <w:rFonts w:hint="eastAsia"/>
                <w:color w:val="auto"/>
                <w:highlight w:val="none"/>
                <w:lang w:eastAsia="zh-CN"/>
              </w:rPr>
              <w:t>、化学性能要求：①耐污染性（级）：</w:t>
            </w:r>
            <w:r>
              <w:rPr>
                <w:color w:val="auto"/>
                <w:highlight w:val="none"/>
                <w:lang w:eastAsia="zh-CN"/>
              </w:rPr>
              <w:t>4</w:t>
            </w:r>
            <w:r>
              <w:rPr>
                <w:rFonts w:hint="eastAsia"/>
                <w:color w:val="auto"/>
                <w:highlight w:val="none"/>
                <w:lang w:eastAsia="zh-CN"/>
              </w:rPr>
              <w:t>；②耐化学腐蚀性：低浓度酸碱</w:t>
            </w:r>
            <w:r>
              <w:rPr>
                <w:color w:val="auto"/>
                <w:highlight w:val="none"/>
                <w:lang w:eastAsia="zh-CN"/>
              </w:rPr>
              <w:t>GLA</w:t>
            </w:r>
            <w:r>
              <w:rPr>
                <w:rFonts w:hint="eastAsia"/>
                <w:color w:val="auto"/>
                <w:highlight w:val="none"/>
                <w:lang w:eastAsia="zh-CN"/>
              </w:rPr>
              <w:t>级，高浓度酸碱</w:t>
            </w:r>
            <w:r>
              <w:rPr>
                <w:color w:val="auto"/>
                <w:highlight w:val="none"/>
                <w:lang w:eastAsia="zh-CN"/>
              </w:rPr>
              <w:t>GHA</w:t>
            </w:r>
            <w:r>
              <w:rPr>
                <w:rFonts w:hint="eastAsia"/>
                <w:color w:val="auto"/>
                <w:highlight w:val="none"/>
                <w:lang w:eastAsia="zh-CN"/>
              </w:rPr>
              <w:t>级</w:t>
            </w:r>
            <w:r>
              <w:rPr>
                <w:color w:val="auto"/>
                <w:highlight w:val="none"/>
                <w:lang w:eastAsia="zh-CN"/>
              </w:rPr>
              <w:t>,</w:t>
            </w:r>
            <w:r>
              <w:rPr>
                <w:rFonts w:hint="eastAsia"/>
                <w:color w:val="auto"/>
                <w:highlight w:val="none"/>
                <w:lang w:eastAsia="zh-CN"/>
              </w:rPr>
              <w:t>化学试剂及游泳池盐类</w:t>
            </w:r>
            <w:r>
              <w:rPr>
                <w:color w:val="auto"/>
                <w:highlight w:val="none"/>
                <w:lang w:eastAsia="zh-CN"/>
              </w:rPr>
              <w:t xml:space="preserve">GA </w:t>
            </w:r>
            <w:r>
              <w:rPr>
                <w:rFonts w:hint="eastAsia"/>
                <w:color w:val="auto"/>
                <w:highlight w:val="none"/>
                <w:lang w:eastAsia="zh-CN"/>
              </w:rPr>
              <w:t>级。</w:t>
            </w:r>
          </w:p>
        </w:tc>
        <w:tc>
          <w:tcPr>
            <w:tcW w:w="1276" w:type="dxa"/>
            <w:tcBorders>
              <w:left w:val="single" w:color="000000" w:sz="6" w:space="0"/>
            </w:tcBorders>
            <w:vAlign w:val="center"/>
          </w:tcPr>
          <w:p>
            <w:pPr>
              <w:rPr>
                <w:color w:val="auto"/>
                <w:highlight w:val="none"/>
                <w:lang w:eastAsia="zh-CN"/>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708" w:type="dxa"/>
            <w:tcBorders>
              <w:right w:val="single" w:color="000000" w:sz="6" w:space="0"/>
            </w:tcBorders>
            <w:vAlign w:val="center"/>
          </w:tcPr>
          <w:p>
            <w:pPr>
              <w:rPr>
                <w:color w:val="auto"/>
                <w:highlight w:val="none"/>
                <w:lang w:eastAsia="zh-CN"/>
              </w:rPr>
            </w:pPr>
          </w:p>
        </w:tc>
        <w:tc>
          <w:tcPr>
            <w:tcW w:w="1276" w:type="dxa"/>
            <w:tcBorders>
              <w:left w:val="single" w:color="000000" w:sz="6" w:space="0"/>
              <w:right w:val="single" w:color="000000" w:sz="6" w:space="0"/>
            </w:tcBorders>
            <w:vAlign w:val="center"/>
          </w:tcPr>
          <w:p>
            <w:pPr>
              <w:rPr>
                <w:color w:val="auto"/>
                <w:highlight w:val="none"/>
              </w:rPr>
            </w:pPr>
            <w:r>
              <w:rPr>
                <w:rFonts w:hint="eastAsia"/>
                <w:color w:val="auto"/>
                <w:highlight w:val="none"/>
                <w:lang w:bidi="ar"/>
              </w:rPr>
              <w:t>纸面石膏板</w:t>
            </w:r>
          </w:p>
        </w:tc>
        <w:tc>
          <w:tcPr>
            <w:tcW w:w="6237" w:type="dxa"/>
            <w:tcBorders>
              <w:left w:val="single" w:color="000000" w:sz="6" w:space="0"/>
              <w:right w:val="single" w:color="000000" w:sz="6" w:space="0"/>
            </w:tcBorders>
            <w:vAlign w:val="center"/>
          </w:tcPr>
          <w:p>
            <w:pPr>
              <w:rPr>
                <w:color w:val="auto"/>
                <w:highlight w:val="none"/>
                <w:lang w:eastAsia="zh-CN"/>
              </w:rPr>
            </w:pPr>
            <w:r>
              <w:rPr>
                <w:color w:val="auto"/>
                <w:highlight w:val="none"/>
                <w:lang w:eastAsia="zh-CN" w:bidi="ar"/>
              </w:rPr>
              <w:t>GB/T 9775-2008</w:t>
            </w:r>
            <w:r>
              <w:rPr>
                <w:rFonts w:hint="eastAsia"/>
                <w:color w:val="auto"/>
                <w:highlight w:val="none"/>
                <w:lang w:eastAsia="zh-CN" w:bidi="ar"/>
              </w:rPr>
              <w:t>《纸面石膏板》</w:t>
            </w:r>
          </w:p>
          <w:p>
            <w:pPr>
              <w:rPr>
                <w:color w:val="auto"/>
                <w:highlight w:val="none"/>
                <w:lang w:eastAsia="zh-CN"/>
              </w:rPr>
            </w:pPr>
            <w:r>
              <w:rPr>
                <w:color w:val="auto"/>
                <w:highlight w:val="none"/>
                <w:lang w:eastAsia="zh-CN" w:bidi="ar"/>
              </w:rPr>
              <w:t>JC/T 1074-2008</w:t>
            </w:r>
            <w:r>
              <w:rPr>
                <w:rFonts w:hint="eastAsia"/>
                <w:color w:val="auto"/>
                <w:highlight w:val="none"/>
                <w:lang w:eastAsia="zh-CN" w:bidi="ar"/>
              </w:rPr>
              <w:t>《室内空气净化功能涂覆材料净化性能》</w:t>
            </w:r>
          </w:p>
          <w:p>
            <w:pPr>
              <w:rPr>
                <w:color w:val="auto"/>
                <w:highlight w:val="none"/>
                <w:lang w:eastAsia="zh-CN"/>
              </w:rPr>
            </w:pPr>
            <w:r>
              <w:rPr>
                <w:rFonts w:hint="eastAsia"/>
                <w:color w:val="auto"/>
                <w:highlight w:val="none"/>
                <w:lang w:eastAsia="zh-CN" w:bidi="ar"/>
              </w:rPr>
              <w:t>纸面石膏板须采用净醛石膏板，潮湿区域须使用耐水石膏板</w:t>
            </w:r>
          </w:p>
          <w:p>
            <w:pPr>
              <w:rPr>
                <w:color w:val="auto"/>
                <w:highlight w:val="none"/>
                <w:lang w:eastAsia="zh-CN"/>
              </w:rPr>
            </w:pPr>
            <w:r>
              <w:rPr>
                <w:rFonts w:hint="eastAsia"/>
                <w:color w:val="auto"/>
                <w:highlight w:val="none"/>
                <w:lang w:eastAsia="zh-CN" w:bidi="ar"/>
              </w:rPr>
              <w:t>净醛石膏板技术参数：</w:t>
            </w:r>
          </w:p>
          <w:p>
            <w:pPr>
              <w:rPr>
                <w:color w:val="auto"/>
                <w:highlight w:val="none"/>
                <w:lang w:eastAsia="zh-CN"/>
              </w:rPr>
            </w:pPr>
            <w:r>
              <w:rPr>
                <w:rFonts w:hint="eastAsia"/>
                <w:color w:val="auto"/>
                <w:highlight w:val="none"/>
                <w:lang w:eastAsia="zh-CN" w:bidi="ar"/>
              </w:rPr>
              <w:t>甲醛净化性能≥</w:t>
            </w:r>
            <w:r>
              <w:rPr>
                <w:color w:val="auto"/>
                <w:highlight w:val="none"/>
                <w:lang w:eastAsia="zh-CN" w:bidi="ar"/>
              </w:rPr>
              <w:t>95%</w:t>
            </w:r>
            <w:r>
              <w:rPr>
                <w:rFonts w:hint="eastAsia"/>
                <w:color w:val="auto"/>
                <w:highlight w:val="none"/>
                <w:lang w:eastAsia="zh-CN" w:bidi="ar"/>
              </w:rPr>
              <w:t>；</w:t>
            </w:r>
          </w:p>
          <w:p>
            <w:pPr>
              <w:rPr>
                <w:color w:val="auto"/>
                <w:highlight w:val="none"/>
                <w:lang w:eastAsia="zh-CN"/>
              </w:rPr>
            </w:pPr>
            <w:r>
              <w:rPr>
                <w:rFonts w:hint="eastAsia"/>
                <w:color w:val="auto"/>
                <w:highlight w:val="none"/>
                <w:lang w:eastAsia="zh-CN" w:bidi="ar"/>
              </w:rPr>
              <w:t>甲醛净化效果持久性≥</w:t>
            </w:r>
            <w:r>
              <w:rPr>
                <w:color w:val="auto"/>
                <w:highlight w:val="none"/>
                <w:lang w:eastAsia="zh-CN" w:bidi="ar"/>
              </w:rPr>
              <w:t>88%</w:t>
            </w:r>
            <w:r>
              <w:rPr>
                <w:rFonts w:hint="eastAsia"/>
                <w:color w:val="auto"/>
                <w:highlight w:val="none"/>
                <w:lang w:eastAsia="zh-CN" w:bidi="ar"/>
              </w:rPr>
              <w:t>；</w:t>
            </w:r>
          </w:p>
          <w:p>
            <w:pPr>
              <w:rPr>
                <w:color w:val="auto"/>
                <w:highlight w:val="none"/>
                <w:lang w:eastAsia="zh-CN"/>
              </w:rPr>
            </w:pPr>
            <w:r>
              <w:rPr>
                <w:rFonts w:hint="eastAsia"/>
                <w:color w:val="auto"/>
                <w:highlight w:val="none"/>
                <w:lang w:eastAsia="zh-CN" w:bidi="ar"/>
              </w:rPr>
              <w:t>断裂荷载平均值：</w:t>
            </w:r>
          </w:p>
          <w:p>
            <w:pPr>
              <w:rPr>
                <w:color w:val="auto"/>
                <w:highlight w:val="none"/>
                <w:lang w:eastAsia="zh-CN"/>
              </w:rPr>
            </w:pPr>
            <w:r>
              <w:rPr>
                <w:color w:val="auto"/>
                <w:highlight w:val="none"/>
                <w:lang w:eastAsia="zh-CN" w:bidi="ar"/>
              </w:rPr>
              <w:t>9.5mm</w:t>
            </w:r>
            <w:r>
              <w:rPr>
                <w:rFonts w:hint="eastAsia"/>
                <w:color w:val="auto"/>
                <w:highlight w:val="none"/>
                <w:lang w:eastAsia="zh-CN" w:bidi="ar"/>
              </w:rPr>
              <w:t>厚净醛石膏板≥</w:t>
            </w:r>
            <w:r>
              <w:rPr>
                <w:color w:val="auto"/>
                <w:highlight w:val="none"/>
                <w:lang w:eastAsia="zh-CN" w:bidi="ar"/>
              </w:rPr>
              <w:t>430N</w:t>
            </w:r>
            <w:r>
              <w:rPr>
                <w:rFonts w:hint="eastAsia"/>
                <w:color w:val="auto"/>
                <w:highlight w:val="none"/>
                <w:lang w:eastAsia="zh-CN" w:bidi="ar"/>
              </w:rPr>
              <w:t>；</w:t>
            </w:r>
          </w:p>
          <w:p>
            <w:pPr>
              <w:widowControl/>
              <w:rPr>
                <w:color w:val="auto"/>
                <w:highlight w:val="none"/>
                <w:lang w:eastAsia="zh-CN"/>
              </w:rPr>
            </w:pPr>
            <w:r>
              <w:rPr>
                <w:color w:val="auto"/>
                <w:highlight w:val="none"/>
                <w:lang w:eastAsia="zh-CN" w:bidi="ar"/>
              </w:rPr>
              <w:t>12mm</w:t>
            </w:r>
            <w:r>
              <w:rPr>
                <w:rFonts w:hint="eastAsia"/>
                <w:color w:val="auto"/>
                <w:highlight w:val="none"/>
                <w:lang w:eastAsia="zh-CN" w:bidi="ar"/>
              </w:rPr>
              <w:t>厚净醛石膏板≥</w:t>
            </w:r>
            <w:r>
              <w:rPr>
                <w:color w:val="auto"/>
                <w:highlight w:val="none"/>
                <w:lang w:eastAsia="zh-CN" w:bidi="ar"/>
              </w:rPr>
              <w:t>530N</w:t>
            </w:r>
            <w:r>
              <w:rPr>
                <w:rFonts w:hint="eastAsia"/>
                <w:color w:val="auto"/>
                <w:highlight w:val="none"/>
                <w:lang w:eastAsia="zh-CN" w:bidi="ar"/>
              </w:rPr>
              <w:t>。</w:t>
            </w:r>
            <w:r>
              <w:rPr>
                <w:color w:val="auto"/>
                <w:szCs w:val="24"/>
                <w:highlight w:val="none"/>
                <w:lang w:eastAsia="zh-CN" w:bidi="ar"/>
              </w:rPr>
              <w:t xml:space="preserve"> </w:t>
            </w:r>
          </w:p>
        </w:tc>
        <w:tc>
          <w:tcPr>
            <w:tcW w:w="1276" w:type="dxa"/>
            <w:tcBorders>
              <w:left w:val="single" w:color="000000" w:sz="6" w:space="0"/>
            </w:tcBorders>
            <w:vAlign w:val="center"/>
          </w:tcPr>
          <w:p>
            <w:pPr>
              <w:rPr>
                <w:color w:val="auto"/>
                <w:highlight w:val="none"/>
                <w:lang w:eastAsia="zh-CN"/>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708" w:type="dxa"/>
            <w:tcBorders>
              <w:right w:val="single" w:color="000000" w:sz="6" w:space="0"/>
            </w:tcBorders>
            <w:vAlign w:val="center"/>
          </w:tcPr>
          <w:p>
            <w:pPr>
              <w:rPr>
                <w:color w:val="auto"/>
                <w:highlight w:val="none"/>
                <w:lang w:eastAsia="zh-CN"/>
              </w:rPr>
            </w:pPr>
          </w:p>
        </w:tc>
        <w:tc>
          <w:tcPr>
            <w:tcW w:w="1276" w:type="dxa"/>
            <w:tcBorders>
              <w:left w:val="single" w:color="000000" w:sz="6" w:space="0"/>
              <w:right w:val="single" w:color="000000" w:sz="6" w:space="0"/>
            </w:tcBorders>
            <w:vAlign w:val="center"/>
          </w:tcPr>
          <w:p>
            <w:pPr>
              <w:rPr>
                <w:color w:val="auto"/>
                <w:highlight w:val="none"/>
                <w:lang w:bidi="ar"/>
              </w:rPr>
            </w:pPr>
            <w:r>
              <w:rPr>
                <w:color w:val="auto"/>
                <w:highlight w:val="none"/>
                <w:lang w:bidi="ar"/>
              </w:rPr>
              <w:t>50mm彩钢板隔墙</w:t>
            </w:r>
          </w:p>
        </w:tc>
        <w:tc>
          <w:tcPr>
            <w:tcW w:w="6237" w:type="dxa"/>
            <w:tcBorders>
              <w:left w:val="single" w:color="000000" w:sz="6" w:space="0"/>
              <w:right w:val="single" w:color="000000" w:sz="6" w:space="0"/>
            </w:tcBorders>
            <w:vAlign w:val="center"/>
          </w:tcPr>
          <w:p>
            <w:pPr>
              <w:widowControl/>
              <w:rPr>
                <w:color w:val="auto"/>
                <w:highlight w:val="none"/>
                <w:lang w:eastAsia="zh-CN" w:bidi="ar"/>
              </w:rPr>
            </w:pPr>
            <w:r>
              <w:rPr>
                <w:color w:val="auto"/>
                <w:highlight w:val="none"/>
                <w:lang w:eastAsia="zh-CN" w:bidi="ar"/>
              </w:rPr>
              <w:t>1、50mm厚保温彩钢板</w:t>
            </w:r>
          </w:p>
          <w:p>
            <w:pPr>
              <w:widowControl/>
              <w:rPr>
                <w:color w:val="auto"/>
                <w:highlight w:val="none"/>
                <w:lang w:eastAsia="zh-CN" w:bidi="ar"/>
              </w:rPr>
            </w:pPr>
            <w:r>
              <w:rPr>
                <w:color w:val="auto"/>
                <w:highlight w:val="none"/>
                <w:lang w:eastAsia="zh-CN" w:bidi="ar"/>
              </w:rPr>
              <w:t>2、专用钢制天槽地槽固定；</w:t>
            </w:r>
          </w:p>
          <w:p>
            <w:pPr>
              <w:widowControl/>
              <w:rPr>
                <w:color w:val="auto"/>
                <w:highlight w:val="none"/>
                <w:lang w:eastAsia="zh-CN" w:bidi="ar"/>
              </w:rPr>
            </w:pPr>
            <w:r>
              <w:rPr>
                <w:color w:val="auto"/>
                <w:highlight w:val="none"/>
                <w:lang w:eastAsia="zh-CN" w:bidi="ar"/>
              </w:rPr>
              <w:t>3、专用镀锌角钢支架与混凝土墙预埋钢板焊牢</w:t>
            </w:r>
          </w:p>
          <w:p>
            <w:pPr>
              <w:widowControl/>
              <w:rPr>
                <w:color w:val="auto"/>
                <w:highlight w:val="none"/>
                <w:lang w:eastAsia="zh-CN" w:bidi="ar"/>
              </w:rPr>
            </w:pPr>
            <w:r>
              <w:rPr>
                <w:color w:val="auto"/>
                <w:highlight w:val="none"/>
                <w:lang w:eastAsia="zh-CN" w:bidi="ar"/>
              </w:rPr>
              <w:t xml:space="preserve">（或膨胀螺栓固定）,固定天槽； </w:t>
            </w:r>
          </w:p>
          <w:p>
            <w:pPr>
              <w:keepLines w:val="0"/>
              <w:widowControl/>
              <w:numPr>
                <w:ilvl w:val="0"/>
                <w:numId w:val="182"/>
              </w:numPr>
              <w:autoSpaceDE/>
              <w:autoSpaceDN/>
              <w:spacing w:line="240" w:lineRule="auto"/>
              <w:rPr>
                <w:color w:val="auto"/>
                <w:highlight w:val="none"/>
                <w:lang w:eastAsia="zh-CN" w:bidi="ar"/>
              </w:rPr>
            </w:pPr>
            <w:r>
              <w:rPr>
                <w:color w:val="auto"/>
                <w:highlight w:val="none"/>
                <w:lang w:eastAsia="zh-CN" w:bidi="ar"/>
              </w:rPr>
              <w:t>地槽与混凝土地面预埋钢板焊牢（或膨胀螺栓固定）。</w:t>
            </w:r>
          </w:p>
        </w:tc>
        <w:tc>
          <w:tcPr>
            <w:tcW w:w="1276" w:type="dxa"/>
            <w:tcBorders>
              <w:left w:val="single" w:color="000000" w:sz="6" w:space="0"/>
            </w:tcBorders>
            <w:vAlign w:val="center"/>
          </w:tcPr>
          <w:p>
            <w:pPr>
              <w:rPr>
                <w:color w:val="auto"/>
                <w:highlight w:val="none"/>
                <w:lang w:eastAsia="zh-CN"/>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708" w:type="dxa"/>
            <w:tcBorders>
              <w:right w:val="single" w:color="000000" w:sz="6" w:space="0"/>
            </w:tcBorders>
            <w:vAlign w:val="center"/>
          </w:tcPr>
          <w:p>
            <w:pPr>
              <w:rPr>
                <w:color w:val="auto"/>
                <w:highlight w:val="none"/>
                <w:lang w:eastAsia="zh-CN"/>
              </w:rPr>
            </w:pPr>
          </w:p>
        </w:tc>
        <w:tc>
          <w:tcPr>
            <w:tcW w:w="1276" w:type="dxa"/>
            <w:tcBorders>
              <w:left w:val="single" w:color="000000" w:sz="6" w:space="0"/>
              <w:right w:val="single" w:color="000000" w:sz="6" w:space="0"/>
            </w:tcBorders>
            <w:vAlign w:val="center"/>
          </w:tcPr>
          <w:p>
            <w:pPr>
              <w:rPr>
                <w:color w:val="auto"/>
                <w:highlight w:val="none"/>
              </w:rPr>
            </w:pPr>
            <w:r>
              <w:rPr>
                <w:rFonts w:hint="eastAsia"/>
                <w:color w:val="auto"/>
                <w:highlight w:val="none"/>
              </w:rPr>
              <w:t>铝扣板天花</w:t>
            </w:r>
          </w:p>
        </w:tc>
        <w:tc>
          <w:tcPr>
            <w:tcW w:w="6237" w:type="dxa"/>
            <w:tcBorders>
              <w:left w:val="single" w:color="000000" w:sz="6" w:space="0"/>
              <w:right w:val="single" w:color="000000" w:sz="6" w:space="0"/>
            </w:tcBorders>
            <w:vAlign w:val="center"/>
          </w:tcPr>
          <w:p>
            <w:pPr>
              <w:rPr>
                <w:color w:val="auto"/>
                <w:highlight w:val="none"/>
                <w:lang w:eastAsia="zh-CN"/>
              </w:rPr>
            </w:pPr>
            <w:r>
              <w:rPr>
                <w:rFonts w:hint="eastAsia"/>
                <w:color w:val="auto"/>
                <w:highlight w:val="none"/>
                <w:lang w:eastAsia="zh-CN"/>
              </w:rPr>
              <w:t>符合设计、国家有关标准、规范、规定要求，并符合下列要求：</w:t>
            </w:r>
          </w:p>
          <w:p>
            <w:pPr>
              <w:rPr>
                <w:color w:val="auto"/>
                <w:highlight w:val="none"/>
                <w:lang w:eastAsia="zh-CN"/>
              </w:rPr>
            </w:pPr>
            <w:r>
              <w:rPr>
                <w:rFonts w:hint="eastAsia"/>
                <w:color w:val="auto"/>
                <w:highlight w:val="none"/>
                <w:lang w:eastAsia="zh-CN"/>
              </w:rPr>
              <w:t>1、材质结构：3003H24国际标准铝材。</w:t>
            </w:r>
          </w:p>
          <w:p>
            <w:pPr>
              <w:rPr>
                <w:color w:val="auto"/>
                <w:highlight w:val="none"/>
                <w:lang w:eastAsia="zh-CN"/>
              </w:rPr>
            </w:pPr>
            <w:r>
              <w:rPr>
                <w:rFonts w:hint="eastAsia"/>
                <w:color w:val="auto"/>
                <w:highlight w:val="none"/>
                <w:lang w:eastAsia="zh-CN"/>
              </w:rPr>
              <w:t>2、板材厚度：≥1.0或1.5 mm（具体详见图纸）。</w:t>
            </w:r>
          </w:p>
          <w:p>
            <w:pPr>
              <w:rPr>
                <w:color w:val="auto"/>
                <w:highlight w:val="none"/>
                <w:lang w:eastAsia="zh-CN"/>
              </w:rPr>
            </w:pPr>
            <w:r>
              <w:rPr>
                <w:rFonts w:hint="eastAsia"/>
                <w:color w:val="auto"/>
                <w:highlight w:val="none"/>
                <w:lang w:eastAsia="zh-CN"/>
              </w:rPr>
              <w:t>3、表面处理：辊涂（平均涂膜厚度≥25µM，最小局部膜厚≥23 µM）或静电粉末喷涂。</w:t>
            </w:r>
          </w:p>
          <w:p>
            <w:pPr>
              <w:rPr>
                <w:color w:val="auto"/>
                <w:highlight w:val="none"/>
                <w:lang w:eastAsia="zh-CN"/>
              </w:rPr>
            </w:pPr>
            <w:r>
              <w:rPr>
                <w:rFonts w:hint="eastAsia"/>
                <w:color w:val="auto"/>
                <w:highlight w:val="none"/>
                <w:lang w:eastAsia="zh-CN"/>
              </w:rPr>
              <w:t>4、耐腐蚀性：符合（GB/T11942）检测标准。</w:t>
            </w:r>
          </w:p>
          <w:p>
            <w:pPr>
              <w:rPr>
                <w:color w:val="auto"/>
                <w:highlight w:val="none"/>
                <w:lang w:eastAsia="zh-CN"/>
              </w:rPr>
            </w:pPr>
            <w:r>
              <w:rPr>
                <w:color w:val="auto"/>
                <w:highlight w:val="none"/>
                <w:lang w:eastAsia="zh-CN"/>
              </w:rPr>
              <w:t>5</w:t>
            </w:r>
            <w:r>
              <w:rPr>
                <w:rFonts w:hint="eastAsia"/>
                <w:color w:val="auto"/>
                <w:highlight w:val="none"/>
                <w:lang w:eastAsia="zh-CN"/>
              </w:rPr>
              <w:t>、膜硬度（铅笔硬度）：（</w:t>
            </w:r>
            <w:r>
              <w:rPr>
                <w:color w:val="auto"/>
                <w:highlight w:val="none"/>
                <w:lang w:eastAsia="zh-CN"/>
              </w:rPr>
              <w:t>ECCA T4</w:t>
            </w:r>
            <w:r>
              <w:rPr>
                <w:rFonts w:hint="eastAsia"/>
                <w:color w:val="auto"/>
                <w:highlight w:val="none"/>
                <w:lang w:eastAsia="zh-CN"/>
              </w:rPr>
              <w:t>）≥</w:t>
            </w:r>
            <w:r>
              <w:rPr>
                <w:color w:val="auto"/>
                <w:highlight w:val="none"/>
                <w:lang w:eastAsia="zh-CN"/>
              </w:rPr>
              <w:t xml:space="preserve"> F</w:t>
            </w:r>
            <w:r>
              <w:rPr>
                <w:rFonts w:hint="eastAsia"/>
                <w:color w:val="auto"/>
                <w:highlight w:val="none"/>
                <w:lang w:eastAsia="zh-CN"/>
              </w:rPr>
              <w:t>；或用</w:t>
            </w:r>
            <w:r>
              <w:rPr>
                <w:color w:val="auto"/>
                <w:highlight w:val="none"/>
                <w:lang w:eastAsia="zh-CN"/>
              </w:rPr>
              <w:t>F</w:t>
            </w:r>
            <w:r>
              <w:rPr>
                <w:rFonts w:hint="eastAsia"/>
                <w:color w:val="auto"/>
                <w:highlight w:val="none"/>
                <w:lang w:eastAsia="zh-CN"/>
              </w:rPr>
              <w:t>级硬度铅笔对干膜刻划，膜层无划断。</w:t>
            </w:r>
          </w:p>
          <w:p>
            <w:pPr>
              <w:rPr>
                <w:color w:val="auto"/>
                <w:highlight w:val="none"/>
                <w:lang w:eastAsia="zh-CN"/>
              </w:rPr>
            </w:pPr>
            <w:r>
              <w:rPr>
                <w:color w:val="auto"/>
                <w:highlight w:val="none"/>
                <w:lang w:eastAsia="zh-CN"/>
              </w:rPr>
              <w:t>6</w:t>
            </w:r>
            <w:r>
              <w:rPr>
                <w:rFonts w:hint="eastAsia"/>
                <w:color w:val="auto"/>
                <w:highlight w:val="none"/>
                <w:lang w:eastAsia="zh-CN"/>
              </w:rPr>
              <w:t>、使用年限：＞</w:t>
            </w:r>
            <w:r>
              <w:rPr>
                <w:color w:val="auto"/>
                <w:highlight w:val="none"/>
                <w:lang w:eastAsia="zh-CN"/>
              </w:rPr>
              <w:t>15</w:t>
            </w:r>
            <w:r>
              <w:rPr>
                <w:rFonts w:hint="eastAsia"/>
                <w:color w:val="auto"/>
                <w:highlight w:val="none"/>
                <w:lang w:eastAsia="zh-CN"/>
              </w:rPr>
              <w:t>年。</w:t>
            </w:r>
          </w:p>
          <w:p>
            <w:pPr>
              <w:rPr>
                <w:color w:val="auto"/>
                <w:highlight w:val="none"/>
                <w:lang w:eastAsia="zh-CN"/>
              </w:rPr>
            </w:pPr>
            <w:r>
              <w:rPr>
                <w:color w:val="auto"/>
                <w:highlight w:val="none"/>
                <w:lang w:eastAsia="zh-CN"/>
              </w:rPr>
              <w:t>7</w:t>
            </w:r>
            <w:r>
              <w:rPr>
                <w:rFonts w:hint="eastAsia"/>
                <w:color w:val="auto"/>
                <w:highlight w:val="none"/>
                <w:lang w:eastAsia="zh-CN"/>
              </w:rPr>
              <w:t>、防火性能：能承受高温，防火等级为</w:t>
            </w:r>
            <w:r>
              <w:rPr>
                <w:color w:val="auto"/>
                <w:highlight w:val="none"/>
                <w:lang w:eastAsia="zh-CN"/>
              </w:rPr>
              <w:t xml:space="preserve">A </w:t>
            </w:r>
            <w:r>
              <w:rPr>
                <w:rFonts w:hint="eastAsia"/>
                <w:color w:val="auto"/>
                <w:highlight w:val="none"/>
                <w:lang w:eastAsia="zh-CN"/>
              </w:rPr>
              <w:t>级不燃。</w:t>
            </w:r>
          </w:p>
          <w:p>
            <w:pPr>
              <w:rPr>
                <w:color w:val="auto"/>
                <w:highlight w:val="none"/>
                <w:lang w:eastAsia="zh-CN"/>
              </w:rPr>
            </w:pPr>
            <w:r>
              <w:rPr>
                <w:color w:val="auto"/>
                <w:highlight w:val="none"/>
                <w:lang w:eastAsia="zh-CN"/>
              </w:rPr>
              <w:t>8</w:t>
            </w:r>
            <w:r>
              <w:rPr>
                <w:rFonts w:hint="eastAsia"/>
                <w:color w:val="auto"/>
                <w:highlight w:val="none"/>
                <w:lang w:eastAsia="zh-CN"/>
              </w:rPr>
              <w:t>、安装方式：专用配套龙骨，每块板可单独拆装。</w:t>
            </w:r>
          </w:p>
        </w:tc>
        <w:tc>
          <w:tcPr>
            <w:tcW w:w="1276" w:type="dxa"/>
            <w:tcBorders>
              <w:left w:val="single" w:color="000000" w:sz="6" w:space="0"/>
            </w:tcBorders>
            <w:vAlign w:val="center"/>
          </w:tcPr>
          <w:p>
            <w:pPr>
              <w:rPr>
                <w:color w:val="auto"/>
                <w:highlight w:val="none"/>
                <w:lang w:eastAsia="zh-CN"/>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708" w:type="dxa"/>
            <w:tcBorders>
              <w:right w:val="single" w:color="000000" w:sz="6" w:space="0"/>
            </w:tcBorders>
            <w:vAlign w:val="center"/>
          </w:tcPr>
          <w:p>
            <w:pPr>
              <w:rPr>
                <w:color w:val="auto"/>
                <w:highlight w:val="none"/>
                <w:lang w:eastAsia="zh-CN"/>
              </w:rPr>
            </w:pPr>
          </w:p>
        </w:tc>
        <w:tc>
          <w:tcPr>
            <w:tcW w:w="1276" w:type="dxa"/>
            <w:tcBorders>
              <w:left w:val="single" w:color="000000" w:sz="6" w:space="0"/>
              <w:right w:val="single" w:color="000000" w:sz="6" w:space="0"/>
            </w:tcBorders>
            <w:vAlign w:val="center"/>
          </w:tcPr>
          <w:p>
            <w:pPr>
              <w:rPr>
                <w:color w:val="auto"/>
                <w:highlight w:val="none"/>
              </w:rPr>
            </w:pPr>
            <w:r>
              <w:rPr>
                <w:rFonts w:hint="eastAsia"/>
                <w:color w:val="auto"/>
                <w:highlight w:val="none"/>
              </w:rPr>
              <w:t>铝合金型材</w:t>
            </w:r>
          </w:p>
        </w:tc>
        <w:tc>
          <w:tcPr>
            <w:tcW w:w="6237" w:type="dxa"/>
            <w:tcBorders>
              <w:left w:val="single" w:color="000000" w:sz="6" w:space="0"/>
              <w:right w:val="single" w:color="000000" w:sz="6" w:space="0"/>
            </w:tcBorders>
            <w:vAlign w:val="center"/>
          </w:tcPr>
          <w:p>
            <w:pPr>
              <w:rPr>
                <w:color w:val="auto"/>
                <w:highlight w:val="none"/>
                <w:lang w:eastAsia="zh-CN"/>
              </w:rPr>
            </w:pPr>
            <w:r>
              <w:rPr>
                <w:rFonts w:hint="eastAsia"/>
                <w:color w:val="auto"/>
                <w:highlight w:val="none"/>
                <w:lang w:eastAsia="zh-CN"/>
              </w:rPr>
              <w:t>应符合国家标准的相关规定及设计要求，并符合以下要求：</w:t>
            </w:r>
          </w:p>
          <w:p>
            <w:pPr>
              <w:rPr>
                <w:color w:val="auto"/>
                <w:highlight w:val="none"/>
                <w:lang w:eastAsia="zh-CN"/>
              </w:rPr>
            </w:pPr>
            <w:r>
              <w:rPr>
                <w:color w:val="auto"/>
                <w:highlight w:val="none"/>
                <w:lang w:eastAsia="zh-CN"/>
              </w:rPr>
              <w:t>1</w:t>
            </w:r>
            <w:r>
              <w:rPr>
                <w:rFonts w:hint="eastAsia"/>
                <w:color w:val="auto"/>
                <w:highlight w:val="none"/>
                <w:lang w:eastAsia="zh-CN"/>
              </w:rPr>
              <w:t>、铝合金型材应符合现行国家标准，壁厚不得小于设计要求；</w:t>
            </w:r>
            <w:r>
              <w:rPr>
                <w:color w:val="auto"/>
                <w:highlight w:val="none"/>
                <w:lang w:eastAsia="zh-CN"/>
              </w:rPr>
              <w:t xml:space="preserve"> </w:t>
            </w:r>
          </w:p>
          <w:p>
            <w:pPr>
              <w:rPr>
                <w:color w:val="auto"/>
                <w:highlight w:val="none"/>
                <w:lang w:eastAsia="zh-CN"/>
              </w:rPr>
            </w:pPr>
            <w:r>
              <w:rPr>
                <w:color w:val="auto"/>
                <w:highlight w:val="none"/>
                <w:lang w:eastAsia="zh-CN"/>
              </w:rPr>
              <w:t>2</w:t>
            </w:r>
            <w:r>
              <w:rPr>
                <w:rFonts w:hint="eastAsia"/>
                <w:color w:val="auto"/>
                <w:highlight w:val="none"/>
                <w:lang w:eastAsia="zh-CN"/>
              </w:rPr>
              <w:t>、铝型材可视表面喷涂处理：铝合金型材可视部分采用氟碳喷涂，涂层厚度不小于</w:t>
            </w:r>
            <w:r>
              <w:rPr>
                <w:color w:val="auto"/>
                <w:highlight w:val="none"/>
                <w:lang w:eastAsia="zh-CN"/>
              </w:rPr>
              <w:t>40</w:t>
            </w:r>
            <w:r>
              <w:rPr>
                <w:rFonts w:hint="eastAsia"/>
                <w:color w:val="auto"/>
                <w:highlight w:val="none"/>
              </w:rPr>
              <w:t>μ</w:t>
            </w:r>
            <w:r>
              <w:rPr>
                <w:color w:val="auto"/>
                <w:highlight w:val="none"/>
                <w:lang w:eastAsia="zh-CN"/>
              </w:rPr>
              <w:t>m</w:t>
            </w:r>
            <w:r>
              <w:rPr>
                <w:rFonts w:hint="eastAsia"/>
                <w:color w:val="auto"/>
                <w:highlight w:val="none"/>
                <w:lang w:eastAsia="zh-CN"/>
              </w:rPr>
              <w:t>；颜色以设计要求为准。</w:t>
            </w:r>
          </w:p>
        </w:tc>
        <w:tc>
          <w:tcPr>
            <w:tcW w:w="1276" w:type="dxa"/>
            <w:tcBorders>
              <w:left w:val="single" w:color="000000" w:sz="6" w:space="0"/>
            </w:tcBorders>
            <w:vAlign w:val="center"/>
          </w:tcPr>
          <w:p>
            <w:pPr>
              <w:rPr>
                <w:color w:val="auto"/>
                <w:highlight w:val="none"/>
                <w:lang w:eastAsia="zh-CN"/>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708" w:type="dxa"/>
            <w:tcBorders>
              <w:right w:val="single" w:color="000000" w:sz="6" w:space="0"/>
            </w:tcBorders>
            <w:vAlign w:val="center"/>
          </w:tcPr>
          <w:p>
            <w:pPr>
              <w:rPr>
                <w:color w:val="auto"/>
                <w:highlight w:val="none"/>
                <w:lang w:eastAsia="zh-CN"/>
              </w:rPr>
            </w:pPr>
          </w:p>
        </w:tc>
        <w:tc>
          <w:tcPr>
            <w:tcW w:w="1276" w:type="dxa"/>
            <w:tcBorders>
              <w:left w:val="single" w:color="000000" w:sz="6" w:space="0"/>
              <w:right w:val="single" w:color="000000" w:sz="6" w:space="0"/>
            </w:tcBorders>
            <w:vAlign w:val="center"/>
          </w:tcPr>
          <w:p>
            <w:pPr>
              <w:rPr>
                <w:color w:val="auto"/>
                <w:highlight w:val="none"/>
              </w:rPr>
            </w:pPr>
            <w:r>
              <w:rPr>
                <w:rFonts w:hint="eastAsia"/>
                <w:color w:val="auto"/>
                <w:highlight w:val="none"/>
              </w:rPr>
              <w:t>抗菌涂料</w:t>
            </w:r>
          </w:p>
        </w:tc>
        <w:tc>
          <w:tcPr>
            <w:tcW w:w="6237" w:type="dxa"/>
            <w:tcBorders>
              <w:left w:val="single" w:color="000000" w:sz="6" w:space="0"/>
              <w:right w:val="single" w:color="000000" w:sz="6" w:space="0"/>
            </w:tcBorders>
            <w:vAlign w:val="center"/>
          </w:tcPr>
          <w:p>
            <w:pPr>
              <w:rPr>
                <w:color w:val="auto"/>
                <w:highlight w:val="none"/>
                <w:lang w:eastAsia="zh-CN"/>
              </w:rPr>
            </w:pPr>
            <w:r>
              <w:rPr>
                <w:rFonts w:hint="eastAsia"/>
                <w:color w:val="auto"/>
                <w:highlight w:val="none"/>
                <w:lang w:eastAsia="zh-CN"/>
              </w:rPr>
              <w:t>符合设计、国家有关标准、规范、规定要求，并符合下列要求：</w:t>
            </w:r>
          </w:p>
          <w:p>
            <w:pPr>
              <w:rPr>
                <w:color w:val="auto"/>
                <w:highlight w:val="none"/>
                <w:lang w:eastAsia="zh-CN"/>
              </w:rPr>
            </w:pPr>
            <w:r>
              <w:rPr>
                <w:color w:val="auto"/>
                <w:highlight w:val="none"/>
                <w:lang w:eastAsia="zh-CN"/>
              </w:rPr>
              <w:t>1</w:t>
            </w:r>
            <w:r>
              <w:rPr>
                <w:rFonts w:hint="eastAsia"/>
                <w:color w:val="auto"/>
                <w:highlight w:val="none"/>
                <w:lang w:eastAsia="zh-CN"/>
              </w:rPr>
              <w:t>、涂料光泽：哑光。</w:t>
            </w:r>
          </w:p>
          <w:p>
            <w:pPr>
              <w:rPr>
                <w:color w:val="auto"/>
                <w:highlight w:val="none"/>
                <w:lang w:eastAsia="zh-CN"/>
              </w:rPr>
            </w:pPr>
            <w:r>
              <w:rPr>
                <w:color w:val="auto"/>
                <w:highlight w:val="none"/>
                <w:lang w:eastAsia="zh-CN"/>
              </w:rPr>
              <w:t>2</w:t>
            </w:r>
            <w:r>
              <w:rPr>
                <w:rFonts w:hint="eastAsia"/>
                <w:color w:val="auto"/>
                <w:highlight w:val="none"/>
                <w:lang w:eastAsia="zh-CN"/>
              </w:rPr>
              <w:t>、表干时间：</w:t>
            </w:r>
            <w:r>
              <w:rPr>
                <w:color w:val="auto"/>
                <w:highlight w:val="none"/>
                <w:lang w:eastAsia="zh-CN"/>
              </w:rPr>
              <w:t xml:space="preserve"> 1</w:t>
            </w:r>
            <w:r>
              <w:rPr>
                <w:rFonts w:hint="eastAsia"/>
                <w:color w:val="auto"/>
                <w:highlight w:val="none"/>
                <w:lang w:eastAsia="zh-CN"/>
              </w:rPr>
              <w:t>小时。</w:t>
            </w:r>
          </w:p>
          <w:p>
            <w:pPr>
              <w:rPr>
                <w:color w:val="auto"/>
                <w:highlight w:val="none"/>
                <w:lang w:eastAsia="zh-CN"/>
              </w:rPr>
            </w:pPr>
            <w:r>
              <w:rPr>
                <w:color w:val="auto"/>
                <w:highlight w:val="none"/>
                <w:lang w:eastAsia="zh-CN"/>
              </w:rPr>
              <w:t>3</w:t>
            </w:r>
            <w:r>
              <w:rPr>
                <w:rFonts w:hint="eastAsia"/>
                <w:color w:val="auto"/>
                <w:highlight w:val="none"/>
                <w:lang w:eastAsia="zh-CN"/>
              </w:rPr>
              <w:t>、重涂时间：</w:t>
            </w:r>
            <w:r>
              <w:rPr>
                <w:color w:val="auto"/>
                <w:highlight w:val="none"/>
                <w:lang w:eastAsia="zh-CN"/>
              </w:rPr>
              <w:t xml:space="preserve"> 2</w:t>
            </w:r>
            <w:r>
              <w:rPr>
                <w:rFonts w:hint="eastAsia"/>
                <w:color w:val="auto"/>
                <w:highlight w:val="none"/>
                <w:lang w:eastAsia="zh-CN"/>
              </w:rPr>
              <w:t>小时。</w:t>
            </w:r>
          </w:p>
          <w:p>
            <w:pPr>
              <w:rPr>
                <w:color w:val="auto"/>
                <w:highlight w:val="none"/>
                <w:lang w:eastAsia="zh-CN"/>
              </w:rPr>
            </w:pPr>
            <w:r>
              <w:rPr>
                <w:color w:val="auto"/>
                <w:highlight w:val="none"/>
                <w:lang w:eastAsia="zh-CN"/>
              </w:rPr>
              <w:t>4</w:t>
            </w:r>
            <w:r>
              <w:rPr>
                <w:rFonts w:hint="eastAsia"/>
                <w:color w:val="auto"/>
                <w:highlight w:val="none"/>
                <w:lang w:eastAsia="zh-CN"/>
              </w:rPr>
              <w:t>、涂料功能：抗菌、防霉，抗污染（提供第三方专业机构检测报告）。</w:t>
            </w:r>
          </w:p>
          <w:p>
            <w:pPr>
              <w:rPr>
                <w:color w:val="auto"/>
                <w:highlight w:val="none"/>
                <w:lang w:eastAsia="zh-CN"/>
              </w:rPr>
            </w:pPr>
            <w:r>
              <w:rPr>
                <w:color w:val="auto"/>
                <w:highlight w:val="none"/>
                <w:lang w:eastAsia="zh-CN"/>
              </w:rPr>
              <w:t>5</w:t>
            </w:r>
            <w:r>
              <w:rPr>
                <w:rFonts w:hint="eastAsia"/>
                <w:color w:val="auto"/>
                <w:highlight w:val="none"/>
                <w:lang w:eastAsia="zh-CN"/>
              </w:rPr>
              <w:t>、安全性能：不添加铅、汞及其化合物，无毒无味、安全环保。</w:t>
            </w:r>
          </w:p>
          <w:p>
            <w:pPr>
              <w:rPr>
                <w:color w:val="auto"/>
                <w:highlight w:val="none"/>
              </w:rPr>
            </w:pPr>
            <w:r>
              <w:rPr>
                <w:color w:val="auto"/>
                <w:highlight w:val="none"/>
              </w:rPr>
              <w:t>6</w:t>
            </w:r>
            <w:r>
              <w:rPr>
                <w:rFonts w:hint="eastAsia"/>
                <w:color w:val="auto"/>
                <w:highlight w:val="none"/>
              </w:rPr>
              <w:t>、耐擦洗性：不低于</w:t>
            </w:r>
            <w:r>
              <w:rPr>
                <w:color w:val="auto"/>
                <w:highlight w:val="none"/>
              </w:rPr>
              <w:t>18000</w:t>
            </w:r>
            <w:r>
              <w:rPr>
                <w:rFonts w:hint="eastAsia"/>
                <w:color w:val="auto"/>
                <w:highlight w:val="none"/>
              </w:rPr>
              <w:t>次。</w:t>
            </w:r>
          </w:p>
          <w:p>
            <w:pPr>
              <w:rPr>
                <w:color w:val="auto"/>
                <w:highlight w:val="none"/>
                <w:lang w:eastAsia="zh-CN"/>
              </w:rPr>
            </w:pPr>
            <w:r>
              <w:rPr>
                <w:color w:val="auto"/>
                <w:highlight w:val="none"/>
                <w:lang w:eastAsia="zh-CN"/>
              </w:rPr>
              <w:t>7</w:t>
            </w:r>
            <w:r>
              <w:rPr>
                <w:rFonts w:hint="eastAsia"/>
                <w:color w:val="auto"/>
                <w:highlight w:val="none"/>
                <w:lang w:eastAsia="zh-CN"/>
              </w:rPr>
              <w:t>、耐化学品性：能耐一般清洁剂。</w:t>
            </w:r>
          </w:p>
          <w:p>
            <w:pPr>
              <w:rPr>
                <w:color w:val="auto"/>
                <w:highlight w:val="none"/>
              </w:rPr>
            </w:pPr>
            <w:r>
              <w:rPr>
                <w:color w:val="auto"/>
                <w:highlight w:val="none"/>
              </w:rPr>
              <w:t>8</w:t>
            </w:r>
            <w:r>
              <w:rPr>
                <w:rFonts w:hint="eastAsia"/>
                <w:color w:val="auto"/>
                <w:highlight w:val="none"/>
              </w:rPr>
              <w:t>、完成后漆干膜厚度：≥</w:t>
            </w:r>
            <w:r>
              <w:rPr>
                <w:color w:val="auto"/>
                <w:highlight w:val="none"/>
              </w:rPr>
              <w:t>90</w:t>
            </w:r>
            <w:r>
              <w:rPr>
                <w:rFonts w:hint="eastAsia"/>
                <w:color w:val="auto"/>
                <w:highlight w:val="none"/>
              </w:rPr>
              <w:t>微米（涂刷</w:t>
            </w:r>
            <w:r>
              <w:rPr>
                <w:color w:val="auto"/>
                <w:highlight w:val="none"/>
              </w:rPr>
              <w:t>3</w:t>
            </w:r>
            <w:r>
              <w:rPr>
                <w:rFonts w:hint="eastAsia"/>
                <w:color w:val="auto"/>
                <w:highlight w:val="none"/>
              </w:rPr>
              <w:t>遍）。</w:t>
            </w:r>
          </w:p>
          <w:p>
            <w:pPr>
              <w:rPr>
                <w:color w:val="auto"/>
                <w:highlight w:val="none"/>
                <w:lang w:eastAsia="zh-CN"/>
              </w:rPr>
            </w:pPr>
            <w:r>
              <w:rPr>
                <w:color w:val="auto"/>
                <w:highlight w:val="none"/>
                <w:lang w:eastAsia="zh-CN"/>
              </w:rPr>
              <w:t>9</w:t>
            </w:r>
            <w:r>
              <w:rPr>
                <w:rFonts w:hint="eastAsia"/>
                <w:color w:val="auto"/>
                <w:highlight w:val="none"/>
                <w:lang w:eastAsia="zh-CN"/>
              </w:rPr>
              <w:t>、涂刷次数：</w:t>
            </w:r>
            <w:r>
              <w:rPr>
                <w:color w:val="auto"/>
                <w:highlight w:val="none"/>
                <w:lang w:eastAsia="zh-CN"/>
              </w:rPr>
              <w:t>1</w:t>
            </w:r>
            <w:r>
              <w:rPr>
                <w:rFonts w:hint="eastAsia"/>
                <w:color w:val="auto"/>
                <w:highlight w:val="none"/>
                <w:lang w:eastAsia="zh-CN"/>
              </w:rPr>
              <w:t>底</w:t>
            </w:r>
            <w:r>
              <w:rPr>
                <w:color w:val="auto"/>
                <w:highlight w:val="none"/>
                <w:lang w:eastAsia="zh-CN"/>
              </w:rPr>
              <w:t>2</w:t>
            </w:r>
            <w:r>
              <w:rPr>
                <w:rFonts w:hint="eastAsia"/>
                <w:color w:val="auto"/>
                <w:highlight w:val="none"/>
                <w:lang w:eastAsia="zh-CN"/>
              </w:rPr>
              <w:t>面（每次干膜厚度≥</w:t>
            </w:r>
            <w:r>
              <w:rPr>
                <w:color w:val="auto"/>
                <w:highlight w:val="none"/>
                <w:lang w:eastAsia="zh-CN"/>
              </w:rPr>
              <w:t>30</w:t>
            </w:r>
            <w:r>
              <w:rPr>
                <w:rFonts w:hint="eastAsia"/>
                <w:color w:val="auto"/>
                <w:highlight w:val="none"/>
                <w:lang w:eastAsia="zh-CN"/>
              </w:rPr>
              <w:t>微米）。</w:t>
            </w:r>
          </w:p>
        </w:tc>
        <w:tc>
          <w:tcPr>
            <w:tcW w:w="1276" w:type="dxa"/>
            <w:tcBorders>
              <w:left w:val="single" w:color="000000" w:sz="6" w:space="0"/>
            </w:tcBorders>
            <w:vAlign w:val="center"/>
          </w:tcPr>
          <w:p>
            <w:pPr>
              <w:rPr>
                <w:color w:val="auto"/>
                <w:highlight w:val="none"/>
                <w:lang w:eastAsia="zh-CN"/>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708" w:type="dxa"/>
            <w:tcBorders>
              <w:right w:val="single" w:color="000000" w:sz="6" w:space="0"/>
            </w:tcBorders>
            <w:vAlign w:val="center"/>
          </w:tcPr>
          <w:p>
            <w:pPr>
              <w:rPr>
                <w:color w:val="auto"/>
                <w:highlight w:val="none"/>
                <w:lang w:eastAsia="zh-CN"/>
              </w:rPr>
            </w:pPr>
          </w:p>
        </w:tc>
        <w:tc>
          <w:tcPr>
            <w:tcW w:w="1276" w:type="dxa"/>
            <w:tcBorders>
              <w:left w:val="single" w:color="000000" w:sz="6" w:space="0"/>
              <w:right w:val="single" w:color="000000" w:sz="6" w:space="0"/>
            </w:tcBorders>
            <w:vAlign w:val="center"/>
          </w:tcPr>
          <w:p>
            <w:pPr>
              <w:rPr>
                <w:color w:val="auto"/>
                <w:highlight w:val="none"/>
                <w:lang w:eastAsia="zh-CN"/>
              </w:rPr>
            </w:pPr>
            <w:r>
              <w:rPr>
                <w:rFonts w:hint="eastAsia"/>
                <w:color w:val="auto"/>
                <w:highlight w:val="none"/>
                <w:lang w:eastAsia="zh-CN"/>
              </w:rPr>
              <w:t>手术室墙面、天花抗菌漆</w:t>
            </w:r>
          </w:p>
        </w:tc>
        <w:tc>
          <w:tcPr>
            <w:tcW w:w="6237" w:type="dxa"/>
            <w:tcBorders>
              <w:left w:val="single" w:color="000000" w:sz="6" w:space="0"/>
              <w:right w:val="single" w:color="000000" w:sz="6" w:space="0"/>
            </w:tcBorders>
            <w:vAlign w:val="center"/>
          </w:tcPr>
          <w:p>
            <w:pPr>
              <w:rPr>
                <w:color w:val="auto"/>
                <w:highlight w:val="none"/>
                <w:lang w:eastAsia="zh-CN"/>
              </w:rPr>
            </w:pPr>
            <w:r>
              <w:rPr>
                <w:rFonts w:hint="eastAsia"/>
                <w:color w:val="auto"/>
                <w:highlight w:val="none"/>
                <w:lang w:eastAsia="zh-CN"/>
              </w:rPr>
              <w:t>1、符合医用要求、环保、抗菌水性涂料，喷涂后形成的漆膜应具有良好的抗菌性与耐腐蚀性；</w:t>
            </w:r>
          </w:p>
          <w:p>
            <w:pPr>
              <w:rPr>
                <w:color w:val="auto"/>
                <w:highlight w:val="none"/>
                <w:lang w:eastAsia="zh-CN"/>
              </w:rPr>
            </w:pPr>
            <w:r>
              <w:rPr>
                <w:color w:val="auto"/>
                <w:highlight w:val="none"/>
                <w:lang w:eastAsia="zh-CN"/>
              </w:rPr>
              <w:t>2、应选用专用于金属表面、底面两用产品系列；</w:t>
            </w:r>
          </w:p>
          <w:p>
            <w:pPr>
              <w:rPr>
                <w:color w:val="auto"/>
                <w:highlight w:val="none"/>
                <w:lang w:eastAsia="zh-CN"/>
              </w:rPr>
            </w:pPr>
            <w:r>
              <w:rPr>
                <w:color w:val="auto"/>
                <w:highlight w:val="none"/>
                <w:lang w:eastAsia="zh-CN"/>
              </w:rPr>
              <w:t>3、光泽：平光；</w:t>
            </w:r>
          </w:p>
          <w:p>
            <w:pPr>
              <w:rPr>
                <w:color w:val="auto"/>
                <w:highlight w:val="none"/>
                <w:lang w:eastAsia="zh-CN"/>
              </w:rPr>
            </w:pPr>
            <w:r>
              <w:rPr>
                <w:color w:val="auto"/>
                <w:highlight w:val="none"/>
                <w:lang w:eastAsia="zh-CN"/>
              </w:rPr>
              <w:t>4、环保要求：挥发性有机化合物VOC含量&lt;1.25 lb/gal（150 g/l）</w:t>
            </w:r>
            <w:r>
              <w:rPr>
                <w:rFonts w:hint="eastAsia"/>
                <w:color w:val="auto"/>
                <w:highlight w:val="none"/>
                <w:lang w:eastAsia="zh-CN"/>
              </w:rPr>
              <w:t>；</w:t>
            </w:r>
          </w:p>
        </w:tc>
        <w:tc>
          <w:tcPr>
            <w:tcW w:w="1276" w:type="dxa"/>
            <w:tcBorders>
              <w:left w:val="single" w:color="000000" w:sz="6" w:space="0"/>
            </w:tcBorders>
            <w:vAlign w:val="center"/>
          </w:tcPr>
          <w:p>
            <w:pPr>
              <w:rPr>
                <w:color w:val="auto"/>
                <w:highlight w:val="none"/>
                <w:lang w:eastAsia="zh-CN"/>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708" w:type="dxa"/>
            <w:tcBorders>
              <w:right w:val="single" w:color="000000" w:sz="6" w:space="0"/>
            </w:tcBorders>
            <w:vAlign w:val="center"/>
          </w:tcPr>
          <w:p>
            <w:pPr>
              <w:rPr>
                <w:color w:val="auto"/>
                <w:highlight w:val="none"/>
                <w:lang w:eastAsia="zh-CN"/>
              </w:rPr>
            </w:pPr>
          </w:p>
        </w:tc>
        <w:tc>
          <w:tcPr>
            <w:tcW w:w="1276" w:type="dxa"/>
            <w:tcBorders>
              <w:left w:val="single" w:color="000000" w:sz="6" w:space="0"/>
              <w:right w:val="single" w:color="000000" w:sz="6" w:space="0"/>
            </w:tcBorders>
            <w:vAlign w:val="center"/>
          </w:tcPr>
          <w:p>
            <w:pPr>
              <w:rPr>
                <w:color w:val="auto"/>
                <w:highlight w:val="none"/>
              </w:rPr>
            </w:pPr>
            <w:r>
              <w:rPr>
                <w:rFonts w:hint="eastAsia"/>
                <w:color w:val="auto"/>
                <w:highlight w:val="none"/>
              </w:rPr>
              <w:t>1.2mm厚电解钢板</w:t>
            </w:r>
          </w:p>
        </w:tc>
        <w:tc>
          <w:tcPr>
            <w:tcW w:w="6237" w:type="dxa"/>
            <w:tcBorders>
              <w:left w:val="single" w:color="000000" w:sz="6" w:space="0"/>
              <w:right w:val="single" w:color="000000" w:sz="6" w:space="0"/>
            </w:tcBorders>
            <w:vAlign w:val="center"/>
          </w:tcPr>
          <w:p>
            <w:pPr>
              <w:rPr>
                <w:color w:val="auto"/>
                <w:highlight w:val="none"/>
                <w:lang w:eastAsia="zh-CN"/>
              </w:rPr>
            </w:pPr>
            <w:r>
              <w:rPr>
                <w:rFonts w:hint="eastAsia"/>
                <w:color w:val="auto"/>
                <w:highlight w:val="none"/>
                <w:lang w:eastAsia="zh-CN"/>
              </w:rPr>
              <w:t>1、电解钢板和</w:t>
            </w:r>
            <w:r>
              <w:rPr>
                <w:color w:val="auto"/>
                <w:highlight w:val="none"/>
                <w:lang w:eastAsia="zh-CN"/>
              </w:rPr>
              <w:t>石膏板</w:t>
            </w:r>
            <w:r>
              <w:rPr>
                <w:rFonts w:hint="eastAsia"/>
                <w:color w:val="auto"/>
                <w:highlight w:val="none"/>
                <w:lang w:eastAsia="zh-CN"/>
              </w:rPr>
              <w:t>背板符合设计、国家有关标准、规范、规定要求。</w:t>
            </w:r>
          </w:p>
          <w:p>
            <w:pPr>
              <w:rPr>
                <w:color w:val="auto"/>
                <w:highlight w:val="none"/>
                <w:lang w:eastAsia="zh-CN"/>
              </w:rPr>
            </w:pPr>
            <w:r>
              <w:rPr>
                <w:rFonts w:hint="eastAsia"/>
                <w:color w:val="auto"/>
                <w:highlight w:val="none"/>
                <w:lang w:eastAsia="zh-CN"/>
              </w:rPr>
              <w:t>2、</w:t>
            </w:r>
            <w:r>
              <w:rPr>
                <w:color w:val="auto"/>
                <w:highlight w:val="none"/>
                <w:lang w:eastAsia="zh-CN"/>
              </w:rPr>
              <w:t>石膏板</w:t>
            </w:r>
            <w:r>
              <w:rPr>
                <w:rFonts w:hint="eastAsia"/>
                <w:color w:val="auto"/>
                <w:highlight w:val="none"/>
                <w:lang w:eastAsia="zh-CN"/>
              </w:rPr>
              <w:t>背板，要求在背板在工厂加工成型，表面喷涂环保抗菌涂料，达到抗菌、耐腐蚀、现场安装，整体完成面光滑平整。严禁在现场加工背板，材料进场前申报电解钢板品牌及背板加工厂家，得到监理工程师、业主认可后方可进场。</w:t>
            </w:r>
          </w:p>
          <w:p>
            <w:pPr>
              <w:rPr>
                <w:color w:val="auto"/>
                <w:highlight w:val="none"/>
                <w:lang w:eastAsia="zh-CN"/>
              </w:rPr>
            </w:pPr>
            <w:r>
              <w:rPr>
                <w:rFonts w:hint="eastAsia"/>
                <w:color w:val="auto"/>
                <w:highlight w:val="none"/>
                <w:lang w:eastAsia="zh-CN"/>
              </w:rPr>
              <w:t>3、手术室内电解钢板墙面需采用装配式模块化设计，墙体模块在工厂一次成型，现场不得切割或焊接，每块墙板均可自由拆卸，满足手术室升级改造需求。</w:t>
            </w:r>
          </w:p>
          <w:p>
            <w:pPr>
              <w:rPr>
                <w:color w:val="auto"/>
                <w:highlight w:val="none"/>
                <w:lang w:eastAsia="zh-CN"/>
              </w:rPr>
            </w:pPr>
            <w:r>
              <w:rPr>
                <w:rFonts w:hint="eastAsia"/>
                <w:color w:val="auto"/>
                <w:highlight w:val="none"/>
                <w:lang w:eastAsia="zh-CN"/>
              </w:rPr>
              <w:t>4、尺寸、样式须经甲方、使用方、设计认可。</w:t>
            </w:r>
          </w:p>
        </w:tc>
        <w:tc>
          <w:tcPr>
            <w:tcW w:w="1276" w:type="dxa"/>
            <w:tcBorders>
              <w:left w:val="single" w:color="000000" w:sz="6" w:space="0"/>
            </w:tcBorders>
            <w:vAlign w:val="center"/>
          </w:tcPr>
          <w:p>
            <w:pPr>
              <w:rPr>
                <w:color w:val="auto"/>
                <w:highlight w:val="none"/>
                <w:lang w:eastAsia="zh-CN"/>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708" w:type="dxa"/>
            <w:tcBorders>
              <w:right w:val="single" w:color="000000" w:sz="6" w:space="0"/>
            </w:tcBorders>
            <w:vAlign w:val="center"/>
          </w:tcPr>
          <w:p>
            <w:pPr>
              <w:rPr>
                <w:color w:val="auto"/>
                <w:highlight w:val="none"/>
                <w:lang w:eastAsia="zh-CN"/>
              </w:rPr>
            </w:pPr>
          </w:p>
        </w:tc>
        <w:tc>
          <w:tcPr>
            <w:tcW w:w="1276" w:type="dxa"/>
            <w:tcBorders>
              <w:left w:val="single" w:color="000000" w:sz="6" w:space="0"/>
              <w:right w:val="single" w:color="000000" w:sz="6" w:space="0"/>
            </w:tcBorders>
            <w:vAlign w:val="center"/>
          </w:tcPr>
          <w:p>
            <w:pPr>
              <w:rPr>
                <w:color w:val="auto"/>
                <w:highlight w:val="none"/>
              </w:rPr>
            </w:pPr>
            <w:r>
              <w:rPr>
                <w:rFonts w:hint="eastAsia"/>
                <w:color w:val="auto"/>
                <w:highlight w:val="none"/>
              </w:rPr>
              <w:t>卫浴镜专用防雾膜</w:t>
            </w:r>
          </w:p>
        </w:tc>
        <w:tc>
          <w:tcPr>
            <w:tcW w:w="6237" w:type="dxa"/>
            <w:tcBorders>
              <w:left w:val="single" w:color="000000" w:sz="6" w:space="0"/>
              <w:right w:val="single" w:color="000000" w:sz="6" w:space="0"/>
            </w:tcBorders>
            <w:vAlign w:val="center"/>
          </w:tcPr>
          <w:p>
            <w:pPr>
              <w:rPr>
                <w:color w:val="auto"/>
                <w:highlight w:val="none"/>
                <w:lang w:eastAsia="zh-CN"/>
              </w:rPr>
            </w:pPr>
            <w:r>
              <w:rPr>
                <w:rFonts w:hint="eastAsia"/>
                <w:color w:val="auto"/>
                <w:highlight w:val="none"/>
                <w:lang w:eastAsia="zh-CN"/>
              </w:rPr>
              <w:t>符合设计、国家有关标准、规范、规定要求，并符合下列要求：</w:t>
            </w:r>
          </w:p>
          <w:p>
            <w:pPr>
              <w:rPr>
                <w:color w:val="auto"/>
                <w:highlight w:val="none"/>
                <w:lang w:eastAsia="zh-CN"/>
              </w:rPr>
            </w:pPr>
            <w:r>
              <w:rPr>
                <w:color w:val="auto"/>
                <w:highlight w:val="none"/>
                <w:lang w:eastAsia="zh-CN"/>
              </w:rPr>
              <w:t>1</w:t>
            </w:r>
            <w:r>
              <w:rPr>
                <w:rFonts w:hint="eastAsia"/>
                <w:color w:val="auto"/>
                <w:highlight w:val="none"/>
                <w:lang w:eastAsia="zh-CN"/>
              </w:rPr>
              <w:t>、产品类型：洗手间镜面防雾用材。</w:t>
            </w:r>
          </w:p>
          <w:p>
            <w:pPr>
              <w:rPr>
                <w:color w:val="auto"/>
                <w:highlight w:val="none"/>
                <w:lang w:eastAsia="zh-CN"/>
              </w:rPr>
            </w:pPr>
            <w:r>
              <w:rPr>
                <w:color w:val="auto"/>
                <w:highlight w:val="none"/>
                <w:lang w:eastAsia="zh-CN"/>
              </w:rPr>
              <w:t>2</w:t>
            </w:r>
            <w:r>
              <w:rPr>
                <w:rFonts w:hint="eastAsia"/>
                <w:color w:val="auto"/>
                <w:highlight w:val="none"/>
                <w:lang w:eastAsia="zh-CN"/>
              </w:rPr>
              <w:t>、材料结构：双面</w:t>
            </w:r>
            <w:r>
              <w:rPr>
                <w:color w:val="auto"/>
                <w:highlight w:val="none"/>
                <w:lang w:eastAsia="zh-CN"/>
              </w:rPr>
              <w:t>PET</w:t>
            </w:r>
            <w:r>
              <w:rPr>
                <w:rFonts w:hint="eastAsia"/>
                <w:color w:val="auto"/>
                <w:highlight w:val="none"/>
                <w:lang w:eastAsia="zh-CN"/>
              </w:rPr>
              <w:t>绝缘</w:t>
            </w:r>
            <w:r>
              <w:rPr>
                <w:color w:val="auto"/>
                <w:highlight w:val="none"/>
                <w:lang w:eastAsia="zh-CN"/>
              </w:rPr>
              <w:t xml:space="preserve"> PTC</w:t>
            </w:r>
            <w:r>
              <w:rPr>
                <w:rFonts w:hint="eastAsia"/>
                <w:color w:val="auto"/>
                <w:highlight w:val="none"/>
                <w:lang w:eastAsia="zh-CN"/>
              </w:rPr>
              <w:t>金属合金发热体。</w:t>
            </w:r>
          </w:p>
          <w:p>
            <w:pPr>
              <w:rPr>
                <w:color w:val="auto"/>
                <w:highlight w:val="none"/>
                <w:lang w:eastAsia="zh-CN"/>
              </w:rPr>
            </w:pPr>
            <w:r>
              <w:rPr>
                <w:color w:val="auto"/>
                <w:highlight w:val="none"/>
                <w:lang w:eastAsia="zh-CN"/>
              </w:rPr>
              <w:t>3</w:t>
            </w:r>
            <w:r>
              <w:rPr>
                <w:rFonts w:hint="eastAsia"/>
                <w:color w:val="auto"/>
                <w:highlight w:val="none"/>
                <w:lang w:eastAsia="zh-CN"/>
              </w:rPr>
              <w:t>、发热方式：远红外辅射。</w:t>
            </w:r>
          </w:p>
          <w:p>
            <w:pPr>
              <w:rPr>
                <w:color w:val="auto"/>
                <w:highlight w:val="none"/>
                <w:lang w:eastAsia="zh-CN"/>
              </w:rPr>
            </w:pPr>
            <w:r>
              <w:rPr>
                <w:color w:val="auto"/>
                <w:highlight w:val="none"/>
                <w:lang w:eastAsia="zh-CN"/>
              </w:rPr>
              <w:t>4</w:t>
            </w:r>
            <w:r>
              <w:rPr>
                <w:rFonts w:hint="eastAsia"/>
                <w:color w:val="auto"/>
                <w:highlight w:val="none"/>
                <w:lang w:eastAsia="zh-CN"/>
              </w:rPr>
              <w:t>、电热转换效率：</w:t>
            </w:r>
            <w:r>
              <w:rPr>
                <w:color w:val="auto"/>
                <w:highlight w:val="none"/>
                <w:lang w:eastAsia="zh-CN"/>
              </w:rPr>
              <w:t xml:space="preserve">98% </w:t>
            </w:r>
            <w:r>
              <w:rPr>
                <w:rFonts w:hint="eastAsia"/>
                <w:color w:val="auto"/>
                <w:highlight w:val="none"/>
                <w:lang w:eastAsia="zh-CN"/>
              </w:rPr>
              <w:t>以上。</w:t>
            </w:r>
          </w:p>
          <w:p>
            <w:pPr>
              <w:rPr>
                <w:color w:val="auto"/>
                <w:highlight w:val="none"/>
                <w:lang w:eastAsia="zh-CN"/>
              </w:rPr>
            </w:pPr>
            <w:r>
              <w:rPr>
                <w:color w:val="auto"/>
                <w:highlight w:val="none"/>
                <w:lang w:eastAsia="zh-CN"/>
              </w:rPr>
              <w:t>5</w:t>
            </w:r>
            <w:r>
              <w:rPr>
                <w:rFonts w:hint="eastAsia"/>
                <w:color w:val="auto"/>
                <w:highlight w:val="none"/>
                <w:lang w:eastAsia="zh-CN"/>
              </w:rPr>
              <w:t>、额顶电压：</w:t>
            </w:r>
            <w:r>
              <w:rPr>
                <w:color w:val="auto"/>
                <w:highlight w:val="none"/>
                <w:lang w:eastAsia="zh-CN"/>
              </w:rPr>
              <w:t>220 V/50HZ</w:t>
            </w:r>
            <w:r>
              <w:rPr>
                <w:rFonts w:hint="eastAsia"/>
                <w:color w:val="auto"/>
                <w:highlight w:val="none"/>
                <w:lang w:eastAsia="zh-CN"/>
              </w:rPr>
              <w:t>。</w:t>
            </w:r>
          </w:p>
          <w:p>
            <w:pPr>
              <w:rPr>
                <w:color w:val="auto"/>
                <w:highlight w:val="none"/>
                <w:lang w:eastAsia="zh-CN"/>
              </w:rPr>
            </w:pPr>
            <w:r>
              <w:rPr>
                <w:color w:val="auto"/>
                <w:highlight w:val="none"/>
                <w:lang w:eastAsia="zh-CN"/>
              </w:rPr>
              <w:t>6</w:t>
            </w:r>
            <w:r>
              <w:rPr>
                <w:rFonts w:hint="eastAsia"/>
                <w:color w:val="auto"/>
                <w:highlight w:val="none"/>
                <w:lang w:eastAsia="zh-CN"/>
              </w:rPr>
              <w:t>、面积功率：</w:t>
            </w:r>
            <w:r>
              <w:rPr>
                <w:color w:val="auto"/>
                <w:highlight w:val="none"/>
                <w:lang w:eastAsia="zh-CN"/>
              </w:rPr>
              <w:t>180-250 W/ m2</w:t>
            </w:r>
            <w:r>
              <w:rPr>
                <w:rFonts w:hint="eastAsia"/>
                <w:color w:val="auto"/>
                <w:highlight w:val="none"/>
                <w:lang w:eastAsia="zh-CN"/>
              </w:rPr>
              <w:t>。</w:t>
            </w:r>
          </w:p>
          <w:p>
            <w:pPr>
              <w:rPr>
                <w:color w:val="auto"/>
                <w:highlight w:val="none"/>
                <w:lang w:eastAsia="zh-CN"/>
              </w:rPr>
            </w:pPr>
            <w:r>
              <w:rPr>
                <w:color w:val="auto"/>
                <w:highlight w:val="none"/>
                <w:lang w:eastAsia="zh-CN"/>
              </w:rPr>
              <w:t>7</w:t>
            </w:r>
            <w:r>
              <w:rPr>
                <w:rFonts w:hint="eastAsia"/>
                <w:color w:val="auto"/>
                <w:highlight w:val="none"/>
                <w:lang w:eastAsia="zh-CN"/>
              </w:rPr>
              <w:t>、温升平均值：</w:t>
            </w:r>
            <w:r>
              <w:rPr>
                <w:color w:val="auto"/>
                <w:highlight w:val="none"/>
                <w:lang w:eastAsia="zh-CN"/>
              </w:rPr>
              <w:t>10-20</w:t>
            </w:r>
            <w:r>
              <w:rPr>
                <w:rFonts w:hint="eastAsia"/>
                <w:color w:val="auto"/>
                <w:highlight w:val="none"/>
                <w:lang w:eastAsia="zh-CN"/>
              </w:rPr>
              <w:t>℃。</w:t>
            </w:r>
          </w:p>
          <w:p>
            <w:pPr>
              <w:rPr>
                <w:color w:val="auto"/>
                <w:highlight w:val="none"/>
                <w:lang w:eastAsia="zh-CN"/>
              </w:rPr>
            </w:pPr>
            <w:r>
              <w:rPr>
                <w:color w:val="auto"/>
                <w:highlight w:val="none"/>
                <w:lang w:eastAsia="zh-CN"/>
              </w:rPr>
              <w:t>8</w:t>
            </w:r>
            <w:r>
              <w:rPr>
                <w:rFonts w:hint="eastAsia"/>
                <w:color w:val="auto"/>
                <w:highlight w:val="none"/>
                <w:lang w:eastAsia="zh-CN"/>
              </w:rPr>
              <w:t>、耐冲击电压：</w:t>
            </w:r>
            <w:r>
              <w:rPr>
                <w:color w:val="auto"/>
                <w:highlight w:val="none"/>
                <w:lang w:eastAsia="zh-CN"/>
              </w:rPr>
              <w:t>3750 V</w:t>
            </w:r>
            <w:r>
              <w:rPr>
                <w:rFonts w:hint="eastAsia"/>
                <w:color w:val="auto"/>
                <w:highlight w:val="none"/>
                <w:lang w:eastAsia="zh-CN"/>
              </w:rPr>
              <w:t>。</w:t>
            </w:r>
          </w:p>
          <w:p>
            <w:pPr>
              <w:rPr>
                <w:color w:val="auto"/>
                <w:highlight w:val="none"/>
                <w:lang w:eastAsia="zh-CN"/>
              </w:rPr>
            </w:pPr>
            <w:r>
              <w:rPr>
                <w:color w:val="auto"/>
                <w:highlight w:val="none"/>
                <w:lang w:eastAsia="zh-CN"/>
              </w:rPr>
              <w:t>9</w:t>
            </w:r>
            <w:r>
              <w:rPr>
                <w:rFonts w:hint="eastAsia"/>
                <w:color w:val="auto"/>
                <w:highlight w:val="none"/>
                <w:lang w:eastAsia="zh-CN"/>
              </w:rPr>
              <w:t>、使用寿命：</w:t>
            </w:r>
            <w:r>
              <w:rPr>
                <w:color w:val="auto"/>
                <w:highlight w:val="none"/>
                <w:lang w:eastAsia="zh-CN"/>
              </w:rPr>
              <w:t>30-50</w:t>
            </w:r>
            <w:r>
              <w:rPr>
                <w:rFonts w:hint="eastAsia"/>
                <w:color w:val="auto"/>
                <w:highlight w:val="none"/>
                <w:lang w:eastAsia="zh-CN"/>
              </w:rPr>
              <w:t>年。</w:t>
            </w:r>
          </w:p>
          <w:p>
            <w:pPr>
              <w:rPr>
                <w:color w:val="auto"/>
                <w:highlight w:val="none"/>
                <w:lang w:eastAsia="zh-CN"/>
              </w:rPr>
            </w:pPr>
            <w:r>
              <w:rPr>
                <w:color w:val="auto"/>
                <w:highlight w:val="none"/>
                <w:lang w:eastAsia="zh-CN"/>
              </w:rPr>
              <w:t>10</w:t>
            </w:r>
            <w:r>
              <w:rPr>
                <w:rFonts w:hint="eastAsia"/>
                <w:color w:val="auto"/>
                <w:highlight w:val="none"/>
                <w:lang w:eastAsia="zh-CN"/>
              </w:rPr>
              <w:t>、控制方式：自动控制，有雾时自动通电发热，无雾时自动断电。</w:t>
            </w:r>
          </w:p>
        </w:tc>
        <w:tc>
          <w:tcPr>
            <w:tcW w:w="1276" w:type="dxa"/>
            <w:tcBorders>
              <w:left w:val="single" w:color="000000" w:sz="6" w:space="0"/>
            </w:tcBorders>
            <w:vAlign w:val="center"/>
          </w:tcPr>
          <w:p>
            <w:pPr>
              <w:rPr>
                <w:color w:val="auto"/>
                <w:highlight w:val="none"/>
                <w:lang w:eastAsia="zh-CN"/>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708" w:type="dxa"/>
            <w:tcBorders>
              <w:right w:val="single" w:color="000000" w:sz="6" w:space="0"/>
            </w:tcBorders>
            <w:vAlign w:val="center"/>
          </w:tcPr>
          <w:p>
            <w:pPr>
              <w:rPr>
                <w:color w:val="auto"/>
                <w:highlight w:val="none"/>
                <w:lang w:eastAsia="zh-CN"/>
              </w:rPr>
            </w:pPr>
          </w:p>
        </w:tc>
        <w:tc>
          <w:tcPr>
            <w:tcW w:w="1276" w:type="dxa"/>
            <w:tcBorders>
              <w:left w:val="single" w:color="000000" w:sz="6" w:space="0"/>
              <w:right w:val="single" w:color="000000" w:sz="6" w:space="0"/>
            </w:tcBorders>
            <w:vAlign w:val="center"/>
          </w:tcPr>
          <w:p>
            <w:pPr>
              <w:rPr>
                <w:color w:val="auto"/>
                <w:highlight w:val="none"/>
              </w:rPr>
            </w:pPr>
            <w:r>
              <w:rPr>
                <w:rFonts w:hint="eastAsia"/>
                <w:color w:val="auto"/>
                <w:highlight w:val="none"/>
                <w:lang w:bidi="ar"/>
              </w:rPr>
              <w:t>无机预涂装饰板</w:t>
            </w:r>
          </w:p>
        </w:tc>
        <w:tc>
          <w:tcPr>
            <w:tcW w:w="6237" w:type="dxa"/>
            <w:tcBorders>
              <w:left w:val="single" w:color="000000" w:sz="6" w:space="0"/>
              <w:right w:val="single" w:color="000000" w:sz="6" w:space="0"/>
            </w:tcBorders>
            <w:vAlign w:val="center"/>
          </w:tcPr>
          <w:p>
            <w:pPr>
              <w:keepLines w:val="0"/>
              <w:numPr>
                <w:ilvl w:val="0"/>
                <w:numId w:val="183"/>
              </w:numPr>
              <w:autoSpaceDE/>
              <w:autoSpaceDN/>
              <w:spacing w:line="360" w:lineRule="auto"/>
              <w:jc w:val="both"/>
              <w:rPr>
                <w:color w:val="auto"/>
                <w:szCs w:val="24"/>
                <w:highlight w:val="none"/>
                <w:lang w:eastAsia="zh-CN"/>
              </w:rPr>
            </w:pPr>
            <w:r>
              <w:rPr>
                <w:rFonts w:hint="eastAsia"/>
                <w:color w:val="auto"/>
                <w:szCs w:val="24"/>
                <w:highlight w:val="none"/>
                <w:lang w:eastAsia="zh-CN" w:bidi="ar"/>
              </w:rPr>
              <w:t>基板选用多种无机材料经高温高压加工而成的专用无机板材，不腐坏、不产生霉菌</w:t>
            </w:r>
            <w:r>
              <w:rPr>
                <w:color w:val="auto"/>
                <w:szCs w:val="24"/>
                <w:highlight w:val="none"/>
                <w:lang w:eastAsia="zh-CN" w:bidi="ar"/>
              </w:rPr>
              <w:t xml:space="preserve"> </w:t>
            </w:r>
            <w:r>
              <w:rPr>
                <w:rFonts w:hint="eastAsia"/>
                <w:color w:val="auto"/>
                <w:szCs w:val="24"/>
                <w:highlight w:val="none"/>
                <w:lang w:eastAsia="zh-CN" w:bidi="ar"/>
              </w:rPr>
              <w:t>；表面涂层经过特殊处理后，具有高强度抗撞击性、防辐射、抗静电、耐磨耐刮、耐酸、耐碱、抗菌的特性，且光学性能具有反光均匀，无眩目反射。无机预涂板具有良好的抗化学反应能力，防潮防水、防霉、防止细菌污染；防紫外线性能和涂层颜色的稳定性优良，长期使用不会出现涂层脱落、起泡、变色。</w:t>
            </w:r>
          </w:p>
          <w:p>
            <w:pPr>
              <w:keepLines w:val="0"/>
              <w:numPr>
                <w:ilvl w:val="0"/>
                <w:numId w:val="183"/>
              </w:numPr>
              <w:autoSpaceDE/>
              <w:autoSpaceDN/>
              <w:spacing w:line="360" w:lineRule="auto"/>
              <w:jc w:val="both"/>
              <w:rPr>
                <w:strike/>
                <w:color w:val="auto"/>
                <w:szCs w:val="24"/>
                <w:highlight w:val="none"/>
                <w:lang w:eastAsia="zh-CN"/>
              </w:rPr>
            </w:pPr>
            <w:r>
              <w:rPr>
                <w:rFonts w:hint="eastAsia"/>
                <w:color w:val="auto"/>
                <w:szCs w:val="24"/>
                <w:highlight w:val="none"/>
                <w:lang w:eastAsia="zh-CN" w:bidi="ar"/>
              </w:rPr>
              <w:t>燃烧性能：达到不燃</w:t>
            </w:r>
            <w:r>
              <w:rPr>
                <w:color w:val="auto"/>
                <w:szCs w:val="24"/>
                <w:highlight w:val="none"/>
                <w:lang w:eastAsia="zh-CN" w:bidi="ar"/>
              </w:rPr>
              <w:t xml:space="preserve"> A</w:t>
            </w:r>
            <w:r>
              <w:rPr>
                <w:rFonts w:hint="eastAsia"/>
                <w:color w:val="auto"/>
                <w:szCs w:val="24"/>
                <w:highlight w:val="none"/>
                <w:lang w:eastAsia="zh-CN" w:bidi="ar"/>
              </w:rPr>
              <w:t>（</w:t>
            </w:r>
            <w:r>
              <w:rPr>
                <w:color w:val="auto"/>
                <w:szCs w:val="24"/>
                <w:highlight w:val="none"/>
                <w:lang w:eastAsia="zh-CN" w:bidi="ar"/>
              </w:rPr>
              <w:t>A2-s1</w:t>
            </w:r>
            <w:r>
              <w:rPr>
                <w:rFonts w:hint="eastAsia"/>
                <w:color w:val="auto"/>
                <w:szCs w:val="24"/>
                <w:highlight w:val="none"/>
                <w:lang w:eastAsia="zh-CN" w:bidi="ar"/>
              </w:rPr>
              <w:t>，</w:t>
            </w:r>
            <w:r>
              <w:rPr>
                <w:color w:val="auto"/>
                <w:szCs w:val="24"/>
                <w:highlight w:val="none"/>
                <w:lang w:eastAsia="zh-CN" w:bidi="ar"/>
              </w:rPr>
              <w:t>d0</w:t>
            </w:r>
            <w:r>
              <w:rPr>
                <w:rFonts w:hint="eastAsia"/>
                <w:color w:val="auto"/>
                <w:szCs w:val="24"/>
                <w:highlight w:val="none"/>
                <w:lang w:eastAsia="zh-CN" w:bidi="ar"/>
              </w:rPr>
              <w:t>，</w:t>
            </w:r>
            <w:r>
              <w:rPr>
                <w:color w:val="auto"/>
                <w:szCs w:val="24"/>
                <w:highlight w:val="none"/>
                <w:lang w:eastAsia="zh-CN" w:bidi="ar"/>
              </w:rPr>
              <w:t>t0</w:t>
            </w:r>
            <w:r>
              <w:rPr>
                <w:rFonts w:hint="eastAsia"/>
                <w:color w:val="auto"/>
                <w:szCs w:val="24"/>
                <w:highlight w:val="none"/>
                <w:lang w:eastAsia="zh-CN" w:bidi="ar"/>
              </w:rPr>
              <w:t>）级。</w:t>
            </w:r>
          </w:p>
          <w:p>
            <w:pPr>
              <w:keepLines w:val="0"/>
              <w:numPr>
                <w:ilvl w:val="0"/>
                <w:numId w:val="183"/>
              </w:numPr>
              <w:autoSpaceDE/>
              <w:autoSpaceDN/>
              <w:spacing w:line="360" w:lineRule="auto"/>
              <w:jc w:val="both"/>
              <w:rPr>
                <w:color w:val="auto"/>
                <w:szCs w:val="24"/>
                <w:highlight w:val="none"/>
                <w:lang w:eastAsia="zh-CN"/>
              </w:rPr>
            </w:pPr>
            <w:r>
              <w:rPr>
                <w:rFonts w:hint="eastAsia"/>
                <w:color w:val="auto"/>
                <w:spacing w:val="-9"/>
                <w:szCs w:val="24"/>
                <w:highlight w:val="none"/>
                <w:lang w:eastAsia="zh-CN" w:bidi="ar"/>
              </w:rPr>
              <w:t>物理性能：根据</w:t>
            </w:r>
            <w:r>
              <w:rPr>
                <w:color w:val="auto"/>
                <w:spacing w:val="-9"/>
                <w:szCs w:val="24"/>
                <w:highlight w:val="none"/>
                <w:lang w:eastAsia="zh-CN" w:bidi="ar"/>
              </w:rPr>
              <w:t xml:space="preserve"> </w:t>
            </w:r>
            <w:r>
              <w:rPr>
                <w:color w:val="auto"/>
                <w:szCs w:val="24"/>
                <w:highlight w:val="none"/>
                <w:lang w:eastAsia="zh-CN" w:bidi="ar"/>
              </w:rPr>
              <w:t>JC/T</w:t>
            </w:r>
            <w:r>
              <w:rPr>
                <w:color w:val="auto"/>
                <w:spacing w:val="-7"/>
                <w:szCs w:val="24"/>
                <w:highlight w:val="none"/>
                <w:lang w:eastAsia="zh-CN" w:bidi="ar"/>
              </w:rPr>
              <w:t xml:space="preserve"> </w:t>
            </w:r>
            <w:r>
              <w:rPr>
                <w:color w:val="auto"/>
                <w:szCs w:val="24"/>
                <w:highlight w:val="none"/>
                <w:lang w:eastAsia="zh-CN" w:bidi="ar"/>
              </w:rPr>
              <w:t>564.2-2008</w:t>
            </w:r>
            <w:r>
              <w:rPr>
                <w:rFonts w:hint="eastAsia"/>
                <w:color w:val="auto"/>
                <w:spacing w:val="-7"/>
                <w:szCs w:val="24"/>
                <w:highlight w:val="none"/>
                <w:lang w:eastAsia="zh-CN" w:bidi="ar"/>
              </w:rPr>
              <w:t>《纤维增强硅酸钙板</w:t>
            </w:r>
            <w:r>
              <w:rPr>
                <w:color w:val="auto"/>
                <w:spacing w:val="-7"/>
                <w:szCs w:val="24"/>
                <w:highlight w:val="none"/>
                <w:lang w:eastAsia="zh-CN" w:bidi="ar"/>
              </w:rPr>
              <w:t xml:space="preserve"> </w:t>
            </w:r>
            <w:r>
              <w:rPr>
                <w:rFonts w:hint="eastAsia"/>
                <w:color w:val="auto"/>
                <w:spacing w:val="-7"/>
                <w:szCs w:val="24"/>
                <w:highlight w:val="none"/>
                <w:lang w:eastAsia="zh-CN" w:bidi="ar"/>
              </w:rPr>
              <w:t>第</w:t>
            </w:r>
            <w:r>
              <w:rPr>
                <w:color w:val="auto"/>
                <w:spacing w:val="-7"/>
                <w:szCs w:val="24"/>
                <w:highlight w:val="none"/>
                <w:lang w:eastAsia="zh-CN" w:bidi="ar"/>
              </w:rPr>
              <w:t xml:space="preserve"> </w:t>
            </w:r>
            <w:r>
              <w:rPr>
                <w:color w:val="auto"/>
                <w:szCs w:val="24"/>
                <w:highlight w:val="none"/>
                <w:lang w:eastAsia="zh-CN" w:bidi="ar"/>
              </w:rPr>
              <w:t>1</w:t>
            </w:r>
            <w:r>
              <w:rPr>
                <w:color w:val="auto"/>
                <w:spacing w:val="-8"/>
                <w:szCs w:val="24"/>
                <w:highlight w:val="none"/>
                <w:lang w:eastAsia="zh-CN" w:bidi="ar"/>
              </w:rPr>
              <w:t xml:space="preserve"> </w:t>
            </w:r>
            <w:r>
              <w:rPr>
                <w:rFonts w:hint="eastAsia"/>
                <w:color w:val="auto"/>
                <w:spacing w:val="-8"/>
                <w:szCs w:val="24"/>
                <w:highlight w:val="none"/>
                <w:lang w:eastAsia="zh-CN" w:bidi="ar"/>
              </w:rPr>
              <w:t>部分：无石棉硅酸钙</w:t>
            </w:r>
            <w:r>
              <w:rPr>
                <w:rFonts w:hint="eastAsia"/>
                <w:color w:val="auto"/>
                <w:spacing w:val="-5"/>
                <w:szCs w:val="24"/>
                <w:highlight w:val="none"/>
                <w:lang w:eastAsia="zh-CN" w:bidi="ar"/>
              </w:rPr>
              <w:t>板》标准及其测试方法，无机预涂板的密度</w:t>
            </w:r>
            <w:r>
              <w:rPr>
                <w:rFonts w:hint="eastAsia"/>
                <w:color w:val="auto"/>
                <w:szCs w:val="24"/>
                <w:highlight w:val="none"/>
                <w:lang w:eastAsia="zh-CN" w:bidi="ar"/>
              </w:rPr>
              <w:t>＞</w:t>
            </w:r>
            <w:r>
              <w:rPr>
                <w:color w:val="auto"/>
                <w:szCs w:val="24"/>
                <w:highlight w:val="none"/>
                <w:lang w:eastAsia="zh-CN" w:bidi="ar"/>
              </w:rPr>
              <w:t>1.40g/cm3</w:t>
            </w:r>
            <w:r>
              <w:rPr>
                <w:rFonts w:hint="eastAsia"/>
                <w:color w:val="auto"/>
                <w:spacing w:val="-2"/>
                <w:szCs w:val="24"/>
                <w:highlight w:val="none"/>
                <w:lang w:eastAsia="zh-CN" w:bidi="ar"/>
              </w:rPr>
              <w:t>、含水率</w:t>
            </w:r>
            <w:r>
              <w:rPr>
                <w:rFonts w:hint="eastAsia"/>
                <w:color w:val="auto"/>
                <w:szCs w:val="24"/>
                <w:highlight w:val="none"/>
                <w:lang w:eastAsia="zh-CN" w:bidi="ar"/>
              </w:rPr>
              <w:t>＜</w:t>
            </w:r>
            <w:r>
              <w:rPr>
                <w:color w:val="auto"/>
                <w:szCs w:val="24"/>
                <w:highlight w:val="none"/>
                <w:lang w:eastAsia="zh-CN" w:bidi="ar"/>
              </w:rPr>
              <w:t>6.5%</w:t>
            </w:r>
            <w:r>
              <w:rPr>
                <w:rFonts w:hint="eastAsia"/>
                <w:color w:val="auto"/>
                <w:spacing w:val="-2"/>
                <w:szCs w:val="24"/>
                <w:highlight w:val="none"/>
                <w:lang w:eastAsia="zh-CN" w:bidi="ar"/>
              </w:rPr>
              <w:t>、湿涨率＜</w:t>
            </w:r>
            <w:r>
              <w:rPr>
                <w:color w:val="auto"/>
                <w:szCs w:val="24"/>
                <w:highlight w:val="none"/>
                <w:lang w:eastAsia="zh-CN" w:bidi="ar"/>
              </w:rPr>
              <w:t>0.05%</w:t>
            </w:r>
            <w:r>
              <w:rPr>
                <w:rFonts w:hint="eastAsia"/>
                <w:color w:val="auto"/>
                <w:spacing w:val="-14"/>
                <w:szCs w:val="24"/>
                <w:highlight w:val="none"/>
                <w:lang w:eastAsia="zh-CN" w:bidi="ar"/>
              </w:rPr>
              <w:t>、</w:t>
            </w:r>
            <w:r>
              <w:rPr>
                <w:rFonts w:hint="eastAsia"/>
                <w:color w:val="auto"/>
                <w:szCs w:val="24"/>
                <w:highlight w:val="none"/>
                <w:lang w:eastAsia="zh-CN" w:bidi="ar"/>
              </w:rPr>
              <w:t>热收缩率＜</w:t>
            </w:r>
            <w:r>
              <w:rPr>
                <w:color w:val="auto"/>
                <w:szCs w:val="24"/>
                <w:highlight w:val="none"/>
                <w:lang w:eastAsia="zh-CN" w:bidi="ar"/>
              </w:rPr>
              <w:t>0.15%</w:t>
            </w:r>
            <w:r>
              <w:rPr>
                <w:rFonts w:hint="eastAsia"/>
                <w:color w:val="auto"/>
                <w:szCs w:val="24"/>
                <w:highlight w:val="none"/>
                <w:lang w:eastAsia="zh-CN" w:bidi="ar"/>
              </w:rPr>
              <w:t>、</w:t>
            </w:r>
            <w:r>
              <w:rPr>
                <w:color w:val="auto"/>
                <w:szCs w:val="24"/>
                <w:highlight w:val="none"/>
                <w:lang w:eastAsia="zh-CN" w:bidi="ar"/>
              </w:rPr>
              <w:t>24h</w:t>
            </w:r>
            <w:r>
              <w:rPr>
                <w:color w:val="auto"/>
                <w:spacing w:val="-11"/>
                <w:szCs w:val="24"/>
                <w:highlight w:val="none"/>
                <w:lang w:eastAsia="zh-CN" w:bidi="ar"/>
              </w:rPr>
              <w:t xml:space="preserve"> </w:t>
            </w:r>
            <w:r>
              <w:rPr>
                <w:rFonts w:hint="eastAsia"/>
                <w:color w:val="auto"/>
                <w:spacing w:val="-11"/>
                <w:szCs w:val="24"/>
                <w:highlight w:val="none"/>
                <w:lang w:eastAsia="zh-CN" w:bidi="ar"/>
              </w:rPr>
              <w:t>检验后板反面无湿痕和水滴，并经</w:t>
            </w:r>
            <w:r>
              <w:rPr>
                <w:color w:val="auto"/>
                <w:spacing w:val="-11"/>
                <w:szCs w:val="24"/>
                <w:highlight w:val="none"/>
                <w:lang w:eastAsia="zh-CN" w:bidi="ar"/>
              </w:rPr>
              <w:t xml:space="preserve"> </w:t>
            </w:r>
            <w:r>
              <w:rPr>
                <w:color w:val="auto"/>
                <w:szCs w:val="24"/>
                <w:highlight w:val="none"/>
                <w:lang w:eastAsia="zh-CN" w:bidi="ar"/>
              </w:rPr>
              <w:t>25</w:t>
            </w:r>
            <w:r>
              <w:rPr>
                <w:color w:val="auto"/>
                <w:spacing w:val="-8"/>
                <w:szCs w:val="24"/>
                <w:highlight w:val="none"/>
                <w:lang w:eastAsia="zh-CN" w:bidi="ar"/>
              </w:rPr>
              <w:t xml:space="preserve"> </w:t>
            </w:r>
            <w:r>
              <w:rPr>
                <w:rFonts w:hint="eastAsia"/>
                <w:color w:val="auto"/>
                <w:spacing w:val="-8"/>
                <w:szCs w:val="24"/>
                <w:highlight w:val="none"/>
                <w:lang w:eastAsia="zh-CN" w:bidi="ar"/>
              </w:rPr>
              <w:t>次冻融循环，无破裂、分层、</w:t>
            </w:r>
            <w:r>
              <w:rPr>
                <w:rFonts w:hint="eastAsia"/>
                <w:color w:val="auto"/>
                <w:spacing w:val="-6"/>
                <w:szCs w:val="24"/>
                <w:highlight w:val="none"/>
                <w:lang w:eastAsia="zh-CN" w:bidi="ar"/>
              </w:rPr>
              <w:t>涂层无剥落现象，且整体抗折强度</w:t>
            </w:r>
            <w:r>
              <w:rPr>
                <w:color w:val="auto"/>
                <w:szCs w:val="24"/>
                <w:highlight w:val="none"/>
                <w:lang w:eastAsia="zh-CN" w:bidi="ar"/>
              </w:rPr>
              <w:t>≥20MPa</w:t>
            </w:r>
            <w:r>
              <w:rPr>
                <w:rFonts w:hint="eastAsia"/>
                <w:color w:val="auto"/>
                <w:szCs w:val="24"/>
                <w:highlight w:val="none"/>
                <w:lang w:eastAsia="zh-CN" w:bidi="ar"/>
              </w:rPr>
              <w:t>（</w:t>
            </w:r>
            <w:r>
              <w:rPr>
                <w:rFonts w:hint="eastAsia"/>
                <w:color w:val="auto"/>
                <w:spacing w:val="-3"/>
                <w:szCs w:val="24"/>
                <w:highlight w:val="none"/>
                <w:lang w:eastAsia="zh-CN" w:bidi="ar"/>
              </w:rPr>
              <w:t>纵横强度比＞</w:t>
            </w:r>
            <w:r>
              <w:rPr>
                <w:color w:val="auto"/>
                <w:szCs w:val="24"/>
                <w:highlight w:val="none"/>
                <w:lang w:eastAsia="zh-CN" w:bidi="ar"/>
              </w:rPr>
              <w:t>75%</w:t>
            </w:r>
            <w:r>
              <w:rPr>
                <w:rFonts w:hint="eastAsia"/>
                <w:color w:val="auto"/>
                <w:szCs w:val="24"/>
                <w:highlight w:val="none"/>
                <w:lang w:eastAsia="zh-CN" w:bidi="ar"/>
              </w:rPr>
              <w:t>）</w:t>
            </w:r>
            <w:r>
              <w:rPr>
                <w:rFonts w:hint="eastAsia"/>
                <w:color w:val="auto"/>
                <w:spacing w:val="-2"/>
                <w:szCs w:val="24"/>
                <w:highlight w:val="none"/>
                <w:lang w:eastAsia="zh-CN" w:bidi="ar"/>
              </w:rPr>
              <w:t>、吸水率＜</w:t>
            </w:r>
            <w:r>
              <w:rPr>
                <w:color w:val="auto"/>
                <w:szCs w:val="24"/>
                <w:highlight w:val="none"/>
                <w:lang w:eastAsia="zh-CN" w:bidi="ar"/>
              </w:rPr>
              <w:t>25%</w:t>
            </w:r>
            <w:r>
              <w:rPr>
                <w:rFonts w:hint="eastAsia"/>
                <w:color w:val="auto"/>
                <w:spacing w:val="-5"/>
                <w:szCs w:val="24"/>
                <w:highlight w:val="none"/>
                <w:lang w:eastAsia="zh-CN" w:bidi="ar"/>
              </w:rPr>
              <w:t>。</w:t>
            </w:r>
          </w:p>
          <w:p>
            <w:pPr>
              <w:pStyle w:val="235"/>
              <w:widowControl/>
              <w:numPr>
                <w:ilvl w:val="0"/>
                <w:numId w:val="183"/>
              </w:numPr>
              <w:tabs>
                <w:tab w:val="left" w:pos="827"/>
              </w:tabs>
              <w:spacing w:line="360" w:lineRule="auto"/>
              <w:ind w:firstLineChars="0"/>
              <w:jc w:val="left"/>
              <w:rPr>
                <w:color w:val="auto"/>
                <w:spacing w:val="-2"/>
                <w:sz w:val="24"/>
                <w:szCs w:val="24"/>
                <w:highlight w:val="none"/>
              </w:rPr>
            </w:pPr>
            <w:r>
              <w:rPr>
                <w:rFonts w:hint="eastAsia" w:cs="宋体"/>
                <w:color w:val="auto"/>
                <w:spacing w:val="-2"/>
                <w:sz w:val="24"/>
                <w:szCs w:val="24"/>
                <w:highlight w:val="none"/>
              </w:rPr>
              <w:t>环保抗菌性能：</w:t>
            </w:r>
          </w:p>
          <w:p>
            <w:pPr>
              <w:pStyle w:val="235"/>
              <w:widowControl/>
              <w:tabs>
                <w:tab w:val="left" w:pos="827"/>
              </w:tabs>
              <w:spacing w:line="360" w:lineRule="auto"/>
              <w:ind w:firstLine="0" w:firstLineChars="0"/>
              <w:jc w:val="left"/>
              <w:rPr>
                <w:color w:val="auto"/>
                <w:spacing w:val="-39"/>
                <w:sz w:val="24"/>
                <w:szCs w:val="24"/>
                <w:highlight w:val="none"/>
              </w:rPr>
            </w:pPr>
            <w:r>
              <w:rPr>
                <w:rFonts w:hint="eastAsia" w:cs="宋体"/>
                <w:color w:val="auto"/>
                <w:spacing w:val="-6"/>
                <w:sz w:val="24"/>
                <w:szCs w:val="24"/>
                <w:highlight w:val="none"/>
              </w:rPr>
              <w:t>甲醛释放量：甲醛释放量</w:t>
            </w:r>
            <w:r>
              <w:rPr>
                <w:color w:val="auto"/>
                <w:spacing w:val="-6"/>
                <w:sz w:val="24"/>
                <w:szCs w:val="24"/>
                <w:highlight w:val="none"/>
              </w:rPr>
              <w:t>≤</w:t>
            </w:r>
            <w:r>
              <w:rPr>
                <w:color w:val="auto"/>
                <w:sz w:val="24"/>
                <w:szCs w:val="24"/>
                <w:highlight w:val="none"/>
              </w:rPr>
              <w:t>0.1mg/L</w:t>
            </w:r>
            <w:r>
              <w:rPr>
                <w:rFonts w:hint="eastAsia" w:cs="宋体"/>
                <w:color w:val="auto"/>
                <w:spacing w:val="-39"/>
                <w:sz w:val="24"/>
                <w:szCs w:val="24"/>
                <w:highlight w:val="none"/>
              </w:rPr>
              <w:t>。</w:t>
            </w:r>
          </w:p>
          <w:p>
            <w:pPr>
              <w:pStyle w:val="235"/>
              <w:widowControl/>
              <w:tabs>
                <w:tab w:val="left" w:pos="827"/>
              </w:tabs>
              <w:spacing w:line="360" w:lineRule="auto"/>
              <w:ind w:firstLine="0" w:firstLineChars="0"/>
              <w:jc w:val="left"/>
              <w:rPr>
                <w:color w:val="auto"/>
                <w:sz w:val="24"/>
                <w:szCs w:val="24"/>
                <w:highlight w:val="none"/>
              </w:rPr>
            </w:pPr>
            <w:r>
              <w:rPr>
                <w:rFonts w:hint="eastAsia" w:cs="宋体"/>
                <w:color w:val="auto"/>
                <w:spacing w:val="-8"/>
                <w:sz w:val="24"/>
                <w:szCs w:val="24"/>
                <w:highlight w:val="none"/>
              </w:rPr>
              <w:t>放射性核素：</w:t>
            </w:r>
            <w:r>
              <w:rPr>
                <w:rFonts w:hint="eastAsia" w:cs="宋体"/>
                <w:color w:val="auto"/>
                <w:spacing w:val="-7"/>
                <w:sz w:val="24"/>
                <w:szCs w:val="24"/>
                <w:highlight w:val="none"/>
              </w:rPr>
              <w:t>材料属于</w:t>
            </w:r>
            <w:r>
              <w:rPr>
                <w:color w:val="auto"/>
                <w:spacing w:val="-7"/>
                <w:sz w:val="24"/>
                <w:szCs w:val="24"/>
                <w:highlight w:val="none"/>
              </w:rPr>
              <w:t xml:space="preserve"> </w:t>
            </w:r>
            <w:r>
              <w:rPr>
                <w:color w:val="auto"/>
                <w:spacing w:val="-12"/>
                <w:sz w:val="24"/>
                <w:szCs w:val="24"/>
                <w:highlight w:val="none"/>
              </w:rPr>
              <w:t xml:space="preserve">A </w:t>
            </w:r>
            <w:r>
              <w:rPr>
                <w:rFonts w:hint="eastAsia" w:cs="宋体"/>
                <w:color w:val="auto"/>
                <w:spacing w:val="-5"/>
                <w:sz w:val="24"/>
                <w:szCs w:val="24"/>
                <w:highlight w:val="none"/>
              </w:rPr>
              <w:t>类装饰装修材料，且其内照射指数和外照射指数均</w:t>
            </w:r>
            <w:r>
              <w:rPr>
                <w:color w:val="auto"/>
                <w:spacing w:val="-5"/>
                <w:sz w:val="24"/>
                <w:szCs w:val="24"/>
                <w:highlight w:val="none"/>
              </w:rPr>
              <w:t>≤</w:t>
            </w:r>
            <w:r>
              <w:rPr>
                <w:color w:val="auto"/>
                <w:sz w:val="24"/>
                <w:szCs w:val="24"/>
                <w:highlight w:val="none"/>
              </w:rPr>
              <w:t>0.1</w:t>
            </w:r>
            <w:r>
              <w:rPr>
                <w:rFonts w:hint="eastAsia" w:cs="宋体"/>
                <w:color w:val="auto"/>
                <w:sz w:val="24"/>
                <w:szCs w:val="24"/>
                <w:highlight w:val="none"/>
              </w:rPr>
              <w:t>。</w:t>
            </w:r>
          </w:p>
          <w:p>
            <w:pPr>
              <w:pStyle w:val="235"/>
              <w:widowControl/>
              <w:tabs>
                <w:tab w:val="left" w:pos="827"/>
              </w:tabs>
              <w:spacing w:line="360" w:lineRule="auto"/>
              <w:ind w:firstLine="0" w:firstLineChars="0"/>
              <w:jc w:val="left"/>
              <w:rPr>
                <w:color w:val="auto"/>
                <w:spacing w:val="-15"/>
                <w:sz w:val="24"/>
                <w:szCs w:val="24"/>
                <w:highlight w:val="none"/>
              </w:rPr>
            </w:pPr>
            <w:r>
              <w:rPr>
                <w:rFonts w:hint="eastAsia" w:cs="宋体"/>
                <w:color w:val="auto"/>
                <w:spacing w:val="-5"/>
                <w:sz w:val="24"/>
                <w:szCs w:val="24"/>
                <w:highlight w:val="none"/>
              </w:rPr>
              <w:t>抗菌性能：抵抗白色念珠菌、大肠杆菌、肺炎克雷伯氏菌、金黄色葡萄球菌、铜</w:t>
            </w:r>
            <w:r>
              <w:rPr>
                <w:rFonts w:hint="eastAsia" w:cs="宋体"/>
                <w:color w:val="auto"/>
                <w:spacing w:val="-7"/>
                <w:sz w:val="24"/>
                <w:szCs w:val="24"/>
                <w:highlight w:val="none"/>
              </w:rPr>
              <w:t>绿假单胞菌等在板材表面的存活，抗菌率均不低于</w:t>
            </w:r>
            <w:r>
              <w:rPr>
                <w:color w:val="auto"/>
                <w:spacing w:val="-7"/>
                <w:sz w:val="24"/>
                <w:szCs w:val="24"/>
                <w:highlight w:val="none"/>
              </w:rPr>
              <w:t xml:space="preserve"> </w:t>
            </w:r>
            <w:r>
              <w:rPr>
                <w:color w:val="auto"/>
                <w:sz w:val="24"/>
                <w:szCs w:val="24"/>
                <w:highlight w:val="none"/>
              </w:rPr>
              <w:t>99</w:t>
            </w:r>
            <w:r>
              <w:rPr>
                <w:color w:val="auto"/>
                <w:spacing w:val="-15"/>
                <w:sz w:val="24"/>
                <w:szCs w:val="24"/>
                <w:highlight w:val="none"/>
              </w:rPr>
              <w:t>%</w:t>
            </w:r>
            <w:r>
              <w:rPr>
                <w:rFonts w:hint="eastAsia" w:cs="宋体"/>
                <w:color w:val="auto"/>
                <w:spacing w:val="-15"/>
                <w:sz w:val="24"/>
                <w:szCs w:val="24"/>
                <w:highlight w:val="none"/>
              </w:rPr>
              <w:t>。</w:t>
            </w:r>
          </w:p>
          <w:p>
            <w:pPr>
              <w:pStyle w:val="235"/>
              <w:widowControl/>
              <w:tabs>
                <w:tab w:val="left" w:pos="827"/>
              </w:tabs>
              <w:spacing w:line="360" w:lineRule="auto"/>
              <w:ind w:firstLine="0" w:firstLineChars="0"/>
              <w:jc w:val="left"/>
              <w:rPr>
                <w:color w:val="auto"/>
                <w:spacing w:val="-5"/>
                <w:sz w:val="24"/>
                <w:szCs w:val="24"/>
                <w:highlight w:val="none"/>
              </w:rPr>
            </w:pPr>
            <w:r>
              <w:rPr>
                <w:color w:val="auto"/>
                <w:spacing w:val="-5"/>
                <w:sz w:val="24"/>
                <w:szCs w:val="24"/>
                <w:highlight w:val="none"/>
              </w:rPr>
              <w:t>5</w:t>
            </w:r>
            <w:r>
              <w:rPr>
                <w:rFonts w:hint="eastAsia" w:cs="宋体"/>
                <w:color w:val="auto"/>
                <w:spacing w:val="-5"/>
                <w:sz w:val="24"/>
                <w:szCs w:val="24"/>
                <w:highlight w:val="none"/>
              </w:rPr>
              <w:t>、表面涂层性能：（提供第三方检测机构依据相关标准检测的检验报告复印件）</w:t>
            </w:r>
          </w:p>
          <w:p>
            <w:pPr>
              <w:pStyle w:val="235"/>
              <w:widowControl/>
              <w:tabs>
                <w:tab w:val="left" w:pos="827"/>
              </w:tabs>
              <w:spacing w:line="360" w:lineRule="auto"/>
              <w:ind w:firstLine="0" w:firstLineChars="0"/>
              <w:jc w:val="left"/>
              <w:rPr>
                <w:color w:val="auto"/>
                <w:spacing w:val="-5"/>
                <w:sz w:val="24"/>
                <w:szCs w:val="24"/>
                <w:highlight w:val="none"/>
              </w:rPr>
            </w:pPr>
            <w:r>
              <w:rPr>
                <w:color w:val="auto"/>
                <w:spacing w:val="-5"/>
                <w:sz w:val="24"/>
                <w:szCs w:val="24"/>
                <w:highlight w:val="none"/>
              </w:rPr>
              <w:t>1</w:t>
            </w:r>
            <w:r>
              <w:rPr>
                <w:rFonts w:hint="eastAsia" w:cs="宋体"/>
                <w:color w:val="auto"/>
                <w:spacing w:val="-5"/>
                <w:sz w:val="24"/>
                <w:szCs w:val="24"/>
                <w:highlight w:val="none"/>
              </w:rPr>
              <w:t>）铅笔硬度达到</w:t>
            </w:r>
            <w:r>
              <w:rPr>
                <w:color w:val="auto"/>
                <w:spacing w:val="-5"/>
                <w:sz w:val="24"/>
                <w:szCs w:val="24"/>
                <w:highlight w:val="none"/>
              </w:rPr>
              <w:t xml:space="preserve"> 3H</w:t>
            </w:r>
            <w:r>
              <w:rPr>
                <w:rFonts w:hint="eastAsia" w:cs="宋体"/>
                <w:color w:val="auto"/>
                <w:spacing w:val="-5"/>
                <w:sz w:val="24"/>
                <w:szCs w:val="24"/>
                <w:highlight w:val="none"/>
              </w:rPr>
              <w:t>；</w:t>
            </w:r>
          </w:p>
          <w:p>
            <w:pPr>
              <w:pStyle w:val="235"/>
              <w:widowControl/>
              <w:tabs>
                <w:tab w:val="left" w:pos="827"/>
              </w:tabs>
              <w:spacing w:line="360" w:lineRule="auto"/>
              <w:ind w:firstLine="0" w:firstLineChars="0"/>
              <w:jc w:val="left"/>
              <w:rPr>
                <w:color w:val="auto"/>
                <w:spacing w:val="-5"/>
                <w:sz w:val="24"/>
                <w:szCs w:val="24"/>
                <w:highlight w:val="none"/>
              </w:rPr>
            </w:pPr>
            <w:r>
              <w:rPr>
                <w:color w:val="auto"/>
                <w:spacing w:val="-5"/>
                <w:sz w:val="24"/>
                <w:szCs w:val="24"/>
                <w:highlight w:val="none"/>
              </w:rPr>
              <w:t>2</w:t>
            </w:r>
            <w:r>
              <w:rPr>
                <w:rFonts w:hint="eastAsia" w:cs="宋体"/>
                <w:color w:val="auto"/>
                <w:spacing w:val="-5"/>
                <w:sz w:val="24"/>
                <w:szCs w:val="24"/>
                <w:highlight w:val="none"/>
              </w:rPr>
              <w:t>）耐盐酸性性经测试无变化；</w:t>
            </w:r>
          </w:p>
          <w:p>
            <w:pPr>
              <w:pStyle w:val="235"/>
              <w:widowControl/>
              <w:tabs>
                <w:tab w:val="left" w:pos="827"/>
              </w:tabs>
              <w:spacing w:line="360" w:lineRule="auto"/>
              <w:ind w:firstLine="0" w:firstLineChars="0"/>
              <w:jc w:val="left"/>
              <w:rPr>
                <w:color w:val="auto"/>
                <w:spacing w:val="-5"/>
                <w:sz w:val="24"/>
                <w:szCs w:val="24"/>
                <w:highlight w:val="none"/>
              </w:rPr>
            </w:pPr>
            <w:r>
              <w:rPr>
                <w:color w:val="auto"/>
                <w:spacing w:val="-5"/>
                <w:sz w:val="24"/>
                <w:szCs w:val="24"/>
                <w:highlight w:val="none"/>
              </w:rPr>
              <w:t>3</w:t>
            </w:r>
            <w:r>
              <w:rPr>
                <w:rFonts w:hint="eastAsia" w:cs="宋体"/>
                <w:color w:val="auto"/>
                <w:spacing w:val="-5"/>
                <w:sz w:val="24"/>
                <w:szCs w:val="24"/>
                <w:highlight w:val="none"/>
              </w:rPr>
              <w:t>）抗冲击性经落球法试验冲击</w:t>
            </w:r>
            <w:r>
              <w:rPr>
                <w:color w:val="auto"/>
                <w:spacing w:val="-5"/>
                <w:sz w:val="24"/>
                <w:szCs w:val="24"/>
                <w:highlight w:val="none"/>
              </w:rPr>
              <w:t xml:space="preserve"> 1 </w:t>
            </w:r>
            <w:r>
              <w:rPr>
                <w:rFonts w:hint="eastAsia" w:cs="宋体"/>
                <w:color w:val="auto"/>
                <w:spacing w:val="-5"/>
                <w:sz w:val="24"/>
                <w:szCs w:val="24"/>
                <w:highlight w:val="none"/>
              </w:rPr>
              <w:t>次，板面无贯通裂纹；</w:t>
            </w:r>
          </w:p>
          <w:p>
            <w:pPr>
              <w:pStyle w:val="235"/>
              <w:widowControl/>
              <w:tabs>
                <w:tab w:val="left" w:pos="827"/>
              </w:tabs>
              <w:spacing w:line="360" w:lineRule="auto"/>
              <w:ind w:firstLine="0" w:firstLineChars="0"/>
              <w:jc w:val="left"/>
              <w:rPr>
                <w:color w:val="auto"/>
                <w:spacing w:val="-5"/>
                <w:sz w:val="24"/>
                <w:szCs w:val="24"/>
                <w:highlight w:val="none"/>
              </w:rPr>
            </w:pPr>
            <w:r>
              <w:rPr>
                <w:color w:val="auto"/>
                <w:spacing w:val="-5"/>
                <w:sz w:val="24"/>
                <w:szCs w:val="24"/>
                <w:highlight w:val="none"/>
              </w:rPr>
              <w:t>5</w:t>
            </w:r>
            <w:r>
              <w:rPr>
                <w:rFonts w:hint="eastAsia" w:cs="宋体"/>
                <w:color w:val="auto"/>
                <w:spacing w:val="-5"/>
                <w:sz w:val="24"/>
                <w:szCs w:val="24"/>
                <w:highlight w:val="none"/>
              </w:rPr>
              <w:t>）涂层附着力达到</w:t>
            </w:r>
            <w:r>
              <w:rPr>
                <w:color w:val="auto"/>
                <w:spacing w:val="-5"/>
                <w:sz w:val="24"/>
                <w:szCs w:val="24"/>
                <w:highlight w:val="none"/>
              </w:rPr>
              <w:t xml:space="preserve"> 0 </w:t>
            </w:r>
            <w:r>
              <w:rPr>
                <w:rFonts w:hint="eastAsia" w:cs="宋体"/>
                <w:color w:val="auto"/>
                <w:spacing w:val="-5"/>
                <w:sz w:val="24"/>
                <w:szCs w:val="24"/>
                <w:highlight w:val="none"/>
              </w:rPr>
              <w:t>级；</w:t>
            </w:r>
          </w:p>
          <w:p>
            <w:pPr>
              <w:pStyle w:val="235"/>
              <w:widowControl/>
              <w:tabs>
                <w:tab w:val="left" w:pos="827"/>
              </w:tabs>
              <w:spacing w:line="360" w:lineRule="auto"/>
              <w:ind w:firstLine="0" w:firstLineChars="0"/>
              <w:jc w:val="left"/>
              <w:rPr>
                <w:color w:val="auto"/>
                <w:spacing w:val="-5"/>
                <w:sz w:val="24"/>
                <w:szCs w:val="24"/>
                <w:highlight w:val="none"/>
              </w:rPr>
            </w:pPr>
            <w:r>
              <w:rPr>
                <w:color w:val="auto"/>
                <w:spacing w:val="-5"/>
                <w:sz w:val="24"/>
                <w:szCs w:val="24"/>
                <w:highlight w:val="none"/>
              </w:rPr>
              <w:t>6</w:t>
            </w:r>
            <w:r>
              <w:rPr>
                <w:rFonts w:hint="eastAsia" w:cs="宋体"/>
                <w:color w:val="auto"/>
                <w:spacing w:val="-5"/>
                <w:sz w:val="24"/>
                <w:szCs w:val="24"/>
                <w:highlight w:val="none"/>
              </w:rPr>
              <w:t>）涂层经碱性、硝酸性测试，无鼓泡、凸起、粉化等异常；</w:t>
            </w:r>
          </w:p>
          <w:p>
            <w:pPr>
              <w:pStyle w:val="235"/>
              <w:widowControl/>
              <w:tabs>
                <w:tab w:val="left" w:pos="827"/>
              </w:tabs>
              <w:spacing w:line="360" w:lineRule="auto"/>
              <w:ind w:firstLine="0" w:firstLineChars="0"/>
              <w:jc w:val="left"/>
              <w:rPr>
                <w:color w:val="auto"/>
                <w:spacing w:val="-5"/>
                <w:sz w:val="24"/>
                <w:szCs w:val="24"/>
                <w:highlight w:val="none"/>
              </w:rPr>
            </w:pPr>
            <w:r>
              <w:rPr>
                <w:color w:val="auto"/>
                <w:spacing w:val="-5"/>
                <w:sz w:val="24"/>
                <w:szCs w:val="24"/>
                <w:highlight w:val="none"/>
              </w:rPr>
              <w:t>7</w:t>
            </w:r>
            <w:r>
              <w:rPr>
                <w:rFonts w:hint="eastAsia" w:cs="宋体"/>
                <w:color w:val="auto"/>
                <w:spacing w:val="-5"/>
                <w:sz w:val="24"/>
                <w:szCs w:val="24"/>
                <w:highlight w:val="none"/>
              </w:rPr>
              <w:t>）经溶剂性测试，不露底；经</w:t>
            </w:r>
            <w:r>
              <w:rPr>
                <w:color w:val="auto"/>
                <w:spacing w:val="-5"/>
                <w:sz w:val="24"/>
                <w:szCs w:val="24"/>
                <w:highlight w:val="none"/>
              </w:rPr>
              <w:t xml:space="preserve"> 10000 </w:t>
            </w:r>
            <w:r>
              <w:rPr>
                <w:rFonts w:hint="eastAsia" w:cs="宋体"/>
                <w:color w:val="auto"/>
                <w:spacing w:val="-5"/>
                <w:sz w:val="24"/>
                <w:szCs w:val="24"/>
                <w:highlight w:val="none"/>
              </w:rPr>
              <w:t>次洗刷，不露底；</w:t>
            </w:r>
          </w:p>
          <w:p>
            <w:pPr>
              <w:pStyle w:val="235"/>
              <w:widowControl/>
              <w:tabs>
                <w:tab w:val="left" w:pos="827"/>
              </w:tabs>
              <w:spacing w:line="360" w:lineRule="auto"/>
              <w:ind w:firstLine="0" w:firstLineChars="0"/>
              <w:jc w:val="left"/>
              <w:rPr>
                <w:color w:val="auto"/>
                <w:spacing w:val="-5"/>
                <w:sz w:val="24"/>
                <w:szCs w:val="24"/>
                <w:highlight w:val="none"/>
              </w:rPr>
            </w:pPr>
            <w:r>
              <w:rPr>
                <w:color w:val="auto"/>
                <w:spacing w:val="-5"/>
                <w:sz w:val="24"/>
                <w:szCs w:val="24"/>
                <w:highlight w:val="none"/>
              </w:rPr>
              <w:t>8</w:t>
            </w:r>
            <w:r>
              <w:rPr>
                <w:rFonts w:hint="eastAsia" w:cs="宋体"/>
                <w:color w:val="auto"/>
                <w:spacing w:val="-5"/>
                <w:sz w:val="24"/>
                <w:szCs w:val="24"/>
                <w:highlight w:val="none"/>
              </w:rPr>
              <w:t>）</w:t>
            </w:r>
            <w:r>
              <w:rPr>
                <w:color w:val="auto"/>
                <w:spacing w:val="-5"/>
                <w:sz w:val="24"/>
                <w:szCs w:val="24"/>
                <w:highlight w:val="none"/>
              </w:rPr>
              <w:t xml:space="preserve">168h </w:t>
            </w:r>
            <w:r>
              <w:rPr>
                <w:rFonts w:hint="eastAsia" w:cs="宋体"/>
                <w:color w:val="auto"/>
                <w:spacing w:val="-5"/>
                <w:sz w:val="24"/>
                <w:szCs w:val="24"/>
                <w:highlight w:val="none"/>
              </w:rPr>
              <w:t>浸泡，涂层无失光、变色、起泡、起皱、脱落等现象；</w:t>
            </w:r>
          </w:p>
          <w:p>
            <w:pPr>
              <w:pStyle w:val="235"/>
              <w:widowControl/>
              <w:tabs>
                <w:tab w:val="left" w:pos="827"/>
              </w:tabs>
              <w:spacing w:line="360" w:lineRule="auto"/>
              <w:ind w:firstLine="0" w:firstLineChars="0"/>
              <w:jc w:val="left"/>
              <w:rPr>
                <w:color w:val="auto"/>
                <w:sz w:val="24"/>
                <w:szCs w:val="24"/>
                <w:highlight w:val="none"/>
              </w:rPr>
            </w:pPr>
            <w:r>
              <w:rPr>
                <w:color w:val="auto"/>
                <w:spacing w:val="-5"/>
                <w:sz w:val="24"/>
                <w:szCs w:val="24"/>
                <w:highlight w:val="none"/>
              </w:rPr>
              <w:t>9</w:t>
            </w:r>
            <w:r>
              <w:rPr>
                <w:rFonts w:hint="eastAsia" w:cs="宋体"/>
                <w:color w:val="auto"/>
                <w:spacing w:val="-5"/>
                <w:sz w:val="24"/>
                <w:szCs w:val="24"/>
                <w:highlight w:val="none"/>
              </w:rPr>
              <w:t>）</w:t>
            </w:r>
            <w:r>
              <w:rPr>
                <w:color w:val="auto"/>
                <w:spacing w:val="-5"/>
                <w:sz w:val="24"/>
                <w:szCs w:val="24"/>
                <w:highlight w:val="none"/>
              </w:rPr>
              <w:t xml:space="preserve">168h </w:t>
            </w:r>
            <w:r>
              <w:rPr>
                <w:rFonts w:hint="eastAsia" w:cs="宋体"/>
                <w:color w:val="auto"/>
                <w:spacing w:val="-5"/>
                <w:sz w:val="24"/>
                <w:szCs w:val="24"/>
                <w:highlight w:val="none"/>
              </w:rPr>
              <w:t>湿热环境下，涂层无起泡、变色、开裂等破坏现象。</w:t>
            </w:r>
          </w:p>
        </w:tc>
        <w:tc>
          <w:tcPr>
            <w:tcW w:w="1276" w:type="dxa"/>
            <w:tcBorders>
              <w:left w:val="single" w:color="000000" w:sz="6" w:space="0"/>
            </w:tcBorders>
            <w:vAlign w:val="center"/>
          </w:tcPr>
          <w:p>
            <w:pPr>
              <w:rPr>
                <w:color w:val="auto"/>
                <w:highlight w:val="none"/>
                <w:lang w:eastAsia="zh-CN"/>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708" w:type="dxa"/>
            <w:tcBorders>
              <w:right w:val="single" w:color="000000" w:sz="6" w:space="0"/>
            </w:tcBorders>
            <w:vAlign w:val="center"/>
          </w:tcPr>
          <w:p>
            <w:pPr>
              <w:rPr>
                <w:color w:val="auto"/>
                <w:highlight w:val="none"/>
                <w:lang w:eastAsia="zh-CN"/>
              </w:rPr>
            </w:pPr>
          </w:p>
        </w:tc>
        <w:tc>
          <w:tcPr>
            <w:tcW w:w="1276" w:type="dxa"/>
            <w:tcBorders>
              <w:left w:val="single" w:color="000000" w:sz="6" w:space="0"/>
              <w:right w:val="single" w:color="000000" w:sz="6" w:space="0"/>
            </w:tcBorders>
            <w:vAlign w:val="center"/>
          </w:tcPr>
          <w:p>
            <w:pPr>
              <w:rPr>
                <w:color w:val="auto"/>
                <w:highlight w:val="none"/>
                <w:lang w:eastAsia="zh-CN"/>
              </w:rPr>
            </w:pPr>
            <w:r>
              <w:rPr>
                <w:color w:val="auto"/>
                <w:highlight w:val="none"/>
                <w:lang w:eastAsia="zh-CN"/>
              </w:rPr>
              <w:t>不锈钢</w:t>
            </w:r>
            <w:r>
              <w:rPr>
                <w:rFonts w:hint="eastAsia"/>
                <w:color w:val="auto"/>
                <w:highlight w:val="none"/>
                <w:lang w:eastAsia="zh-CN"/>
              </w:rPr>
              <w:t>防撞带、</w:t>
            </w:r>
            <w:r>
              <w:rPr>
                <w:color w:val="auto"/>
                <w:highlight w:val="none"/>
                <w:lang w:eastAsia="zh-CN"/>
              </w:rPr>
              <w:t>不锈钢</w:t>
            </w:r>
            <w:r>
              <w:rPr>
                <w:rFonts w:hint="eastAsia"/>
                <w:color w:val="auto"/>
                <w:highlight w:val="none"/>
                <w:lang w:eastAsia="zh-CN"/>
              </w:rPr>
              <w:t>护角</w:t>
            </w:r>
          </w:p>
        </w:tc>
        <w:tc>
          <w:tcPr>
            <w:tcW w:w="6237" w:type="dxa"/>
            <w:tcBorders>
              <w:left w:val="single" w:color="000000" w:sz="6" w:space="0"/>
              <w:right w:val="single" w:color="000000" w:sz="6" w:space="0"/>
            </w:tcBorders>
            <w:vAlign w:val="center"/>
          </w:tcPr>
          <w:p>
            <w:pPr>
              <w:rPr>
                <w:color w:val="auto"/>
                <w:highlight w:val="none"/>
                <w:lang w:eastAsia="zh-CN"/>
              </w:rPr>
            </w:pPr>
            <w:r>
              <w:rPr>
                <w:rFonts w:hint="eastAsia"/>
                <w:color w:val="auto"/>
                <w:highlight w:val="none"/>
                <w:lang w:eastAsia="zh-CN"/>
              </w:rPr>
              <w:t>符合国家标准规定及环保要求，满足设计要求；规格尺寸、形状、颜色按现场样板实物。</w:t>
            </w:r>
          </w:p>
        </w:tc>
        <w:tc>
          <w:tcPr>
            <w:tcW w:w="1276" w:type="dxa"/>
            <w:tcBorders>
              <w:left w:val="single" w:color="000000" w:sz="6" w:space="0"/>
            </w:tcBorders>
            <w:vAlign w:val="center"/>
          </w:tcPr>
          <w:p>
            <w:pPr>
              <w:rPr>
                <w:color w:val="auto"/>
                <w:highlight w:val="none"/>
                <w:lang w:eastAsia="zh-CN"/>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708" w:type="dxa"/>
            <w:tcBorders>
              <w:right w:val="single" w:color="000000" w:sz="6" w:space="0"/>
            </w:tcBorders>
            <w:vAlign w:val="center"/>
          </w:tcPr>
          <w:p>
            <w:pPr>
              <w:rPr>
                <w:color w:val="auto"/>
                <w:highlight w:val="none"/>
                <w:lang w:eastAsia="zh-CN"/>
              </w:rPr>
            </w:pPr>
          </w:p>
        </w:tc>
        <w:tc>
          <w:tcPr>
            <w:tcW w:w="1276" w:type="dxa"/>
            <w:tcBorders>
              <w:left w:val="single" w:color="000000" w:sz="6" w:space="0"/>
              <w:right w:val="single" w:color="000000" w:sz="6" w:space="0"/>
            </w:tcBorders>
            <w:vAlign w:val="center"/>
          </w:tcPr>
          <w:p>
            <w:pPr>
              <w:rPr>
                <w:color w:val="auto"/>
                <w:highlight w:val="none"/>
              </w:rPr>
            </w:pPr>
            <w:r>
              <w:rPr>
                <w:rFonts w:hint="eastAsia"/>
                <w:color w:val="auto"/>
                <w:highlight w:val="none"/>
              </w:rPr>
              <w:t>人造石</w:t>
            </w:r>
          </w:p>
        </w:tc>
        <w:tc>
          <w:tcPr>
            <w:tcW w:w="6237" w:type="dxa"/>
            <w:tcBorders>
              <w:left w:val="single" w:color="000000" w:sz="6" w:space="0"/>
              <w:right w:val="single" w:color="000000" w:sz="6" w:space="0"/>
            </w:tcBorders>
            <w:vAlign w:val="center"/>
          </w:tcPr>
          <w:p>
            <w:pPr>
              <w:rPr>
                <w:color w:val="auto"/>
                <w:highlight w:val="none"/>
                <w:lang w:eastAsia="zh-CN"/>
              </w:rPr>
            </w:pPr>
            <w:r>
              <w:rPr>
                <w:rFonts w:hint="eastAsia"/>
                <w:color w:val="auto"/>
                <w:highlight w:val="none"/>
                <w:lang w:eastAsia="zh-CN"/>
              </w:rPr>
              <w:t>符合设计、国家有关标准、规范、规定要求，并符合下列要求：</w:t>
            </w:r>
          </w:p>
          <w:p>
            <w:pPr>
              <w:rPr>
                <w:color w:val="auto"/>
                <w:highlight w:val="none"/>
                <w:lang w:eastAsia="zh-CN"/>
              </w:rPr>
            </w:pPr>
            <w:r>
              <w:rPr>
                <w:rFonts w:hint="eastAsia"/>
                <w:color w:val="auto"/>
                <w:highlight w:val="none"/>
                <w:lang w:eastAsia="zh-CN"/>
              </w:rPr>
              <w:t>1、材质结构：主要成分为甲基丙烯酸甲（</w:t>
            </w:r>
            <w:r>
              <w:rPr>
                <w:color w:val="auto"/>
                <w:highlight w:val="none"/>
                <w:lang w:eastAsia="zh-CN"/>
              </w:rPr>
              <w:t xml:space="preserve"> MMA</w:t>
            </w:r>
            <w:r>
              <w:rPr>
                <w:rFonts w:hint="eastAsia"/>
                <w:color w:val="auto"/>
                <w:highlight w:val="none"/>
                <w:lang w:eastAsia="zh-CN"/>
              </w:rPr>
              <w:t>）、天然矿物（不少于</w:t>
            </w:r>
            <w:r>
              <w:rPr>
                <w:color w:val="auto"/>
                <w:highlight w:val="none"/>
                <w:lang w:eastAsia="zh-CN"/>
              </w:rPr>
              <w:t>55%</w:t>
            </w:r>
            <w:r>
              <w:rPr>
                <w:rFonts w:hint="eastAsia"/>
                <w:color w:val="auto"/>
                <w:highlight w:val="none"/>
                <w:lang w:eastAsia="zh-CN"/>
              </w:rPr>
              <w:t>）、进口颜料及促进料等。</w:t>
            </w:r>
          </w:p>
          <w:p>
            <w:pPr>
              <w:rPr>
                <w:color w:val="auto"/>
                <w:highlight w:val="none"/>
                <w:lang w:eastAsia="zh-CN"/>
              </w:rPr>
            </w:pPr>
            <w:r>
              <w:rPr>
                <w:rFonts w:hint="eastAsia"/>
                <w:color w:val="auto"/>
                <w:highlight w:val="none"/>
                <w:lang w:eastAsia="zh-CN"/>
              </w:rPr>
              <w:t>2、尺寸偏差：（1）长、宽允许偏差：±0.3%；（2）厚度允许偏差（A、C型）：±0.3㎜；（3）对角线偏差：同一块板材对角线最大差值≤10㎜；（4）平整度（A、C型）：≤0.5㎜；（5）边缘不直度≤1.5㎜/m。</w:t>
            </w:r>
          </w:p>
          <w:p>
            <w:pPr>
              <w:rPr>
                <w:color w:val="auto"/>
                <w:highlight w:val="none"/>
                <w:lang w:eastAsia="zh-CN"/>
              </w:rPr>
            </w:pPr>
            <w:r>
              <w:rPr>
                <w:rFonts w:hint="eastAsia"/>
                <w:color w:val="auto"/>
                <w:highlight w:val="none"/>
                <w:lang w:eastAsia="zh-CN"/>
              </w:rPr>
              <w:t>3、外观质量：色泽均匀一致，不得有明显色差；板材四边平整，表面不得有缺棱掉角现象；图案清晰、花纹明显；表面光滑平整，无波纹、方料痕、刮痕、裂纹，不允许有气泡、杂质；拼接不得有缝隙。</w:t>
            </w:r>
          </w:p>
          <w:p>
            <w:pPr>
              <w:rPr>
                <w:color w:val="auto"/>
                <w:highlight w:val="none"/>
              </w:rPr>
            </w:pPr>
            <w:r>
              <w:rPr>
                <w:rFonts w:hint="eastAsia"/>
                <w:color w:val="auto"/>
                <w:highlight w:val="none"/>
              </w:rPr>
              <w:t>4、巴氏硬度：PMMA≥58。</w:t>
            </w:r>
          </w:p>
          <w:p>
            <w:pPr>
              <w:rPr>
                <w:color w:val="auto"/>
                <w:highlight w:val="none"/>
                <w:lang w:eastAsia="zh-CN"/>
              </w:rPr>
            </w:pPr>
            <w:r>
              <w:rPr>
                <w:rFonts w:hint="eastAsia"/>
                <w:color w:val="auto"/>
                <w:highlight w:val="none"/>
                <w:lang w:eastAsia="zh-CN"/>
              </w:rPr>
              <w:t>5、力学性能：（1）荷载性能（A、C型）：表面不得有破裂，最大残余挠度值不得超过0.25㎜；（2）落球冲击：表面无破裂和碎片；（3）冲击韧性：不小于4KJ/㎡；（4）弯曲强度及弯曲弹性模量:弯曲强度不小于40MPa,弯曲弹性模量不小于6500MPa。</w:t>
            </w:r>
          </w:p>
          <w:p>
            <w:pPr>
              <w:rPr>
                <w:color w:val="auto"/>
                <w:highlight w:val="none"/>
                <w:lang w:eastAsia="zh-CN"/>
              </w:rPr>
            </w:pPr>
            <w:r>
              <w:rPr>
                <w:rFonts w:hint="eastAsia"/>
                <w:color w:val="auto"/>
                <w:highlight w:val="none"/>
                <w:lang w:eastAsia="zh-CN"/>
              </w:rPr>
              <w:t>6、色牢度与老化性能：不得呈现任何破裂、裂缝、气泡或表面质感变化；色差不得超过2CIE单位。</w:t>
            </w:r>
          </w:p>
          <w:p>
            <w:pPr>
              <w:rPr>
                <w:color w:val="auto"/>
                <w:highlight w:val="none"/>
                <w:lang w:eastAsia="zh-CN"/>
              </w:rPr>
            </w:pPr>
            <w:r>
              <w:rPr>
                <w:rFonts w:hint="eastAsia"/>
                <w:color w:val="auto"/>
                <w:highlight w:val="none"/>
                <w:lang w:eastAsia="zh-CN"/>
              </w:rPr>
              <w:t>7、耐污染性：耐污值总和不得超过64，最大污迹深度不大于0.12㎜。</w:t>
            </w:r>
          </w:p>
          <w:p>
            <w:pPr>
              <w:rPr>
                <w:color w:val="auto"/>
                <w:highlight w:val="none"/>
                <w:lang w:eastAsia="zh-CN"/>
              </w:rPr>
            </w:pPr>
            <w:r>
              <w:rPr>
                <w:rFonts w:hint="eastAsia"/>
                <w:color w:val="auto"/>
                <w:highlight w:val="none"/>
                <w:lang w:eastAsia="zh-CN"/>
              </w:rPr>
              <w:t>8、耐燃烧性能：（1）香烟燃烧：在与香烟接触过程中，或在此之后，不得有明火燃烧或阴燃，任何形式的损坏不得影响产品的使用性，并通过研磨和抛光剂大致恢复至原状；（2）阻燃性能：氧指数不小于35。</w:t>
            </w:r>
          </w:p>
          <w:p>
            <w:pPr>
              <w:rPr>
                <w:color w:val="auto"/>
                <w:highlight w:val="none"/>
                <w:lang w:eastAsia="zh-CN"/>
              </w:rPr>
            </w:pPr>
            <w:r>
              <w:rPr>
                <w:rFonts w:hint="eastAsia"/>
                <w:color w:val="auto"/>
                <w:highlight w:val="none"/>
                <w:lang w:eastAsia="zh-CN"/>
              </w:rPr>
              <w:t>9、耐化学药品性：表面无明显损伤，轻度损伤用600目砂纸轻擦即可除去，损伤程度应不影响产品使用性，并易恢复至原状。</w:t>
            </w:r>
          </w:p>
          <w:p>
            <w:pPr>
              <w:rPr>
                <w:color w:val="auto"/>
                <w:highlight w:val="none"/>
                <w:lang w:eastAsia="zh-CN"/>
              </w:rPr>
            </w:pPr>
            <w:r>
              <w:rPr>
                <w:rFonts w:hint="eastAsia"/>
                <w:color w:val="auto"/>
                <w:highlight w:val="none"/>
                <w:lang w:eastAsia="zh-CN"/>
              </w:rPr>
              <w:t>10、耐加热性：表面应无破裂、裂缝或气泡，任何变色采用研磨剂或抛光剂可除去并接近板材原状，并不影响板材使用，修复后的色差不得大于2CIE单位。</w:t>
            </w:r>
          </w:p>
          <w:p>
            <w:pPr>
              <w:rPr>
                <w:color w:val="auto"/>
                <w:highlight w:val="none"/>
                <w:lang w:eastAsia="zh-CN"/>
              </w:rPr>
            </w:pPr>
            <w:r>
              <w:rPr>
                <w:rFonts w:hint="eastAsia"/>
                <w:color w:val="auto"/>
                <w:highlight w:val="none"/>
                <w:lang w:eastAsia="zh-CN"/>
              </w:rPr>
              <w:t>11、表面无破裂、裂缝或气泡等显著影响，表面缺陷易打磨恢复至原状，并不影响板材使用，修复后的色差不得大于2CIE单位。</w:t>
            </w:r>
          </w:p>
          <w:p>
            <w:pPr>
              <w:rPr>
                <w:color w:val="auto"/>
                <w:highlight w:val="none"/>
                <w:lang w:eastAsia="zh-CN"/>
              </w:rPr>
            </w:pPr>
            <w:r>
              <w:rPr>
                <w:rFonts w:hint="eastAsia"/>
                <w:color w:val="auto"/>
                <w:highlight w:val="none"/>
                <w:lang w:eastAsia="zh-CN"/>
              </w:rPr>
              <w:t>12、金黄色葡萄球菌：平均抗菌率不小于90%。</w:t>
            </w:r>
          </w:p>
          <w:p>
            <w:pPr>
              <w:rPr>
                <w:color w:val="auto"/>
                <w:highlight w:val="none"/>
                <w:lang w:eastAsia="zh-CN"/>
              </w:rPr>
            </w:pPr>
            <w:r>
              <w:rPr>
                <w:rFonts w:hint="eastAsia"/>
                <w:color w:val="auto"/>
                <w:highlight w:val="none"/>
                <w:lang w:eastAsia="zh-CN"/>
              </w:rPr>
              <w:t>13、大肠杆菌：平均抗菌率不小于90%。</w:t>
            </w:r>
          </w:p>
          <w:p>
            <w:pPr>
              <w:rPr>
                <w:color w:val="auto"/>
                <w:highlight w:val="none"/>
              </w:rPr>
            </w:pPr>
            <w:r>
              <w:rPr>
                <w:rFonts w:hint="eastAsia"/>
                <w:color w:val="auto"/>
                <w:highlight w:val="none"/>
              </w:rPr>
              <w:t>14、放射性检测：符合（</w:t>
            </w:r>
            <w:r>
              <w:rPr>
                <w:color w:val="auto"/>
                <w:highlight w:val="none"/>
              </w:rPr>
              <w:t xml:space="preserve"> GB6566-2001</w:t>
            </w:r>
            <w:r>
              <w:rPr>
                <w:rFonts w:hint="eastAsia"/>
                <w:color w:val="auto"/>
                <w:highlight w:val="none"/>
              </w:rPr>
              <w:t>）标准</w:t>
            </w:r>
            <w:r>
              <w:rPr>
                <w:color w:val="auto"/>
                <w:highlight w:val="none"/>
              </w:rPr>
              <w:t xml:space="preserve"> A </w:t>
            </w:r>
            <w:r>
              <w:rPr>
                <w:rFonts w:hint="eastAsia"/>
                <w:color w:val="auto"/>
                <w:highlight w:val="none"/>
              </w:rPr>
              <w:t>级。</w:t>
            </w:r>
          </w:p>
        </w:tc>
        <w:tc>
          <w:tcPr>
            <w:tcW w:w="1276" w:type="dxa"/>
            <w:tcBorders>
              <w:left w:val="single" w:color="000000" w:sz="6" w:space="0"/>
            </w:tcBorders>
            <w:vAlign w:val="center"/>
          </w:tcPr>
          <w:p>
            <w:pPr>
              <w:rPr>
                <w:color w:val="auto"/>
                <w:highlight w:val="none"/>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708" w:type="dxa"/>
            <w:tcBorders>
              <w:right w:val="single" w:color="000000" w:sz="6" w:space="0"/>
            </w:tcBorders>
            <w:vAlign w:val="center"/>
          </w:tcPr>
          <w:p>
            <w:pPr>
              <w:rPr>
                <w:color w:val="auto"/>
                <w:highlight w:val="none"/>
              </w:rPr>
            </w:pPr>
          </w:p>
        </w:tc>
        <w:tc>
          <w:tcPr>
            <w:tcW w:w="1276" w:type="dxa"/>
            <w:tcBorders>
              <w:left w:val="single" w:color="000000" w:sz="6" w:space="0"/>
              <w:right w:val="single" w:color="000000" w:sz="6" w:space="0"/>
            </w:tcBorders>
            <w:vAlign w:val="center"/>
          </w:tcPr>
          <w:p>
            <w:pPr>
              <w:rPr>
                <w:color w:val="auto"/>
                <w:highlight w:val="none"/>
              </w:rPr>
            </w:pPr>
            <w:r>
              <w:rPr>
                <w:rFonts w:hint="eastAsia"/>
                <w:color w:val="auto"/>
                <w:highlight w:val="none"/>
              </w:rPr>
              <w:t>成品钢质门</w:t>
            </w:r>
          </w:p>
        </w:tc>
        <w:tc>
          <w:tcPr>
            <w:tcW w:w="6237" w:type="dxa"/>
            <w:tcBorders>
              <w:left w:val="single" w:color="000000" w:sz="6" w:space="0"/>
              <w:right w:val="single" w:color="000000" w:sz="6" w:space="0"/>
            </w:tcBorders>
            <w:vAlign w:val="center"/>
          </w:tcPr>
          <w:p>
            <w:pPr>
              <w:rPr>
                <w:color w:val="auto"/>
                <w:highlight w:val="none"/>
                <w:lang w:eastAsia="zh-CN"/>
              </w:rPr>
            </w:pPr>
            <w:r>
              <w:rPr>
                <w:rFonts w:hint="eastAsia"/>
                <w:color w:val="auto"/>
                <w:highlight w:val="none"/>
                <w:lang w:eastAsia="zh-CN"/>
              </w:rPr>
              <w:t>使用部位：无洁净要求的医生办公室等辅房，详见设计。</w:t>
            </w:r>
          </w:p>
          <w:p>
            <w:pPr>
              <w:rPr>
                <w:color w:val="auto"/>
                <w:highlight w:val="none"/>
                <w:lang w:eastAsia="zh-CN"/>
              </w:rPr>
            </w:pPr>
            <w:r>
              <w:rPr>
                <w:rFonts w:hint="eastAsia"/>
                <w:color w:val="auto"/>
                <w:highlight w:val="none"/>
                <w:lang w:eastAsia="zh-CN"/>
              </w:rPr>
              <w:t>符合设计、国家有关标准、规范、规定要求，并符合下列要求：</w:t>
            </w:r>
          </w:p>
          <w:p>
            <w:pPr>
              <w:rPr>
                <w:color w:val="auto"/>
                <w:highlight w:val="none"/>
                <w:lang w:eastAsia="zh-CN"/>
              </w:rPr>
            </w:pPr>
            <w:r>
              <w:rPr>
                <w:rFonts w:hint="eastAsia"/>
                <w:color w:val="auto"/>
                <w:highlight w:val="none"/>
                <w:lang w:eastAsia="zh-CN"/>
              </w:rPr>
              <w:t>1、材质要求：钢板采用国家知名企业生产的优质电镀锌板，门扇钢板厚≥0.8mm，门框钢板厚≥1.5mm，门扇内填充物采用高密度铝蜂窝，与钢板充分粘结，保证门扇强度在手指压力下坚挺无凹陷。</w:t>
            </w:r>
          </w:p>
          <w:p>
            <w:pPr>
              <w:rPr>
                <w:color w:val="auto"/>
                <w:highlight w:val="none"/>
                <w:lang w:eastAsia="zh-CN"/>
              </w:rPr>
            </w:pPr>
            <w:r>
              <w:rPr>
                <w:rFonts w:hint="eastAsia"/>
                <w:color w:val="auto"/>
                <w:highlight w:val="none"/>
                <w:lang w:eastAsia="zh-CN"/>
              </w:rPr>
              <w:t>2、要求采用静电氟碳（或溶剂型）喷涂，喷涂材料要求采用国际知名品牌，并要求涂层均匀、平整、光滑、无堆漆、麻点、气泡、漏涂、划痕和脱落现象，应对涂装工艺、厚度、材料及其特点进行说明，并提供相关证明资料。</w:t>
            </w:r>
          </w:p>
          <w:p>
            <w:pPr>
              <w:rPr>
                <w:color w:val="auto"/>
                <w:highlight w:val="none"/>
                <w:lang w:eastAsia="zh-CN"/>
              </w:rPr>
            </w:pPr>
            <w:r>
              <w:rPr>
                <w:rFonts w:hint="eastAsia"/>
                <w:color w:val="auto"/>
                <w:highlight w:val="none"/>
                <w:lang w:eastAsia="zh-CN"/>
              </w:rPr>
              <w:t>3、表面采用特殊防菌处理，有效控制细菌二次感染，并提供国家相应的检测报告。</w:t>
            </w:r>
          </w:p>
          <w:p>
            <w:pPr>
              <w:rPr>
                <w:color w:val="auto"/>
                <w:highlight w:val="none"/>
                <w:lang w:eastAsia="zh-CN"/>
              </w:rPr>
            </w:pPr>
            <w:r>
              <w:rPr>
                <w:rFonts w:hint="eastAsia"/>
                <w:color w:val="auto"/>
                <w:highlight w:val="none"/>
                <w:lang w:eastAsia="zh-CN"/>
              </w:rPr>
              <w:t>4、表面采用特殊技术加入防酸防碱材料，在使用中保证具有便于擦洗和清洁功能。</w:t>
            </w:r>
          </w:p>
          <w:p>
            <w:pPr>
              <w:rPr>
                <w:color w:val="auto"/>
                <w:highlight w:val="none"/>
                <w:lang w:eastAsia="zh-CN"/>
              </w:rPr>
            </w:pPr>
            <w:r>
              <w:rPr>
                <w:rFonts w:hint="eastAsia"/>
                <w:color w:val="auto"/>
                <w:highlight w:val="none"/>
                <w:lang w:eastAsia="zh-CN"/>
              </w:rPr>
              <w:t>5、门框：采用矩框，内置连接角，45度拼接，现场螺栓组装。所有门框压制R型密封槽，内嵌EPDM多胫密封条；门扇上制作视窗，视窗玻璃要求采用钢化玻璃并采用橡胶框压条，整个门扇无钉头外露。</w:t>
            </w:r>
          </w:p>
          <w:p>
            <w:pPr>
              <w:rPr>
                <w:color w:val="auto"/>
                <w:highlight w:val="none"/>
                <w:lang w:eastAsia="zh-CN"/>
              </w:rPr>
            </w:pPr>
            <w:r>
              <w:rPr>
                <w:rFonts w:hint="eastAsia"/>
                <w:color w:val="auto"/>
                <w:highlight w:val="none"/>
                <w:lang w:eastAsia="zh-CN"/>
              </w:rPr>
              <w:t>6、所有五金配件详见参考品牌，门锁采用高强PVC静音锁舌，锁体采用暗插式两极锁体，子母门采用暗置式插销。</w:t>
            </w:r>
          </w:p>
          <w:p>
            <w:pPr>
              <w:rPr>
                <w:color w:val="auto"/>
                <w:highlight w:val="none"/>
                <w:lang w:eastAsia="zh-CN"/>
              </w:rPr>
            </w:pPr>
            <w:r>
              <w:rPr>
                <w:rFonts w:hint="eastAsia"/>
                <w:color w:val="auto"/>
                <w:highlight w:val="none"/>
                <w:lang w:eastAsia="zh-CN"/>
              </w:rPr>
              <w:t>7、门框可根据设计要求定制宽度，门体采用静音设计，启闭灵活、安静，颜色采用暖色调，让使用者心情愉悦，具体颜色按业主和设计要求进行调配。</w:t>
            </w:r>
          </w:p>
          <w:p>
            <w:pPr>
              <w:rPr>
                <w:color w:val="auto"/>
                <w:highlight w:val="none"/>
                <w:lang w:eastAsia="zh-CN"/>
              </w:rPr>
            </w:pPr>
            <w:r>
              <w:rPr>
                <w:rFonts w:hint="eastAsia"/>
                <w:color w:val="auto"/>
                <w:highlight w:val="none"/>
                <w:lang w:eastAsia="zh-CN"/>
              </w:rPr>
              <w:t>8、尺寸公差：①门扇高度（㎜）：+2～-1；②门扇宽度（㎜）：+1～-3；③门扇厚度（㎜）：+2～-1；④门框槽口高度（㎜）：±3；⑤门框侧壁高度（㎜）：±2；⑥门框槽口宽度（㎜）：±1。</w:t>
            </w:r>
          </w:p>
          <w:p>
            <w:pPr>
              <w:rPr>
                <w:color w:val="auto"/>
                <w:highlight w:val="none"/>
                <w:lang w:eastAsia="zh-CN"/>
              </w:rPr>
            </w:pPr>
            <w:r>
              <w:rPr>
                <w:rFonts w:hint="eastAsia"/>
                <w:color w:val="auto"/>
                <w:highlight w:val="none"/>
                <w:lang w:eastAsia="zh-CN"/>
              </w:rPr>
              <w:t>9、形位公差：①门框（㎜）：槽口两对角线长度差≤3；②门扇（㎜）：两对角线长度差≤3，扭曲度≤5，高度方向弯曲度≤2；③门框、门扇（㎜）：门框与门扇（前表面）高底差≤3。</w:t>
            </w:r>
          </w:p>
          <w:p>
            <w:pPr>
              <w:rPr>
                <w:color w:val="auto"/>
                <w:highlight w:val="none"/>
                <w:lang w:eastAsia="zh-CN"/>
              </w:rPr>
            </w:pPr>
            <w:r>
              <w:rPr>
                <w:rFonts w:hint="eastAsia"/>
                <w:color w:val="auto"/>
                <w:highlight w:val="none"/>
                <w:lang w:eastAsia="zh-CN"/>
              </w:rPr>
              <w:t>10、门框槽口对角线尺寸之差（㎜）：对角线尺寸&lt;2000时，极限偏差≤2；对角线尺寸2000～3500时，极限偏差≤3；对角线尺寸&gt;3500时，极限偏差≤4。</w:t>
            </w:r>
          </w:p>
          <w:p>
            <w:pPr>
              <w:rPr>
                <w:color w:val="auto"/>
                <w:highlight w:val="none"/>
                <w:lang w:eastAsia="zh-CN"/>
              </w:rPr>
            </w:pPr>
            <w:r>
              <w:rPr>
                <w:rFonts w:hint="eastAsia"/>
                <w:color w:val="auto"/>
                <w:highlight w:val="none"/>
                <w:lang w:eastAsia="zh-CN"/>
              </w:rPr>
              <w:t>11、成品钢质门的五金要求参照成品木门的要求执行。</w:t>
            </w:r>
          </w:p>
        </w:tc>
        <w:tc>
          <w:tcPr>
            <w:tcW w:w="1276" w:type="dxa"/>
            <w:tcBorders>
              <w:left w:val="single" w:color="000000" w:sz="6" w:space="0"/>
            </w:tcBorders>
            <w:vAlign w:val="center"/>
          </w:tcPr>
          <w:p>
            <w:pPr>
              <w:rPr>
                <w:color w:val="auto"/>
                <w:highlight w:val="none"/>
                <w:lang w:eastAsia="zh-CN"/>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708" w:type="dxa"/>
            <w:tcBorders>
              <w:right w:val="single" w:color="000000" w:sz="6" w:space="0"/>
            </w:tcBorders>
            <w:vAlign w:val="center"/>
          </w:tcPr>
          <w:p>
            <w:pPr>
              <w:rPr>
                <w:color w:val="auto"/>
                <w:highlight w:val="none"/>
                <w:lang w:eastAsia="zh-CN"/>
              </w:rPr>
            </w:pPr>
          </w:p>
        </w:tc>
        <w:tc>
          <w:tcPr>
            <w:tcW w:w="1276" w:type="dxa"/>
            <w:tcBorders>
              <w:left w:val="single" w:color="000000" w:sz="6" w:space="0"/>
              <w:right w:val="single" w:color="000000" w:sz="6" w:space="0"/>
            </w:tcBorders>
            <w:vAlign w:val="center"/>
          </w:tcPr>
          <w:p>
            <w:pPr>
              <w:rPr>
                <w:color w:val="auto"/>
                <w:highlight w:val="none"/>
              </w:rPr>
            </w:pPr>
            <w:r>
              <w:rPr>
                <w:rFonts w:hint="eastAsia"/>
                <w:color w:val="auto"/>
                <w:highlight w:val="none"/>
              </w:rPr>
              <w:t>电动密闭门</w:t>
            </w:r>
          </w:p>
        </w:tc>
        <w:tc>
          <w:tcPr>
            <w:tcW w:w="6237" w:type="dxa"/>
            <w:tcBorders>
              <w:left w:val="single" w:color="000000" w:sz="6" w:space="0"/>
              <w:right w:val="single" w:color="000000" w:sz="6" w:space="0"/>
            </w:tcBorders>
            <w:vAlign w:val="center"/>
          </w:tcPr>
          <w:p>
            <w:pPr>
              <w:rPr>
                <w:color w:val="auto"/>
                <w:highlight w:val="none"/>
                <w:lang w:eastAsia="zh-CN"/>
              </w:rPr>
            </w:pPr>
            <w:r>
              <w:rPr>
                <w:color w:val="auto"/>
                <w:highlight w:val="none"/>
                <w:lang w:eastAsia="zh-CN"/>
              </w:rPr>
              <w:t>2</w:t>
            </w:r>
            <w:r>
              <w:rPr>
                <w:rFonts w:hint="eastAsia"/>
                <w:color w:val="auto"/>
                <w:highlight w:val="none"/>
                <w:lang w:eastAsia="zh-CN"/>
              </w:rPr>
              <w:t>、门体：门身为钢板，颜色采用暖色调，让使用者心情愉悦，具体颜色按业主和设计要求进行调配。门边四周橡胶条密封，当门处于关闭状态时每侧的密封框与门体的橡胶条严密贴合；门体表面门板不可以有接缝。</w:t>
            </w:r>
          </w:p>
          <w:p>
            <w:pPr>
              <w:rPr>
                <w:color w:val="auto"/>
                <w:highlight w:val="none"/>
                <w:lang w:eastAsia="zh-CN"/>
              </w:rPr>
            </w:pPr>
            <w:r>
              <w:rPr>
                <w:color w:val="auto"/>
                <w:highlight w:val="none"/>
                <w:lang w:eastAsia="zh-CN"/>
              </w:rPr>
              <w:t>3</w:t>
            </w:r>
            <w:r>
              <w:rPr>
                <w:rFonts w:hint="eastAsia"/>
                <w:color w:val="auto"/>
                <w:highlight w:val="none"/>
                <w:lang w:eastAsia="zh-CN"/>
              </w:rPr>
              <w:t>、电动开门方式：为非接触性开关、按钮开门、脚感开关，有消防联动功能接口，并具有外接门禁功能；运行平稳、安静、运行速度可多段式调校。</w:t>
            </w:r>
          </w:p>
          <w:p>
            <w:pPr>
              <w:rPr>
                <w:color w:val="auto"/>
                <w:highlight w:val="none"/>
                <w:lang w:eastAsia="zh-CN"/>
              </w:rPr>
            </w:pPr>
            <w:r>
              <w:rPr>
                <w:color w:val="auto"/>
                <w:highlight w:val="none"/>
                <w:lang w:eastAsia="zh-CN"/>
              </w:rPr>
              <w:t>4</w:t>
            </w:r>
            <w:r>
              <w:rPr>
                <w:rFonts w:hint="eastAsia"/>
                <w:color w:val="auto"/>
                <w:highlight w:val="none"/>
                <w:lang w:eastAsia="zh-CN"/>
              </w:rPr>
              <w:t>、开门停留时间可调（</w:t>
            </w:r>
            <w:r>
              <w:rPr>
                <w:color w:val="auto"/>
                <w:highlight w:val="none"/>
                <w:lang w:eastAsia="zh-CN"/>
              </w:rPr>
              <w:t>1</w:t>
            </w:r>
            <w:r>
              <w:rPr>
                <w:rFonts w:hint="eastAsia"/>
                <w:color w:val="auto"/>
                <w:highlight w:val="none"/>
                <w:lang w:eastAsia="zh-CN"/>
              </w:rPr>
              <w:t>～</w:t>
            </w:r>
            <w:r>
              <w:rPr>
                <w:color w:val="auto"/>
                <w:highlight w:val="none"/>
                <w:lang w:eastAsia="zh-CN"/>
              </w:rPr>
              <w:t>30s</w:t>
            </w:r>
            <w:r>
              <w:rPr>
                <w:rFonts w:hint="eastAsia"/>
                <w:color w:val="auto"/>
                <w:highlight w:val="none"/>
                <w:lang w:eastAsia="zh-CN"/>
              </w:rPr>
              <w:t>）</w:t>
            </w:r>
            <w:r>
              <w:rPr>
                <w:color w:val="auto"/>
                <w:highlight w:val="none"/>
                <w:lang w:eastAsia="zh-CN"/>
              </w:rPr>
              <w:t>,</w:t>
            </w:r>
            <w:r>
              <w:rPr>
                <w:rFonts w:hint="eastAsia"/>
                <w:color w:val="auto"/>
                <w:highlight w:val="none"/>
                <w:lang w:eastAsia="zh-CN"/>
              </w:rPr>
              <w:t>停电或传动系统出现故障时，也可以手动控制。</w:t>
            </w:r>
          </w:p>
          <w:p>
            <w:pPr>
              <w:rPr>
                <w:color w:val="auto"/>
                <w:highlight w:val="none"/>
                <w:lang w:eastAsia="zh-CN"/>
              </w:rPr>
            </w:pPr>
            <w:r>
              <w:rPr>
                <w:color w:val="auto"/>
                <w:highlight w:val="none"/>
                <w:lang w:eastAsia="zh-CN"/>
              </w:rPr>
              <w:t>5</w:t>
            </w:r>
            <w:r>
              <w:rPr>
                <w:rFonts w:hint="eastAsia"/>
                <w:color w:val="auto"/>
                <w:highlight w:val="none"/>
                <w:lang w:eastAsia="zh-CN"/>
              </w:rPr>
              <w:t>、门机采用交流</w:t>
            </w:r>
            <w:r>
              <w:rPr>
                <w:color w:val="auto"/>
                <w:highlight w:val="none"/>
                <w:lang w:eastAsia="zh-CN"/>
              </w:rPr>
              <w:t>/</w:t>
            </w:r>
            <w:r>
              <w:rPr>
                <w:rFonts w:hint="eastAsia"/>
                <w:color w:val="auto"/>
                <w:highlight w:val="none"/>
                <w:lang w:eastAsia="zh-CN"/>
              </w:rPr>
              <w:t>直流电机驱动，门体挂轮运行应采用单</w:t>
            </w:r>
            <w:r>
              <w:rPr>
                <w:color w:val="auto"/>
                <w:highlight w:val="none"/>
                <w:lang w:eastAsia="zh-CN"/>
              </w:rPr>
              <w:t>/</w:t>
            </w:r>
            <w:r>
              <w:rPr>
                <w:rFonts w:hint="eastAsia"/>
                <w:color w:val="auto"/>
                <w:highlight w:val="none"/>
                <w:lang w:eastAsia="zh-CN"/>
              </w:rPr>
              <w:t>双轨道，门均应有内压下沉等气密动作。</w:t>
            </w:r>
          </w:p>
          <w:p>
            <w:pPr>
              <w:rPr>
                <w:color w:val="auto"/>
                <w:highlight w:val="none"/>
                <w:lang w:eastAsia="zh-CN"/>
              </w:rPr>
            </w:pPr>
            <w:r>
              <w:rPr>
                <w:color w:val="auto"/>
                <w:highlight w:val="none"/>
                <w:lang w:eastAsia="zh-CN"/>
              </w:rPr>
              <w:t>6</w:t>
            </w:r>
            <w:r>
              <w:rPr>
                <w:rFonts w:hint="eastAsia"/>
                <w:color w:val="auto"/>
                <w:highlight w:val="none"/>
                <w:lang w:eastAsia="zh-CN"/>
              </w:rPr>
              <w:t>、关门为自动延时主动关闭，在门关闭过程中，如果检测到障碍物时，平滑门自动反向运动（撞击力度小于</w:t>
            </w:r>
            <w:r>
              <w:rPr>
                <w:color w:val="auto"/>
                <w:highlight w:val="none"/>
                <w:lang w:eastAsia="zh-CN"/>
              </w:rPr>
              <w:t>50</w:t>
            </w:r>
            <w:r>
              <w:rPr>
                <w:rFonts w:hint="eastAsia"/>
                <w:color w:val="auto"/>
                <w:highlight w:val="none"/>
                <w:lang w:eastAsia="zh-CN"/>
              </w:rPr>
              <w:t>牛顿），直到障碍物清除后再自动关闭。</w:t>
            </w:r>
          </w:p>
          <w:p>
            <w:pPr>
              <w:rPr>
                <w:color w:val="auto"/>
                <w:highlight w:val="none"/>
                <w:lang w:eastAsia="zh-CN"/>
              </w:rPr>
            </w:pPr>
            <w:r>
              <w:rPr>
                <w:color w:val="auto"/>
                <w:highlight w:val="none"/>
                <w:lang w:eastAsia="zh-CN"/>
              </w:rPr>
              <w:t>7</w:t>
            </w:r>
            <w:r>
              <w:rPr>
                <w:rFonts w:hint="eastAsia"/>
                <w:color w:val="auto"/>
                <w:highlight w:val="none"/>
                <w:lang w:eastAsia="zh-CN"/>
              </w:rPr>
              <w:t>、门体上方设“手术中”灯。</w:t>
            </w:r>
          </w:p>
          <w:p>
            <w:pPr>
              <w:rPr>
                <w:color w:val="auto"/>
                <w:highlight w:val="none"/>
                <w:lang w:eastAsia="zh-CN"/>
              </w:rPr>
            </w:pPr>
            <w:r>
              <w:rPr>
                <w:color w:val="auto"/>
                <w:highlight w:val="none"/>
                <w:lang w:eastAsia="zh-CN"/>
              </w:rPr>
              <w:t>8</w:t>
            </w:r>
            <w:r>
              <w:rPr>
                <w:rFonts w:hint="eastAsia"/>
                <w:color w:val="auto"/>
                <w:highlight w:val="none"/>
                <w:lang w:eastAsia="zh-CN"/>
              </w:rPr>
              <w:t>、要求具有完整的</w:t>
            </w:r>
            <w:r>
              <w:rPr>
                <w:rFonts w:hint="eastAsia"/>
                <w:strike/>
                <w:color w:val="auto"/>
                <w:highlight w:val="none"/>
                <w:lang w:eastAsia="zh-CN"/>
              </w:rPr>
              <w:t>由专业实验室出具的</w:t>
            </w:r>
            <w:r>
              <w:rPr>
                <w:rFonts w:hint="eastAsia"/>
                <w:color w:val="auto"/>
                <w:highlight w:val="none"/>
                <w:lang w:eastAsia="zh-CN"/>
              </w:rPr>
              <w:t>气密性检测报告、声音衰减检测报告、并附有检测报告。气密性及隔音性如下：</w:t>
            </w:r>
          </w:p>
          <w:p>
            <w:pPr>
              <w:rPr>
                <w:color w:val="auto"/>
                <w:highlight w:val="none"/>
                <w:lang w:eastAsia="zh-CN"/>
              </w:rPr>
            </w:pPr>
            <w:r>
              <w:rPr>
                <w:rFonts w:hint="eastAsia"/>
                <w:color w:val="auto"/>
                <w:highlight w:val="none"/>
                <w:lang w:eastAsia="zh-CN"/>
              </w:rPr>
              <w:t>（</w:t>
            </w:r>
            <w:r>
              <w:rPr>
                <w:color w:val="auto"/>
                <w:highlight w:val="none"/>
                <w:lang w:eastAsia="zh-CN"/>
              </w:rPr>
              <w:t>1</w:t>
            </w:r>
            <w:r>
              <w:rPr>
                <w:rFonts w:hint="eastAsia"/>
                <w:color w:val="auto"/>
                <w:highlight w:val="none"/>
                <w:lang w:eastAsia="zh-CN"/>
              </w:rPr>
              <w:t>）气密性：压力</w:t>
            </w:r>
            <w:r>
              <w:rPr>
                <w:color w:val="auto"/>
                <w:highlight w:val="none"/>
                <w:lang w:eastAsia="zh-CN"/>
              </w:rPr>
              <w:t>15</w:t>
            </w:r>
            <w:r>
              <w:rPr>
                <w:rFonts w:hint="eastAsia"/>
                <w:color w:val="auto"/>
                <w:highlight w:val="none"/>
                <w:lang w:eastAsia="zh-CN"/>
              </w:rPr>
              <w:t>帕时，渗透量不小于</w:t>
            </w:r>
            <w:r>
              <w:rPr>
                <w:color w:val="auto"/>
                <w:highlight w:val="none"/>
                <w:lang w:eastAsia="zh-CN"/>
              </w:rPr>
              <w:t>0.78</w:t>
            </w:r>
            <w:r>
              <w:rPr>
                <w:rFonts w:hint="eastAsia"/>
                <w:color w:val="auto"/>
                <w:highlight w:val="none"/>
                <w:lang w:eastAsia="zh-CN"/>
              </w:rPr>
              <w:t>立方米</w:t>
            </w:r>
            <w:r>
              <w:rPr>
                <w:color w:val="auto"/>
                <w:highlight w:val="none"/>
                <w:lang w:eastAsia="zh-CN"/>
              </w:rPr>
              <w:t>/</w:t>
            </w:r>
            <w:r>
              <w:rPr>
                <w:rFonts w:hint="eastAsia"/>
                <w:color w:val="auto"/>
                <w:highlight w:val="none"/>
                <w:lang w:eastAsia="zh-CN"/>
              </w:rPr>
              <w:t>小时。</w:t>
            </w:r>
          </w:p>
          <w:p>
            <w:pPr>
              <w:rPr>
                <w:color w:val="auto"/>
                <w:highlight w:val="none"/>
                <w:lang w:eastAsia="zh-CN"/>
              </w:rPr>
            </w:pPr>
            <w:r>
              <w:rPr>
                <w:rFonts w:hint="eastAsia"/>
                <w:color w:val="auto"/>
                <w:highlight w:val="none"/>
                <w:lang w:eastAsia="zh-CN"/>
              </w:rPr>
              <w:t>（</w:t>
            </w:r>
            <w:r>
              <w:rPr>
                <w:color w:val="auto"/>
                <w:highlight w:val="none"/>
                <w:lang w:eastAsia="zh-CN"/>
              </w:rPr>
              <w:t>2</w:t>
            </w:r>
            <w:r>
              <w:rPr>
                <w:rFonts w:hint="eastAsia"/>
                <w:color w:val="auto"/>
                <w:highlight w:val="none"/>
                <w:lang w:eastAsia="zh-CN"/>
              </w:rPr>
              <w:t>）声音衰减</w:t>
            </w:r>
            <w:r>
              <w:rPr>
                <w:color w:val="auto"/>
                <w:highlight w:val="none"/>
                <w:lang w:eastAsia="zh-CN"/>
              </w:rPr>
              <w:t>R</w:t>
            </w:r>
            <w:r>
              <w:rPr>
                <w:rFonts w:hint="eastAsia"/>
                <w:color w:val="auto"/>
                <w:highlight w:val="none"/>
                <w:lang w:eastAsia="zh-CN"/>
              </w:rPr>
              <w:t>（</w:t>
            </w:r>
            <w:r>
              <w:rPr>
                <w:color w:val="auto"/>
                <w:highlight w:val="none"/>
                <w:lang w:eastAsia="zh-CN"/>
              </w:rPr>
              <w:t>C100-C5000</w:t>
            </w:r>
            <w:r>
              <w:rPr>
                <w:rFonts w:hint="eastAsia"/>
                <w:color w:val="auto"/>
                <w:highlight w:val="none"/>
                <w:lang w:eastAsia="zh-CN"/>
              </w:rPr>
              <w:t>）高于</w:t>
            </w:r>
            <w:r>
              <w:rPr>
                <w:color w:val="auto"/>
                <w:highlight w:val="none"/>
                <w:lang w:eastAsia="zh-CN"/>
              </w:rPr>
              <w:t>27.7 dBA</w:t>
            </w:r>
            <w:r>
              <w:rPr>
                <w:rFonts w:hint="eastAsia"/>
                <w:color w:val="auto"/>
                <w:highlight w:val="none"/>
                <w:lang w:eastAsia="zh-CN"/>
              </w:rPr>
              <w:t>。</w:t>
            </w:r>
          </w:p>
          <w:p>
            <w:pPr>
              <w:rPr>
                <w:color w:val="auto"/>
                <w:highlight w:val="none"/>
                <w:lang w:eastAsia="zh-CN"/>
              </w:rPr>
            </w:pPr>
            <w:r>
              <w:rPr>
                <w:color w:val="auto"/>
                <w:highlight w:val="none"/>
                <w:lang w:eastAsia="zh-CN"/>
              </w:rPr>
              <w:t>9</w:t>
            </w:r>
            <w:r>
              <w:rPr>
                <w:rFonts w:hint="eastAsia"/>
                <w:color w:val="auto"/>
                <w:highlight w:val="none"/>
                <w:lang w:eastAsia="zh-CN"/>
              </w:rPr>
              <w:t>、安全性能：遇阻反弹力可调，安全开启次数大于</w:t>
            </w:r>
            <w:r>
              <w:rPr>
                <w:color w:val="auto"/>
                <w:highlight w:val="none"/>
                <w:lang w:eastAsia="zh-CN"/>
              </w:rPr>
              <w:t>200</w:t>
            </w:r>
            <w:r>
              <w:rPr>
                <w:rFonts w:hint="eastAsia"/>
                <w:color w:val="auto"/>
                <w:highlight w:val="none"/>
                <w:lang w:eastAsia="zh-CN"/>
              </w:rPr>
              <w:t>万次。</w:t>
            </w:r>
          </w:p>
          <w:p>
            <w:pPr>
              <w:rPr>
                <w:color w:val="auto"/>
                <w:highlight w:val="none"/>
                <w:lang w:eastAsia="zh-CN"/>
              </w:rPr>
            </w:pPr>
            <w:r>
              <w:rPr>
                <w:color w:val="auto"/>
                <w:highlight w:val="none"/>
                <w:lang w:eastAsia="zh-CN"/>
              </w:rPr>
              <w:t>11</w:t>
            </w:r>
            <w:r>
              <w:rPr>
                <w:rFonts w:hint="eastAsia"/>
                <w:color w:val="auto"/>
                <w:highlight w:val="none"/>
                <w:lang w:eastAsia="zh-CN"/>
              </w:rPr>
              <w:t>、需拉动门扇重量为：（单扇）</w:t>
            </w:r>
            <w:r>
              <w:rPr>
                <w:color w:val="auto"/>
                <w:highlight w:val="none"/>
                <w:lang w:eastAsia="zh-CN"/>
              </w:rPr>
              <w:t>1*220kg</w:t>
            </w:r>
            <w:r>
              <w:rPr>
                <w:rFonts w:hint="eastAsia"/>
                <w:color w:val="auto"/>
                <w:highlight w:val="none"/>
                <w:lang w:eastAsia="zh-CN"/>
              </w:rPr>
              <w:t>或以上（带气密式下沉）、（双扇）</w:t>
            </w:r>
            <w:r>
              <w:rPr>
                <w:color w:val="auto"/>
                <w:highlight w:val="none"/>
                <w:lang w:eastAsia="zh-CN"/>
              </w:rPr>
              <w:t>2*150kg</w:t>
            </w:r>
            <w:r>
              <w:rPr>
                <w:rFonts w:hint="eastAsia"/>
                <w:color w:val="auto"/>
                <w:highlight w:val="none"/>
                <w:lang w:eastAsia="zh-CN"/>
              </w:rPr>
              <w:t>或以上（平移型）；</w:t>
            </w:r>
          </w:p>
          <w:p>
            <w:pPr>
              <w:rPr>
                <w:color w:val="auto"/>
                <w:highlight w:val="none"/>
                <w:lang w:eastAsia="zh-CN"/>
              </w:rPr>
            </w:pPr>
            <w:r>
              <w:rPr>
                <w:color w:val="auto"/>
                <w:highlight w:val="none"/>
                <w:lang w:eastAsia="zh-CN"/>
              </w:rPr>
              <w:t>12</w:t>
            </w:r>
            <w:r>
              <w:rPr>
                <w:rFonts w:hint="eastAsia"/>
                <w:color w:val="auto"/>
                <w:highlight w:val="none"/>
                <w:lang w:eastAsia="zh-CN"/>
              </w:rPr>
              <w:t>、开关门最大速度：（单扇）</w:t>
            </w:r>
            <w:r>
              <w:rPr>
                <w:color w:val="auto"/>
                <w:highlight w:val="none"/>
                <w:lang w:eastAsia="zh-CN"/>
              </w:rPr>
              <w:t xml:space="preserve">300mm </w:t>
            </w:r>
            <w:r>
              <w:rPr>
                <w:rFonts w:hint="eastAsia"/>
                <w:color w:val="auto"/>
                <w:highlight w:val="none"/>
                <w:lang w:eastAsia="zh-CN"/>
              </w:rPr>
              <w:t>∕</w:t>
            </w:r>
            <w:r>
              <w:rPr>
                <w:color w:val="auto"/>
                <w:highlight w:val="none"/>
                <w:lang w:eastAsia="zh-CN"/>
              </w:rPr>
              <w:t xml:space="preserve"> </w:t>
            </w:r>
            <w:r>
              <w:rPr>
                <w:rFonts w:hint="eastAsia"/>
                <w:color w:val="auto"/>
                <w:highlight w:val="none"/>
                <w:lang w:eastAsia="zh-CN"/>
              </w:rPr>
              <w:t>秒以下、（双扇）</w:t>
            </w:r>
            <w:r>
              <w:rPr>
                <w:color w:val="auto"/>
                <w:highlight w:val="none"/>
                <w:lang w:eastAsia="zh-CN"/>
              </w:rPr>
              <w:t xml:space="preserve">500mm </w:t>
            </w:r>
            <w:r>
              <w:rPr>
                <w:rFonts w:hint="eastAsia"/>
                <w:color w:val="auto"/>
                <w:highlight w:val="none"/>
                <w:lang w:eastAsia="zh-CN"/>
              </w:rPr>
              <w:t>∕</w:t>
            </w:r>
            <w:r>
              <w:rPr>
                <w:color w:val="auto"/>
                <w:highlight w:val="none"/>
                <w:lang w:eastAsia="zh-CN"/>
              </w:rPr>
              <w:t xml:space="preserve"> </w:t>
            </w:r>
            <w:r>
              <w:rPr>
                <w:rFonts w:hint="eastAsia"/>
                <w:color w:val="auto"/>
                <w:highlight w:val="none"/>
                <w:lang w:eastAsia="zh-CN"/>
              </w:rPr>
              <w:t>秒以下。</w:t>
            </w:r>
          </w:p>
          <w:p>
            <w:pPr>
              <w:rPr>
                <w:color w:val="auto"/>
                <w:highlight w:val="none"/>
                <w:lang w:eastAsia="zh-CN"/>
              </w:rPr>
            </w:pPr>
            <w:r>
              <w:rPr>
                <w:rFonts w:hint="eastAsia"/>
                <w:color w:val="auto"/>
                <w:highlight w:val="none"/>
                <w:lang w:eastAsia="zh-CN"/>
              </w:rPr>
              <w:t>1</w:t>
            </w:r>
            <w:r>
              <w:rPr>
                <w:color w:val="auto"/>
                <w:highlight w:val="none"/>
                <w:lang w:eastAsia="zh-CN"/>
              </w:rPr>
              <w:t>3</w:t>
            </w:r>
            <w:r>
              <w:rPr>
                <w:rFonts w:hint="eastAsia"/>
                <w:color w:val="auto"/>
                <w:highlight w:val="none"/>
                <w:lang w:eastAsia="zh-CN"/>
              </w:rPr>
              <w:t>、</w:t>
            </w:r>
            <w:r>
              <w:rPr>
                <w:rFonts w:hint="eastAsia"/>
                <w:color w:val="auto"/>
                <w:highlight w:val="none"/>
                <w:lang w:eastAsia="zh-CN" w:bidi="ar"/>
              </w:rPr>
              <w:t>电动门采用感应器。可自动识别障碍物，遇到障碍物时可自动反弹，连续撞击障碍物</w:t>
            </w:r>
            <w:r>
              <w:rPr>
                <w:color w:val="auto"/>
                <w:highlight w:val="none"/>
                <w:lang w:eastAsia="zh-CN" w:bidi="ar"/>
              </w:rPr>
              <w:t>3</w:t>
            </w:r>
            <w:r>
              <w:rPr>
                <w:rFonts w:hint="eastAsia"/>
                <w:color w:val="auto"/>
                <w:highlight w:val="none"/>
                <w:lang w:eastAsia="zh-CN" w:bidi="ar"/>
              </w:rPr>
              <w:t>次机组将暂停运作，障碍物挪开后可自动恢复正常。</w:t>
            </w:r>
          </w:p>
          <w:p>
            <w:pPr>
              <w:rPr>
                <w:color w:val="auto"/>
                <w:highlight w:val="none"/>
                <w:lang w:eastAsia="zh-CN"/>
              </w:rPr>
            </w:pPr>
            <w:r>
              <w:rPr>
                <w:color w:val="auto"/>
                <w:highlight w:val="none"/>
                <w:lang w:eastAsia="zh-CN" w:bidi="ar"/>
              </w:rPr>
              <w:t>14</w:t>
            </w:r>
            <w:r>
              <w:rPr>
                <w:rFonts w:hint="eastAsia"/>
                <w:color w:val="auto"/>
                <w:highlight w:val="none"/>
                <w:lang w:eastAsia="zh-CN" w:bidi="ar"/>
              </w:rPr>
              <w:t>、手术室的门轨不应有缝隙，以免积灰和难以清洁。</w:t>
            </w:r>
          </w:p>
          <w:p>
            <w:pPr>
              <w:rPr>
                <w:color w:val="auto"/>
                <w:highlight w:val="none"/>
                <w:lang w:eastAsia="zh-CN"/>
              </w:rPr>
            </w:pPr>
            <w:r>
              <w:rPr>
                <w:color w:val="auto"/>
                <w:highlight w:val="none"/>
                <w:lang w:eastAsia="zh-CN" w:bidi="ar"/>
              </w:rPr>
              <w:t>15</w:t>
            </w:r>
            <w:r>
              <w:rPr>
                <w:rFonts w:hint="eastAsia"/>
                <w:color w:val="auto"/>
                <w:highlight w:val="none"/>
                <w:lang w:eastAsia="zh-CN" w:bidi="ar"/>
              </w:rPr>
              <w:t>、</w:t>
            </w:r>
            <w:r>
              <w:rPr>
                <w:color w:val="auto"/>
                <w:highlight w:val="none"/>
                <w:lang w:eastAsia="zh-CN" w:bidi="ar"/>
              </w:rPr>
              <w:t>ICU</w:t>
            </w:r>
            <w:r>
              <w:rPr>
                <w:rFonts w:hint="eastAsia"/>
                <w:color w:val="auto"/>
                <w:highlight w:val="none"/>
                <w:lang w:eastAsia="zh-CN" w:bidi="ar"/>
              </w:rPr>
              <w:t>门体采用</w:t>
            </w:r>
            <w:r>
              <w:rPr>
                <w:color w:val="auto"/>
                <w:highlight w:val="none"/>
                <w:lang w:eastAsia="zh-CN" w:bidi="ar"/>
              </w:rPr>
              <w:t>10mm</w:t>
            </w:r>
            <w:r>
              <w:rPr>
                <w:rFonts w:hint="eastAsia"/>
                <w:color w:val="auto"/>
                <w:highlight w:val="none"/>
                <w:lang w:eastAsia="zh-CN" w:bidi="ar"/>
              </w:rPr>
              <w:t>钢化玻璃制作，净化铝材收边。</w:t>
            </w:r>
          </w:p>
          <w:p>
            <w:pPr>
              <w:rPr>
                <w:color w:val="auto"/>
                <w:highlight w:val="none"/>
                <w:lang w:eastAsia="zh-CN"/>
              </w:rPr>
            </w:pPr>
          </w:p>
        </w:tc>
        <w:tc>
          <w:tcPr>
            <w:tcW w:w="1276" w:type="dxa"/>
            <w:tcBorders>
              <w:left w:val="single" w:color="000000" w:sz="6" w:space="0"/>
            </w:tcBorders>
            <w:vAlign w:val="center"/>
          </w:tcPr>
          <w:p>
            <w:pPr>
              <w:rPr>
                <w:color w:val="auto"/>
                <w:highlight w:val="none"/>
                <w:lang w:eastAsia="zh-CN"/>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708" w:type="dxa"/>
            <w:tcBorders>
              <w:right w:val="single" w:color="000000" w:sz="6" w:space="0"/>
            </w:tcBorders>
            <w:vAlign w:val="center"/>
          </w:tcPr>
          <w:p>
            <w:pPr>
              <w:rPr>
                <w:color w:val="auto"/>
                <w:highlight w:val="none"/>
                <w:lang w:eastAsia="zh-CN"/>
              </w:rPr>
            </w:pPr>
          </w:p>
        </w:tc>
        <w:tc>
          <w:tcPr>
            <w:tcW w:w="1276" w:type="dxa"/>
            <w:tcBorders>
              <w:left w:val="single" w:color="000000" w:sz="6" w:space="0"/>
              <w:right w:val="single" w:color="000000" w:sz="6" w:space="0"/>
            </w:tcBorders>
            <w:vAlign w:val="center"/>
          </w:tcPr>
          <w:p>
            <w:pPr>
              <w:rPr>
                <w:color w:val="auto"/>
                <w:highlight w:val="none"/>
              </w:rPr>
            </w:pPr>
            <w:r>
              <w:rPr>
                <w:rFonts w:hint="eastAsia"/>
                <w:color w:val="auto"/>
                <w:highlight w:val="none"/>
              </w:rPr>
              <w:t>手动密闭门</w:t>
            </w:r>
          </w:p>
        </w:tc>
        <w:tc>
          <w:tcPr>
            <w:tcW w:w="6237" w:type="dxa"/>
            <w:tcBorders>
              <w:left w:val="single" w:color="000000" w:sz="6" w:space="0"/>
              <w:right w:val="single" w:color="000000" w:sz="6" w:space="0"/>
            </w:tcBorders>
            <w:vAlign w:val="center"/>
          </w:tcPr>
          <w:p>
            <w:pPr>
              <w:rPr>
                <w:color w:val="auto"/>
                <w:highlight w:val="none"/>
                <w:lang w:eastAsia="zh-CN"/>
              </w:rPr>
            </w:pPr>
            <w:r>
              <w:rPr>
                <w:rFonts w:hint="eastAsia"/>
                <w:color w:val="auto"/>
                <w:highlight w:val="none"/>
                <w:lang w:eastAsia="zh-CN"/>
              </w:rPr>
              <w:t>1、门体：门框采用铝合金密封框，门身为钢板，颜色采用暖色调，让使用者心情愉悦，具体颜色按业主和设计要求进行调配。门边四周橡胶条密封，当门处于关闭状态时每侧的密封框与门体的橡胶条严密贴合；门体表面门板不可以有接缝。</w:t>
            </w:r>
          </w:p>
          <w:p>
            <w:pPr>
              <w:rPr>
                <w:color w:val="auto"/>
                <w:highlight w:val="none"/>
                <w:lang w:eastAsia="zh-CN"/>
              </w:rPr>
            </w:pPr>
            <w:r>
              <w:rPr>
                <w:rFonts w:hint="eastAsia"/>
                <w:color w:val="auto"/>
                <w:highlight w:val="none"/>
                <w:lang w:eastAsia="zh-CN"/>
              </w:rPr>
              <w:t>2、要求具有完整的气密性检测报告、声音衰减检测报告、并附有检测报告。气密性及隔音性如下：</w:t>
            </w:r>
          </w:p>
          <w:p>
            <w:pPr>
              <w:rPr>
                <w:color w:val="auto"/>
                <w:highlight w:val="none"/>
                <w:lang w:eastAsia="zh-CN"/>
              </w:rPr>
            </w:pPr>
            <w:r>
              <w:rPr>
                <w:rFonts w:hint="eastAsia"/>
                <w:color w:val="auto"/>
                <w:highlight w:val="none"/>
                <w:lang w:eastAsia="zh-CN"/>
              </w:rPr>
              <w:t>（1）气密性：压力15帕时，渗透量不小于0.78立方米/小时。</w:t>
            </w:r>
          </w:p>
          <w:p>
            <w:pPr>
              <w:rPr>
                <w:color w:val="auto"/>
                <w:highlight w:val="none"/>
                <w:lang w:eastAsia="zh-CN"/>
              </w:rPr>
            </w:pPr>
            <w:r>
              <w:rPr>
                <w:rFonts w:hint="eastAsia"/>
                <w:color w:val="auto"/>
                <w:highlight w:val="none"/>
                <w:lang w:eastAsia="zh-CN"/>
              </w:rPr>
              <w:t>（2）声音衰减R（C100-C5000）高于27.7 dBA。</w:t>
            </w:r>
          </w:p>
        </w:tc>
        <w:tc>
          <w:tcPr>
            <w:tcW w:w="1276" w:type="dxa"/>
            <w:tcBorders>
              <w:left w:val="single" w:color="000000" w:sz="6" w:space="0"/>
            </w:tcBorders>
            <w:vAlign w:val="center"/>
          </w:tcPr>
          <w:p>
            <w:pPr>
              <w:rPr>
                <w:color w:val="auto"/>
                <w:highlight w:val="none"/>
                <w:lang w:eastAsia="zh-CN"/>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25" w:hRule="atLeast"/>
        </w:trPr>
        <w:tc>
          <w:tcPr>
            <w:tcW w:w="708" w:type="dxa"/>
            <w:tcBorders>
              <w:bottom w:val="single" w:color="000000" w:sz="4" w:space="0"/>
              <w:right w:val="single" w:color="000000" w:sz="6" w:space="0"/>
            </w:tcBorders>
            <w:vAlign w:val="center"/>
          </w:tcPr>
          <w:p>
            <w:pPr>
              <w:rPr>
                <w:color w:val="auto"/>
                <w:highlight w:val="none"/>
                <w:lang w:eastAsia="zh-CN"/>
              </w:rPr>
            </w:pPr>
          </w:p>
        </w:tc>
        <w:tc>
          <w:tcPr>
            <w:tcW w:w="1276" w:type="dxa"/>
            <w:tcBorders>
              <w:left w:val="single" w:color="000000" w:sz="6" w:space="0"/>
              <w:bottom w:val="single" w:color="000000" w:sz="4" w:space="0"/>
              <w:right w:val="single" w:color="000000" w:sz="6" w:space="0"/>
            </w:tcBorders>
            <w:vAlign w:val="center"/>
          </w:tcPr>
          <w:p>
            <w:pPr>
              <w:rPr>
                <w:color w:val="auto"/>
                <w:highlight w:val="none"/>
              </w:rPr>
            </w:pPr>
            <w:r>
              <w:rPr>
                <w:rFonts w:hint="eastAsia"/>
                <w:color w:val="auto"/>
                <w:highlight w:val="none"/>
              </w:rPr>
              <w:t>隔帘轨道（铝合金）</w:t>
            </w:r>
          </w:p>
        </w:tc>
        <w:tc>
          <w:tcPr>
            <w:tcW w:w="6237" w:type="dxa"/>
            <w:tcBorders>
              <w:left w:val="single" w:color="000000" w:sz="6" w:space="0"/>
              <w:bottom w:val="single" w:color="000000" w:sz="4" w:space="0"/>
              <w:right w:val="single" w:color="000000" w:sz="6" w:space="0"/>
            </w:tcBorders>
            <w:vAlign w:val="center"/>
          </w:tcPr>
          <w:p>
            <w:pPr>
              <w:rPr>
                <w:color w:val="auto"/>
                <w:highlight w:val="none"/>
                <w:lang w:eastAsia="zh-CN"/>
              </w:rPr>
            </w:pPr>
            <w:r>
              <w:rPr>
                <w:color w:val="auto"/>
                <w:highlight w:val="none"/>
                <w:lang w:eastAsia="zh-CN"/>
              </w:rPr>
              <w:t>1</w:t>
            </w:r>
            <w:r>
              <w:rPr>
                <w:rFonts w:hint="eastAsia"/>
                <w:color w:val="auto"/>
                <w:highlight w:val="none"/>
                <w:lang w:eastAsia="zh-CN"/>
              </w:rPr>
              <w:t>、材质类型：病房、诊室等天花隔帘轨道。</w:t>
            </w:r>
          </w:p>
          <w:p>
            <w:pPr>
              <w:rPr>
                <w:color w:val="auto"/>
                <w:highlight w:val="none"/>
                <w:lang w:eastAsia="zh-CN"/>
              </w:rPr>
            </w:pPr>
            <w:r>
              <w:rPr>
                <w:color w:val="auto"/>
                <w:highlight w:val="none"/>
                <w:lang w:eastAsia="zh-CN"/>
              </w:rPr>
              <w:t>2</w:t>
            </w:r>
            <w:r>
              <w:rPr>
                <w:rFonts w:hint="eastAsia"/>
                <w:color w:val="auto"/>
                <w:highlight w:val="none"/>
                <w:lang w:eastAsia="zh-CN"/>
              </w:rPr>
              <w:t>、材质结构</w:t>
            </w:r>
            <w:r>
              <w:rPr>
                <w:color w:val="auto"/>
                <w:highlight w:val="none"/>
                <w:lang w:eastAsia="zh-CN"/>
              </w:rPr>
              <w:t>:</w:t>
            </w:r>
            <w:r>
              <w:rPr>
                <w:rFonts w:hint="eastAsia"/>
                <w:color w:val="auto"/>
                <w:highlight w:val="none"/>
                <w:lang w:eastAsia="zh-CN"/>
              </w:rPr>
              <w:t>铝合金。</w:t>
            </w:r>
          </w:p>
          <w:p>
            <w:pPr>
              <w:rPr>
                <w:color w:val="auto"/>
                <w:highlight w:val="none"/>
                <w:lang w:eastAsia="zh-CN"/>
              </w:rPr>
            </w:pPr>
            <w:r>
              <w:rPr>
                <w:color w:val="auto"/>
                <w:highlight w:val="none"/>
                <w:lang w:eastAsia="zh-CN"/>
              </w:rPr>
              <w:t>3</w:t>
            </w:r>
            <w:r>
              <w:rPr>
                <w:rFonts w:hint="eastAsia"/>
                <w:color w:val="auto"/>
                <w:highlight w:val="none"/>
                <w:lang w:eastAsia="zh-CN"/>
              </w:rPr>
              <w:t>、表面喷涂：静电粉沫喷涂。</w:t>
            </w:r>
          </w:p>
          <w:p>
            <w:pPr>
              <w:rPr>
                <w:color w:val="auto"/>
                <w:highlight w:val="none"/>
                <w:lang w:eastAsia="zh-CN"/>
              </w:rPr>
            </w:pPr>
            <w:r>
              <w:rPr>
                <w:color w:val="auto"/>
                <w:highlight w:val="none"/>
                <w:lang w:eastAsia="zh-CN"/>
              </w:rPr>
              <w:t>4</w:t>
            </w:r>
            <w:r>
              <w:rPr>
                <w:rFonts w:hint="eastAsia"/>
                <w:color w:val="auto"/>
                <w:highlight w:val="none"/>
                <w:lang w:eastAsia="zh-CN"/>
              </w:rPr>
              <w:t>、安装方式：暗装式（轨道下平面与天花完成面平齐，并在一端留有可拆装挂帘滚轮的操作口）。</w:t>
            </w:r>
          </w:p>
          <w:p>
            <w:pPr>
              <w:rPr>
                <w:color w:val="auto"/>
                <w:highlight w:val="none"/>
                <w:lang w:eastAsia="zh-CN"/>
              </w:rPr>
            </w:pPr>
            <w:r>
              <w:rPr>
                <w:color w:val="auto"/>
                <w:highlight w:val="none"/>
                <w:lang w:eastAsia="zh-CN"/>
              </w:rPr>
              <w:t>5</w:t>
            </w:r>
            <w:r>
              <w:rPr>
                <w:rFonts w:hint="eastAsia"/>
                <w:color w:val="auto"/>
                <w:highlight w:val="none"/>
                <w:lang w:eastAsia="zh-CN"/>
              </w:rPr>
              <w:t>、外观质量、尺寸偏差、静载、涂层厚度及硬度等标准，可参照“铝合金通槽龙骨”同项参数。</w:t>
            </w:r>
          </w:p>
          <w:p>
            <w:pPr>
              <w:rPr>
                <w:color w:val="auto"/>
                <w:highlight w:val="none"/>
                <w:lang w:eastAsia="zh-CN"/>
              </w:rPr>
            </w:pPr>
            <w:r>
              <w:rPr>
                <w:color w:val="auto"/>
                <w:highlight w:val="none"/>
                <w:lang w:eastAsia="zh-CN"/>
              </w:rPr>
              <w:t>6</w:t>
            </w:r>
            <w:r>
              <w:rPr>
                <w:rFonts w:hint="eastAsia"/>
                <w:color w:val="auto"/>
                <w:highlight w:val="none"/>
                <w:lang w:eastAsia="zh-CN"/>
              </w:rPr>
              <w:t>、每根隔帘轨道必须用三根直径</w:t>
            </w:r>
            <w:r>
              <w:rPr>
                <w:color w:val="auto"/>
                <w:highlight w:val="none"/>
                <w:lang w:eastAsia="zh-CN"/>
              </w:rPr>
              <w:t>8 mm</w:t>
            </w:r>
            <w:r>
              <w:rPr>
                <w:rFonts w:hint="eastAsia"/>
                <w:color w:val="auto"/>
                <w:highlight w:val="none"/>
                <w:lang w:eastAsia="zh-CN"/>
              </w:rPr>
              <w:t>的镀锌钢筋吊杆与楼板独立吊挂，不能直接装在天花龙骨上。</w:t>
            </w:r>
          </w:p>
        </w:tc>
        <w:tc>
          <w:tcPr>
            <w:tcW w:w="1276" w:type="dxa"/>
            <w:tcBorders>
              <w:left w:val="single" w:color="000000" w:sz="6" w:space="0"/>
              <w:bottom w:val="single" w:color="000000" w:sz="4" w:space="0"/>
            </w:tcBorders>
            <w:vAlign w:val="center"/>
          </w:tcPr>
          <w:p>
            <w:pPr>
              <w:rPr>
                <w:color w:val="auto"/>
                <w:highlight w:val="none"/>
                <w:lang w:eastAsia="zh-CN"/>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25" w:hRule="atLeast"/>
        </w:trPr>
        <w:tc>
          <w:tcPr>
            <w:tcW w:w="708" w:type="dxa"/>
            <w:tcBorders>
              <w:bottom w:val="single" w:color="000000" w:sz="4" w:space="0"/>
              <w:right w:val="single" w:color="000000" w:sz="6" w:space="0"/>
            </w:tcBorders>
            <w:vAlign w:val="center"/>
          </w:tcPr>
          <w:p>
            <w:pPr>
              <w:rPr>
                <w:color w:val="auto"/>
                <w:highlight w:val="none"/>
                <w:lang w:eastAsia="zh-CN"/>
              </w:rPr>
            </w:pPr>
          </w:p>
        </w:tc>
        <w:tc>
          <w:tcPr>
            <w:tcW w:w="1276" w:type="dxa"/>
            <w:tcBorders>
              <w:left w:val="single" w:color="000000" w:sz="6" w:space="0"/>
              <w:bottom w:val="single" w:color="000000" w:sz="4" w:space="0"/>
              <w:right w:val="single" w:color="000000" w:sz="6" w:space="0"/>
            </w:tcBorders>
            <w:vAlign w:val="center"/>
          </w:tcPr>
          <w:p>
            <w:pPr>
              <w:rPr>
                <w:color w:val="auto"/>
                <w:highlight w:val="none"/>
                <w:lang w:eastAsia="zh-CN"/>
              </w:rPr>
            </w:pPr>
            <w:r>
              <w:rPr>
                <w:rFonts w:hint="eastAsia"/>
                <w:color w:val="auto"/>
                <w:highlight w:val="none"/>
                <w:lang w:eastAsia="zh-CN"/>
              </w:rPr>
              <w:t>PVC地板（同质透心PVC卷材）</w:t>
            </w:r>
          </w:p>
        </w:tc>
        <w:tc>
          <w:tcPr>
            <w:tcW w:w="6237" w:type="dxa"/>
            <w:tcBorders>
              <w:left w:val="single" w:color="000000" w:sz="6" w:space="0"/>
              <w:bottom w:val="single" w:color="000000" w:sz="4" w:space="0"/>
              <w:right w:val="single" w:color="000000" w:sz="6" w:space="0"/>
            </w:tcBorders>
            <w:vAlign w:val="center"/>
          </w:tcPr>
          <w:tbl>
            <w:tblPr>
              <w:tblStyle w:val="85"/>
              <w:tblW w:w="6244"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426"/>
              <w:gridCol w:w="1763"/>
              <w:gridCol w:w="1701"/>
              <w:gridCol w:w="1134"/>
              <w:gridCol w:w="122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736" w:hRule="atLeast"/>
              </w:trPr>
              <w:tc>
                <w:tcPr>
                  <w:tcW w:w="426" w:type="dxa"/>
                  <w:tcBorders>
                    <w:bottom w:val="single" w:color="auto" w:sz="4" w:space="0"/>
                  </w:tcBorders>
                </w:tcPr>
                <w:p>
                  <w:pPr>
                    <w:rPr>
                      <w:color w:val="auto"/>
                      <w:highlight w:val="none"/>
                    </w:rPr>
                  </w:pPr>
                  <w:r>
                    <w:rPr>
                      <w:rFonts w:hint="eastAsia"/>
                      <w:color w:val="auto"/>
                      <w:highlight w:val="none"/>
                    </w:rPr>
                    <w:t>序号</w:t>
                  </w:r>
                </w:p>
              </w:tc>
              <w:tc>
                <w:tcPr>
                  <w:tcW w:w="1763" w:type="dxa"/>
                  <w:tcBorders>
                    <w:bottom w:val="single" w:color="auto" w:sz="4" w:space="0"/>
                  </w:tcBorders>
                  <w:vAlign w:val="center"/>
                </w:tcPr>
                <w:p>
                  <w:pPr>
                    <w:rPr>
                      <w:color w:val="auto"/>
                      <w:highlight w:val="none"/>
                    </w:rPr>
                  </w:pPr>
                  <w:r>
                    <w:rPr>
                      <w:rFonts w:hint="eastAsia"/>
                      <w:color w:val="auto"/>
                      <w:highlight w:val="none"/>
                    </w:rPr>
                    <w:t>性能要求</w:t>
                  </w:r>
                </w:p>
              </w:tc>
              <w:tc>
                <w:tcPr>
                  <w:tcW w:w="1701" w:type="dxa"/>
                  <w:tcBorders>
                    <w:bottom w:val="single" w:color="auto" w:sz="4" w:space="0"/>
                  </w:tcBorders>
                  <w:vAlign w:val="center"/>
                </w:tcPr>
                <w:p>
                  <w:pPr>
                    <w:rPr>
                      <w:color w:val="auto"/>
                      <w:highlight w:val="none"/>
                    </w:rPr>
                  </w:pPr>
                  <w:r>
                    <w:rPr>
                      <w:rFonts w:hint="eastAsia"/>
                      <w:color w:val="auto"/>
                      <w:highlight w:val="none"/>
                    </w:rPr>
                    <w:t>采用标准</w:t>
                  </w:r>
                </w:p>
              </w:tc>
              <w:tc>
                <w:tcPr>
                  <w:tcW w:w="1134" w:type="dxa"/>
                  <w:tcBorders>
                    <w:bottom w:val="single" w:color="auto" w:sz="4" w:space="0"/>
                  </w:tcBorders>
                  <w:vAlign w:val="center"/>
                </w:tcPr>
                <w:p>
                  <w:pPr>
                    <w:rPr>
                      <w:color w:val="auto"/>
                      <w:highlight w:val="none"/>
                    </w:rPr>
                  </w:pPr>
                  <w:r>
                    <w:rPr>
                      <w:rFonts w:hint="eastAsia"/>
                      <w:color w:val="auto"/>
                      <w:highlight w:val="none"/>
                    </w:rPr>
                    <w:t>度量单位</w:t>
                  </w:r>
                </w:p>
              </w:tc>
              <w:tc>
                <w:tcPr>
                  <w:tcW w:w="1220" w:type="dxa"/>
                  <w:tcBorders>
                    <w:bottom w:val="single" w:color="auto" w:sz="4" w:space="0"/>
                  </w:tcBorders>
                  <w:vAlign w:val="center"/>
                </w:tcPr>
                <w:p>
                  <w:pPr>
                    <w:rPr>
                      <w:color w:val="auto"/>
                      <w:highlight w:val="none"/>
                    </w:rPr>
                  </w:pPr>
                  <w:r>
                    <w:rPr>
                      <w:rFonts w:hint="eastAsia"/>
                      <w:color w:val="auto"/>
                      <w:highlight w:val="none"/>
                    </w:rPr>
                    <w:t>基本要求</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76" w:hRule="atLeast"/>
              </w:trPr>
              <w:tc>
                <w:tcPr>
                  <w:tcW w:w="426" w:type="dxa"/>
                  <w:tcBorders>
                    <w:top w:val="single" w:color="auto" w:sz="4" w:space="0"/>
                  </w:tcBorders>
                  <w:vAlign w:val="center"/>
                </w:tcPr>
                <w:p>
                  <w:pPr>
                    <w:rPr>
                      <w:color w:val="auto"/>
                      <w:highlight w:val="none"/>
                    </w:rPr>
                  </w:pPr>
                  <w:r>
                    <w:rPr>
                      <w:color w:val="auto"/>
                      <w:highlight w:val="none"/>
                    </w:rPr>
                    <w:t>1</w:t>
                  </w:r>
                </w:p>
              </w:tc>
              <w:tc>
                <w:tcPr>
                  <w:tcW w:w="1763" w:type="dxa"/>
                  <w:tcBorders>
                    <w:top w:val="single" w:color="auto" w:sz="4" w:space="0"/>
                  </w:tcBorders>
                </w:tcPr>
                <w:p>
                  <w:pPr>
                    <w:rPr>
                      <w:color w:val="auto"/>
                      <w:highlight w:val="none"/>
                    </w:rPr>
                  </w:pPr>
                  <w:r>
                    <w:rPr>
                      <w:rFonts w:hint="eastAsia"/>
                      <w:color w:val="auto"/>
                      <w:highlight w:val="none"/>
                    </w:rPr>
                    <w:t>每平方米总重量</w:t>
                  </w:r>
                </w:p>
              </w:tc>
              <w:tc>
                <w:tcPr>
                  <w:tcW w:w="1701" w:type="dxa"/>
                  <w:tcBorders>
                    <w:top w:val="single" w:color="auto" w:sz="4" w:space="0"/>
                  </w:tcBorders>
                </w:tcPr>
                <w:p>
                  <w:pPr>
                    <w:rPr>
                      <w:color w:val="auto"/>
                      <w:highlight w:val="none"/>
                    </w:rPr>
                  </w:pPr>
                  <w:r>
                    <w:rPr>
                      <w:color w:val="auto"/>
                      <w:highlight w:val="none"/>
                    </w:rPr>
                    <w:t>GB/T4085-2005</w:t>
                  </w:r>
                </w:p>
              </w:tc>
              <w:tc>
                <w:tcPr>
                  <w:tcW w:w="1134" w:type="dxa"/>
                  <w:tcBorders>
                    <w:top w:val="single" w:color="auto" w:sz="4" w:space="0"/>
                  </w:tcBorders>
                  <w:vAlign w:val="center"/>
                </w:tcPr>
                <w:p>
                  <w:pPr>
                    <w:rPr>
                      <w:color w:val="auto"/>
                      <w:highlight w:val="none"/>
                    </w:rPr>
                  </w:pPr>
                  <w:r>
                    <w:rPr>
                      <w:rFonts w:hint="eastAsia"/>
                      <w:color w:val="auto"/>
                      <w:highlight w:val="none"/>
                    </w:rPr>
                    <w:t>克</w:t>
                  </w:r>
                </w:p>
              </w:tc>
              <w:tc>
                <w:tcPr>
                  <w:tcW w:w="1220" w:type="dxa"/>
                  <w:tcBorders>
                    <w:top w:val="single" w:color="auto" w:sz="4" w:space="0"/>
                  </w:tcBorders>
                </w:tcPr>
                <w:p>
                  <w:pPr>
                    <w:rPr>
                      <w:color w:val="auto"/>
                      <w:highlight w:val="none"/>
                    </w:rPr>
                  </w:pPr>
                  <w:r>
                    <w:rPr>
                      <w:rFonts w:hint="eastAsia"/>
                      <w:color w:val="auto"/>
                      <w:highlight w:val="none"/>
                    </w:rPr>
                    <w:t>≤</w:t>
                  </w:r>
                  <w:r>
                    <w:rPr>
                      <w:color w:val="auto"/>
                      <w:highlight w:val="none"/>
                    </w:rPr>
                    <w:t>3100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32" w:hRule="atLeast"/>
              </w:trPr>
              <w:tc>
                <w:tcPr>
                  <w:tcW w:w="426" w:type="dxa"/>
                  <w:vAlign w:val="center"/>
                </w:tcPr>
                <w:p>
                  <w:pPr>
                    <w:rPr>
                      <w:color w:val="auto"/>
                      <w:highlight w:val="none"/>
                    </w:rPr>
                  </w:pPr>
                  <w:r>
                    <w:rPr>
                      <w:color w:val="auto"/>
                      <w:highlight w:val="none"/>
                    </w:rPr>
                    <w:t>2</w:t>
                  </w:r>
                </w:p>
              </w:tc>
              <w:tc>
                <w:tcPr>
                  <w:tcW w:w="1763" w:type="dxa"/>
                </w:tcPr>
                <w:p>
                  <w:pPr>
                    <w:rPr>
                      <w:color w:val="auto"/>
                      <w:highlight w:val="none"/>
                    </w:rPr>
                  </w:pPr>
                  <w:r>
                    <w:rPr>
                      <w:rFonts w:hint="eastAsia"/>
                      <w:color w:val="auto"/>
                      <w:highlight w:val="none"/>
                    </w:rPr>
                    <w:t>残余凹陷</w:t>
                  </w:r>
                </w:p>
              </w:tc>
              <w:tc>
                <w:tcPr>
                  <w:tcW w:w="1701" w:type="dxa"/>
                </w:tcPr>
                <w:p>
                  <w:pPr>
                    <w:rPr>
                      <w:color w:val="auto"/>
                      <w:highlight w:val="none"/>
                    </w:rPr>
                  </w:pPr>
                  <w:r>
                    <w:rPr>
                      <w:color w:val="auto"/>
                      <w:highlight w:val="none"/>
                    </w:rPr>
                    <w:t>GB/T4085-2005</w:t>
                  </w:r>
                </w:p>
              </w:tc>
              <w:tc>
                <w:tcPr>
                  <w:tcW w:w="1134" w:type="dxa"/>
                  <w:vAlign w:val="center"/>
                </w:tcPr>
                <w:p>
                  <w:pPr>
                    <w:rPr>
                      <w:color w:val="auto"/>
                      <w:highlight w:val="none"/>
                    </w:rPr>
                  </w:pPr>
                  <w:r>
                    <w:rPr>
                      <w:rFonts w:hint="eastAsia"/>
                      <w:color w:val="auto"/>
                      <w:highlight w:val="none"/>
                    </w:rPr>
                    <w:t>毫米</w:t>
                  </w:r>
                </w:p>
              </w:tc>
              <w:tc>
                <w:tcPr>
                  <w:tcW w:w="1220" w:type="dxa"/>
                </w:tcPr>
                <w:p>
                  <w:pPr>
                    <w:rPr>
                      <w:color w:val="auto"/>
                      <w:highlight w:val="none"/>
                    </w:rPr>
                  </w:pPr>
                  <w:r>
                    <w:rPr>
                      <w:rFonts w:hint="eastAsia"/>
                      <w:color w:val="auto"/>
                      <w:highlight w:val="none"/>
                    </w:rPr>
                    <w:t>平均值≤</w:t>
                  </w:r>
                  <w:r>
                    <w:rPr>
                      <w:color w:val="auto"/>
                      <w:highlight w:val="none"/>
                    </w:rPr>
                    <w:t>0.05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00" w:hRule="atLeast"/>
              </w:trPr>
              <w:tc>
                <w:tcPr>
                  <w:tcW w:w="426" w:type="dxa"/>
                  <w:vAlign w:val="center"/>
                </w:tcPr>
                <w:p>
                  <w:pPr>
                    <w:rPr>
                      <w:color w:val="auto"/>
                      <w:highlight w:val="none"/>
                    </w:rPr>
                  </w:pPr>
                  <w:r>
                    <w:rPr>
                      <w:color w:val="auto"/>
                      <w:highlight w:val="none"/>
                    </w:rPr>
                    <w:t>3</w:t>
                  </w:r>
                </w:p>
              </w:tc>
              <w:tc>
                <w:tcPr>
                  <w:tcW w:w="1763" w:type="dxa"/>
                </w:tcPr>
                <w:p>
                  <w:pPr>
                    <w:rPr>
                      <w:color w:val="auto"/>
                      <w:highlight w:val="none"/>
                    </w:rPr>
                  </w:pPr>
                  <w:r>
                    <w:rPr>
                      <w:rFonts w:hint="eastAsia"/>
                      <w:color w:val="auto"/>
                      <w:highlight w:val="none"/>
                    </w:rPr>
                    <w:t>耐磨性</w:t>
                  </w:r>
                </w:p>
              </w:tc>
              <w:tc>
                <w:tcPr>
                  <w:tcW w:w="1701" w:type="dxa"/>
                </w:tcPr>
                <w:p>
                  <w:pPr>
                    <w:rPr>
                      <w:color w:val="auto"/>
                      <w:highlight w:val="none"/>
                    </w:rPr>
                  </w:pPr>
                  <w:r>
                    <w:rPr>
                      <w:color w:val="auto"/>
                      <w:highlight w:val="none"/>
                    </w:rPr>
                    <w:t>GB/T4085-2005</w:t>
                  </w:r>
                </w:p>
              </w:tc>
              <w:tc>
                <w:tcPr>
                  <w:tcW w:w="1134" w:type="dxa"/>
                  <w:vAlign w:val="center"/>
                </w:tcPr>
                <w:p>
                  <w:pPr>
                    <w:rPr>
                      <w:color w:val="auto"/>
                      <w:highlight w:val="none"/>
                    </w:rPr>
                  </w:pPr>
                  <w:r>
                    <w:rPr>
                      <w:color w:val="auto"/>
                      <w:highlight w:val="none"/>
                    </w:rPr>
                    <w:t>HT</w:t>
                  </w:r>
                  <w:r>
                    <w:rPr>
                      <w:rFonts w:hint="eastAsia"/>
                      <w:color w:val="auto"/>
                      <w:highlight w:val="none"/>
                    </w:rPr>
                    <w:t>型，</w:t>
                  </w:r>
                  <w:r>
                    <w:rPr>
                      <w:color w:val="auto"/>
                      <w:highlight w:val="none"/>
                    </w:rPr>
                    <w:t>g/100</w:t>
                  </w:r>
                  <w:r>
                    <w:rPr>
                      <w:rFonts w:hint="eastAsia"/>
                      <w:color w:val="auto"/>
                      <w:highlight w:val="none"/>
                    </w:rPr>
                    <w:t>转</w:t>
                  </w:r>
                </w:p>
              </w:tc>
              <w:tc>
                <w:tcPr>
                  <w:tcW w:w="1220" w:type="dxa"/>
                </w:tcPr>
                <w:p>
                  <w:pPr>
                    <w:rPr>
                      <w:color w:val="auto"/>
                      <w:highlight w:val="none"/>
                    </w:rPr>
                  </w:pPr>
                  <w:r>
                    <w:rPr>
                      <w:rFonts w:hint="eastAsia"/>
                      <w:color w:val="auto"/>
                      <w:highlight w:val="none"/>
                    </w:rPr>
                    <w:t>≤</w:t>
                  </w:r>
                  <w:r>
                    <w:rPr>
                      <w:color w:val="auto"/>
                      <w:highlight w:val="none"/>
                    </w:rPr>
                    <w:t>0.08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82" w:hRule="atLeast"/>
              </w:trPr>
              <w:tc>
                <w:tcPr>
                  <w:tcW w:w="426" w:type="dxa"/>
                  <w:vAlign w:val="center"/>
                </w:tcPr>
                <w:p>
                  <w:pPr>
                    <w:rPr>
                      <w:color w:val="auto"/>
                      <w:highlight w:val="none"/>
                    </w:rPr>
                  </w:pPr>
                  <w:r>
                    <w:rPr>
                      <w:color w:val="auto"/>
                      <w:highlight w:val="none"/>
                    </w:rPr>
                    <w:t>4</w:t>
                  </w:r>
                </w:p>
              </w:tc>
              <w:tc>
                <w:tcPr>
                  <w:tcW w:w="1763" w:type="dxa"/>
                </w:tcPr>
                <w:p>
                  <w:pPr>
                    <w:rPr>
                      <w:color w:val="auto"/>
                      <w:highlight w:val="none"/>
                    </w:rPr>
                  </w:pPr>
                  <w:r>
                    <w:rPr>
                      <w:rFonts w:hint="eastAsia"/>
                      <w:color w:val="auto"/>
                      <w:highlight w:val="none"/>
                    </w:rPr>
                    <w:t>加热尺寸变化</w:t>
                  </w:r>
                </w:p>
              </w:tc>
              <w:tc>
                <w:tcPr>
                  <w:tcW w:w="1701" w:type="dxa"/>
                </w:tcPr>
                <w:p>
                  <w:pPr>
                    <w:rPr>
                      <w:color w:val="auto"/>
                      <w:highlight w:val="none"/>
                    </w:rPr>
                  </w:pPr>
                  <w:r>
                    <w:rPr>
                      <w:color w:val="auto"/>
                      <w:highlight w:val="none"/>
                    </w:rPr>
                    <w:t>GB/</w:t>
                  </w:r>
                  <w:r>
                    <w:rPr>
                      <w:color w:val="auto"/>
                      <w:highlight w:val="none"/>
                    </w:rPr>
                    <w:cr/>
                  </w:r>
                  <w:r>
                    <w:rPr>
                      <w:color w:val="auto"/>
                      <w:highlight w:val="none"/>
                    </w:rPr>
                    <w:t>4085-2005</w:t>
                  </w:r>
                </w:p>
              </w:tc>
              <w:tc>
                <w:tcPr>
                  <w:tcW w:w="1134" w:type="dxa"/>
                  <w:vAlign w:val="center"/>
                </w:tcPr>
                <w:p>
                  <w:pPr>
                    <w:rPr>
                      <w:color w:val="auto"/>
                      <w:highlight w:val="none"/>
                    </w:rPr>
                  </w:pPr>
                  <w:r>
                    <w:rPr>
                      <w:color w:val="auto"/>
                      <w:highlight w:val="none"/>
                    </w:rPr>
                    <w:t>%</w:t>
                  </w:r>
                </w:p>
              </w:tc>
              <w:tc>
                <w:tcPr>
                  <w:tcW w:w="1220" w:type="dxa"/>
                </w:tcPr>
                <w:p>
                  <w:pPr>
                    <w:rPr>
                      <w:color w:val="auto"/>
                      <w:highlight w:val="none"/>
                    </w:rPr>
                  </w:pPr>
                  <w:r>
                    <w:rPr>
                      <w:rFonts w:hint="eastAsia"/>
                      <w:color w:val="auto"/>
                      <w:highlight w:val="none"/>
                    </w:rPr>
                    <w:t>纵、横向：≤</w:t>
                  </w:r>
                  <w:r>
                    <w:rPr>
                      <w:color w:val="auto"/>
                      <w:highlight w:val="none"/>
                    </w:rPr>
                    <w:t>0.40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82" w:hRule="atLeast"/>
              </w:trPr>
              <w:tc>
                <w:tcPr>
                  <w:tcW w:w="426" w:type="dxa"/>
                  <w:vAlign w:val="center"/>
                </w:tcPr>
                <w:p>
                  <w:pPr>
                    <w:rPr>
                      <w:color w:val="auto"/>
                      <w:highlight w:val="none"/>
                    </w:rPr>
                  </w:pPr>
                  <w:r>
                    <w:rPr>
                      <w:color w:val="auto"/>
                      <w:highlight w:val="none"/>
                    </w:rPr>
                    <w:t>5</w:t>
                  </w:r>
                </w:p>
              </w:tc>
              <w:tc>
                <w:tcPr>
                  <w:tcW w:w="1763" w:type="dxa"/>
                </w:tcPr>
                <w:p>
                  <w:pPr>
                    <w:rPr>
                      <w:color w:val="auto"/>
                      <w:highlight w:val="none"/>
                    </w:rPr>
                  </w:pPr>
                  <w:r>
                    <w:rPr>
                      <w:rFonts w:hint="eastAsia"/>
                      <w:color w:val="auto"/>
                      <w:highlight w:val="none"/>
                    </w:rPr>
                    <w:t>加热翘曲</w:t>
                  </w:r>
                </w:p>
              </w:tc>
              <w:tc>
                <w:tcPr>
                  <w:tcW w:w="1701" w:type="dxa"/>
                </w:tcPr>
                <w:p>
                  <w:pPr>
                    <w:rPr>
                      <w:color w:val="auto"/>
                      <w:highlight w:val="none"/>
                    </w:rPr>
                  </w:pPr>
                  <w:r>
                    <w:rPr>
                      <w:color w:val="auto"/>
                      <w:highlight w:val="none"/>
                    </w:rPr>
                    <w:t>GB/T4085-2005</w:t>
                  </w:r>
                </w:p>
              </w:tc>
              <w:tc>
                <w:tcPr>
                  <w:tcW w:w="1134" w:type="dxa"/>
                  <w:vAlign w:val="center"/>
                </w:tcPr>
                <w:p>
                  <w:pPr>
                    <w:rPr>
                      <w:color w:val="auto"/>
                      <w:highlight w:val="none"/>
                    </w:rPr>
                  </w:pPr>
                  <w:r>
                    <w:rPr>
                      <w:rFonts w:hint="eastAsia"/>
                      <w:color w:val="auto"/>
                      <w:highlight w:val="none"/>
                    </w:rPr>
                    <w:t>毫米</w:t>
                  </w:r>
                </w:p>
              </w:tc>
              <w:tc>
                <w:tcPr>
                  <w:tcW w:w="1220" w:type="dxa"/>
                </w:tcPr>
                <w:p>
                  <w:pPr>
                    <w:rPr>
                      <w:color w:val="auto"/>
                      <w:highlight w:val="none"/>
                    </w:rPr>
                  </w:pPr>
                  <w:r>
                    <w:rPr>
                      <w:rFonts w:hint="eastAsia"/>
                      <w:color w:val="auto"/>
                      <w:highlight w:val="none"/>
                    </w:rPr>
                    <w:t>≤</w:t>
                  </w:r>
                  <w:r>
                    <w:rPr>
                      <w:color w:val="auto"/>
                      <w:highlight w:val="none"/>
                    </w:rPr>
                    <w:t>0.5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82" w:hRule="atLeast"/>
              </w:trPr>
              <w:tc>
                <w:tcPr>
                  <w:tcW w:w="426" w:type="dxa"/>
                  <w:vAlign w:val="center"/>
                </w:tcPr>
                <w:p>
                  <w:pPr>
                    <w:rPr>
                      <w:color w:val="auto"/>
                      <w:highlight w:val="none"/>
                    </w:rPr>
                  </w:pPr>
                  <w:r>
                    <w:rPr>
                      <w:color w:val="auto"/>
                      <w:highlight w:val="none"/>
                    </w:rPr>
                    <w:t>6</w:t>
                  </w:r>
                </w:p>
              </w:tc>
              <w:tc>
                <w:tcPr>
                  <w:tcW w:w="1763" w:type="dxa"/>
                </w:tcPr>
                <w:p>
                  <w:pPr>
                    <w:rPr>
                      <w:color w:val="auto"/>
                      <w:highlight w:val="none"/>
                    </w:rPr>
                  </w:pPr>
                  <w:r>
                    <w:rPr>
                      <w:rFonts w:hint="eastAsia"/>
                      <w:color w:val="auto"/>
                      <w:highlight w:val="none"/>
                    </w:rPr>
                    <w:t>色牢度</w:t>
                  </w:r>
                </w:p>
              </w:tc>
              <w:tc>
                <w:tcPr>
                  <w:tcW w:w="1701" w:type="dxa"/>
                </w:tcPr>
                <w:p>
                  <w:pPr>
                    <w:rPr>
                      <w:color w:val="auto"/>
                      <w:highlight w:val="none"/>
                    </w:rPr>
                  </w:pPr>
                  <w:r>
                    <w:rPr>
                      <w:color w:val="auto"/>
                      <w:highlight w:val="none"/>
                    </w:rPr>
                    <w:t>GB/T4085-2005</w:t>
                  </w:r>
                </w:p>
              </w:tc>
              <w:tc>
                <w:tcPr>
                  <w:tcW w:w="1134" w:type="dxa"/>
                  <w:vAlign w:val="center"/>
                </w:tcPr>
                <w:p>
                  <w:pPr>
                    <w:rPr>
                      <w:color w:val="auto"/>
                      <w:highlight w:val="none"/>
                    </w:rPr>
                  </w:pPr>
                  <w:r>
                    <w:rPr>
                      <w:rFonts w:hint="eastAsia"/>
                      <w:color w:val="auto"/>
                      <w:highlight w:val="none"/>
                    </w:rPr>
                    <w:t>级</w:t>
                  </w:r>
                </w:p>
              </w:tc>
              <w:tc>
                <w:tcPr>
                  <w:tcW w:w="1220" w:type="dxa"/>
                </w:tcPr>
                <w:p>
                  <w:pPr>
                    <w:rPr>
                      <w:color w:val="auto"/>
                      <w:highlight w:val="none"/>
                    </w:rPr>
                  </w:pPr>
                  <w:r>
                    <w:rPr>
                      <w:rFonts w:hint="eastAsia"/>
                      <w:color w:val="auto"/>
                      <w:highlight w:val="none"/>
                    </w:rPr>
                    <w:t>≥</w:t>
                  </w:r>
                  <w:r>
                    <w:rPr>
                      <w:color w:val="auto"/>
                      <w:highlight w:val="none"/>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82" w:hRule="atLeast"/>
              </w:trPr>
              <w:tc>
                <w:tcPr>
                  <w:tcW w:w="426" w:type="dxa"/>
                  <w:vAlign w:val="center"/>
                </w:tcPr>
                <w:p>
                  <w:pPr>
                    <w:rPr>
                      <w:color w:val="auto"/>
                      <w:highlight w:val="none"/>
                    </w:rPr>
                  </w:pPr>
                  <w:r>
                    <w:rPr>
                      <w:color w:val="auto"/>
                      <w:highlight w:val="none"/>
                    </w:rPr>
                    <w:t>7</w:t>
                  </w:r>
                </w:p>
              </w:tc>
              <w:tc>
                <w:tcPr>
                  <w:tcW w:w="1763" w:type="dxa"/>
                </w:tcPr>
                <w:p>
                  <w:pPr>
                    <w:rPr>
                      <w:color w:val="auto"/>
                      <w:highlight w:val="none"/>
                      <w:lang w:eastAsia="zh-CN"/>
                    </w:rPr>
                  </w:pPr>
                  <w:r>
                    <w:rPr>
                      <w:color w:val="auto"/>
                      <w:highlight w:val="none"/>
                      <w:lang w:eastAsia="zh-CN"/>
                    </w:rPr>
                    <w:t>PVC</w:t>
                  </w:r>
                  <w:r>
                    <w:rPr>
                      <w:rFonts w:hint="eastAsia"/>
                      <w:color w:val="auto"/>
                      <w:highlight w:val="none"/>
                      <w:lang w:eastAsia="zh-CN"/>
                    </w:rPr>
                    <w:t>地板有害物质检测</w:t>
                  </w:r>
                </w:p>
              </w:tc>
              <w:tc>
                <w:tcPr>
                  <w:tcW w:w="1701" w:type="dxa"/>
                </w:tcPr>
                <w:p>
                  <w:pPr>
                    <w:rPr>
                      <w:color w:val="auto"/>
                      <w:highlight w:val="none"/>
                    </w:rPr>
                  </w:pPr>
                  <w:r>
                    <w:rPr>
                      <w:color w:val="auto"/>
                      <w:highlight w:val="none"/>
                    </w:rPr>
                    <w:t>GB18586-2001</w:t>
                  </w:r>
                </w:p>
              </w:tc>
              <w:tc>
                <w:tcPr>
                  <w:tcW w:w="1134" w:type="dxa"/>
                </w:tcPr>
                <w:p>
                  <w:pPr>
                    <w:rPr>
                      <w:color w:val="auto"/>
                      <w:highlight w:val="none"/>
                    </w:rPr>
                  </w:pPr>
                </w:p>
              </w:tc>
              <w:tc>
                <w:tcPr>
                  <w:tcW w:w="1220" w:type="dxa"/>
                </w:tcPr>
                <w:p>
                  <w:pPr>
                    <w:rPr>
                      <w:color w:val="auto"/>
                      <w:highlight w:val="none"/>
                    </w:rPr>
                  </w:pPr>
                  <w:r>
                    <w:rPr>
                      <w:rFonts w:hint="eastAsia"/>
                      <w:color w:val="auto"/>
                      <w:highlight w:val="none"/>
                    </w:rPr>
                    <w:t>达到规范要求</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82" w:hRule="atLeast"/>
              </w:trPr>
              <w:tc>
                <w:tcPr>
                  <w:tcW w:w="426" w:type="dxa"/>
                  <w:vAlign w:val="center"/>
                </w:tcPr>
                <w:p>
                  <w:pPr>
                    <w:rPr>
                      <w:color w:val="auto"/>
                      <w:highlight w:val="none"/>
                    </w:rPr>
                  </w:pPr>
                  <w:r>
                    <w:rPr>
                      <w:color w:val="auto"/>
                      <w:highlight w:val="none"/>
                    </w:rPr>
                    <w:t>8</w:t>
                  </w:r>
                </w:p>
              </w:tc>
              <w:tc>
                <w:tcPr>
                  <w:tcW w:w="1763" w:type="dxa"/>
                </w:tcPr>
                <w:p>
                  <w:pPr>
                    <w:rPr>
                      <w:color w:val="auto"/>
                      <w:highlight w:val="none"/>
                    </w:rPr>
                  </w:pPr>
                  <w:r>
                    <w:rPr>
                      <w:rFonts w:hint="eastAsia"/>
                      <w:color w:val="auto"/>
                      <w:highlight w:val="none"/>
                    </w:rPr>
                    <w:t>粘合剂有害物质检测</w:t>
                  </w:r>
                </w:p>
              </w:tc>
              <w:tc>
                <w:tcPr>
                  <w:tcW w:w="1701" w:type="dxa"/>
                </w:tcPr>
                <w:p>
                  <w:pPr>
                    <w:rPr>
                      <w:color w:val="auto"/>
                      <w:highlight w:val="none"/>
                    </w:rPr>
                  </w:pPr>
                  <w:r>
                    <w:rPr>
                      <w:color w:val="auto"/>
                      <w:highlight w:val="none"/>
                    </w:rPr>
                    <w:t>GB18583-2008</w:t>
                  </w:r>
                </w:p>
              </w:tc>
              <w:tc>
                <w:tcPr>
                  <w:tcW w:w="1134" w:type="dxa"/>
                </w:tcPr>
                <w:p>
                  <w:pPr>
                    <w:rPr>
                      <w:color w:val="auto"/>
                      <w:highlight w:val="none"/>
                    </w:rPr>
                  </w:pPr>
                </w:p>
              </w:tc>
              <w:tc>
                <w:tcPr>
                  <w:tcW w:w="1220" w:type="dxa"/>
                </w:tcPr>
                <w:p>
                  <w:pPr>
                    <w:rPr>
                      <w:color w:val="auto"/>
                      <w:highlight w:val="none"/>
                    </w:rPr>
                  </w:pPr>
                  <w:r>
                    <w:rPr>
                      <w:rFonts w:hint="eastAsia"/>
                      <w:color w:val="auto"/>
                      <w:highlight w:val="none"/>
                    </w:rPr>
                    <w:t>达到规范要求</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82" w:hRule="atLeast"/>
              </w:trPr>
              <w:tc>
                <w:tcPr>
                  <w:tcW w:w="426" w:type="dxa"/>
                  <w:vAlign w:val="center"/>
                </w:tcPr>
                <w:p>
                  <w:pPr>
                    <w:rPr>
                      <w:color w:val="auto"/>
                      <w:highlight w:val="none"/>
                    </w:rPr>
                  </w:pPr>
                  <w:r>
                    <w:rPr>
                      <w:color w:val="auto"/>
                      <w:highlight w:val="none"/>
                    </w:rPr>
                    <w:t>9</w:t>
                  </w:r>
                </w:p>
              </w:tc>
              <w:tc>
                <w:tcPr>
                  <w:tcW w:w="1763" w:type="dxa"/>
                </w:tcPr>
                <w:p>
                  <w:pPr>
                    <w:rPr>
                      <w:color w:val="auto"/>
                      <w:highlight w:val="none"/>
                    </w:rPr>
                  </w:pPr>
                  <w:r>
                    <w:rPr>
                      <w:rFonts w:hint="eastAsia"/>
                      <w:color w:val="auto"/>
                      <w:highlight w:val="none"/>
                    </w:rPr>
                    <w:t>燃烧性能</w:t>
                  </w:r>
                </w:p>
              </w:tc>
              <w:tc>
                <w:tcPr>
                  <w:tcW w:w="1701" w:type="dxa"/>
                </w:tcPr>
                <w:p>
                  <w:pPr>
                    <w:rPr>
                      <w:color w:val="auto"/>
                      <w:highlight w:val="none"/>
                    </w:rPr>
                  </w:pPr>
                  <w:r>
                    <w:rPr>
                      <w:color w:val="auto"/>
                      <w:highlight w:val="none"/>
                    </w:rPr>
                    <w:t>GB 8624-2006</w:t>
                  </w:r>
                </w:p>
              </w:tc>
              <w:tc>
                <w:tcPr>
                  <w:tcW w:w="1134" w:type="dxa"/>
                </w:tcPr>
                <w:p>
                  <w:pPr>
                    <w:rPr>
                      <w:color w:val="auto"/>
                      <w:highlight w:val="none"/>
                    </w:rPr>
                  </w:pPr>
                </w:p>
              </w:tc>
              <w:tc>
                <w:tcPr>
                  <w:tcW w:w="1220" w:type="dxa"/>
                </w:tcPr>
                <w:p>
                  <w:pPr>
                    <w:rPr>
                      <w:color w:val="auto"/>
                      <w:highlight w:val="none"/>
                    </w:rPr>
                  </w:pPr>
                  <w:r>
                    <w:rPr>
                      <w:rFonts w:hint="eastAsia"/>
                      <w:color w:val="auto"/>
                      <w:highlight w:val="none"/>
                    </w:rPr>
                    <w:t>不低于</w:t>
                  </w:r>
                  <w:r>
                    <w:rPr>
                      <w:color w:val="auto"/>
                      <w:highlight w:val="none"/>
                    </w:rPr>
                    <w:t>Bf1</w:t>
                  </w:r>
                  <w:r>
                    <w:rPr>
                      <w:rFonts w:hint="eastAsia"/>
                      <w:color w:val="auto"/>
                      <w:highlight w:val="none"/>
                    </w:rPr>
                    <w:t>级</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82" w:hRule="atLeast"/>
              </w:trPr>
              <w:tc>
                <w:tcPr>
                  <w:tcW w:w="426" w:type="dxa"/>
                  <w:vAlign w:val="center"/>
                </w:tcPr>
                <w:p>
                  <w:pPr>
                    <w:rPr>
                      <w:color w:val="auto"/>
                      <w:highlight w:val="none"/>
                    </w:rPr>
                  </w:pPr>
                  <w:r>
                    <w:rPr>
                      <w:color w:val="auto"/>
                      <w:highlight w:val="none"/>
                    </w:rPr>
                    <w:t>10</w:t>
                  </w:r>
                </w:p>
              </w:tc>
              <w:tc>
                <w:tcPr>
                  <w:tcW w:w="1763" w:type="dxa"/>
                </w:tcPr>
                <w:p>
                  <w:pPr>
                    <w:rPr>
                      <w:color w:val="auto"/>
                      <w:highlight w:val="none"/>
                    </w:rPr>
                  </w:pPr>
                  <w:r>
                    <w:rPr>
                      <w:rFonts w:hint="eastAsia"/>
                      <w:color w:val="auto"/>
                      <w:highlight w:val="none"/>
                    </w:rPr>
                    <w:t>抗菌性能</w:t>
                  </w:r>
                </w:p>
              </w:tc>
              <w:tc>
                <w:tcPr>
                  <w:tcW w:w="1701" w:type="dxa"/>
                </w:tcPr>
                <w:p>
                  <w:pPr>
                    <w:rPr>
                      <w:color w:val="auto"/>
                      <w:highlight w:val="none"/>
                    </w:rPr>
                  </w:pPr>
                  <w:r>
                    <w:rPr>
                      <w:color w:val="auto"/>
                      <w:highlight w:val="none"/>
                    </w:rPr>
                    <w:t>QB/T2591-2003</w:t>
                  </w:r>
                </w:p>
              </w:tc>
              <w:tc>
                <w:tcPr>
                  <w:tcW w:w="1134" w:type="dxa"/>
                </w:tcPr>
                <w:p>
                  <w:pPr>
                    <w:rPr>
                      <w:color w:val="auto"/>
                      <w:highlight w:val="none"/>
                    </w:rPr>
                  </w:pPr>
                </w:p>
              </w:tc>
              <w:tc>
                <w:tcPr>
                  <w:tcW w:w="1220" w:type="dxa"/>
                </w:tcPr>
                <w:p>
                  <w:pPr>
                    <w:rPr>
                      <w:color w:val="auto"/>
                      <w:highlight w:val="none"/>
                    </w:rPr>
                  </w:pPr>
                  <w:r>
                    <w:rPr>
                      <w:rFonts w:hint="eastAsia"/>
                      <w:color w:val="auto"/>
                      <w:highlight w:val="none"/>
                    </w:rPr>
                    <w:t>达到规范要求</w:t>
                  </w:r>
                </w:p>
              </w:tc>
            </w:tr>
          </w:tbl>
          <w:p>
            <w:pPr>
              <w:rPr>
                <w:color w:val="auto"/>
                <w:highlight w:val="none"/>
              </w:rPr>
            </w:pPr>
          </w:p>
        </w:tc>
        <w:tc>
          <w:tcPr>
            <w:tcW w:w="1276" w:type="dxa"/>
            <w:tcBorders>
              <w:left w:val="single" w:color="000000" w:sz="6" w:space="0"/>
              <w:bottom w:val="single" w:color="000000" w:sz="4" w:space="0"/>
            </w:tcBorders>
            <w:vAlign w:val="center"/>
          </w:tcPr>
          <w:p>
            <w:pPr>
              <w:rPr>
                <w:color w:val="auto"/>
                <w:highlight w:val="none"/>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25" w:hRule="atLeast"/>
        </w:trPr>
        <w:tc>
          <w:tcPr>
            <w:tcW w:w="708" w:type="dxa"/>
            <w:tcBorders>
              <w:bottom w:val="single" w:color="000000" w:sz="4" w:space="0"/>
              <w:right w:val="single" w:color="000000" w:sz="6" w:space="0"/>
            </w:tcBorders>
            <w:vAlign w:val="center"/>
          </w:tcPr>
          <w:p>
            <w:pPr>
              <w:rPr>
                <w:color w:val="auto"/>
                <w:highlight w:val="none"/>
              </w:rPr>
            </w:pPr>
          </w:p>
        </w:tc>
        <w:tc>
          <w:tcPr>
            <w:tcW w:w="1276" w:type="dxa"/>
            <w:tcBorders>
              <w:left w:val="single" w:color="000000" w:sz="6" w:space="0"/>
              <w:bottom w:val="single" w:color="000000" w:sz="4" w:space="0"/>
              <w:right w:val="single" w:color="000000" w:sz="6" w:space="0"/>
            </w:tcBorders>
            <w:vAlign w:val="center"/>
          </w:tcPr>
          <w:p>
            <w:pPr>
              <w:rPr>
                <w:color w:val="auto"/>
                <w:szCs w:val="24"/>
                <w:highlight w:val="none"/>
                <w:lang w:eastAsia="zh-CN"/>
              </w:rPr>
            </w:pPr>
            <w:r>
              <w:rPr>
                <w:rFonts w:hint="eastAsia"/>
                <w:color w:val="auto"/>
                <w:szCs w:val="24"/>
                <w:highlight w:val="none"/>
                <w:lang w:eastAsia="zh-CN" w:bidi="ar"/>
              </w:rPr>
              <w:t>水泥基自流平（胶地板基层）</w:t>
            </w:r>
          </w:p>
          <w:p>
            <w:pPr>
              <w:rPr>
                <w:color w:val="auto"/>
                <w:highlight w:val="none"/>
                <w:lang w:eastAsia="zh-CN"/>
              </w:rPr>
            </w:pPr>
            <w:r>
              <w:rPr>
                <w:rFonts w:hint="eastAsia"/>
                <w:color w:val="auto"/>
                <w:szCs w:val="24"/>
                <w:highlight w:val="none"/>
                <w:lang w:eastAsia="zh-CN" w:bidi="ar"/>
              </w:rPr>
              <w:t>详见图纸标注（颜色以实物样板为准）</w:t>
            </w:r>
          </w:p>
        </w:tc>
        <w:tc>
          <w:tcPr>
            <w:tcW w:w="6237" w:type="dxa"/>
            <w:tcBorders>
              <w:left w:val="single" w:color="000000" w:sz="6" w:space="0"/>
              <w:bottom w:val="single" w:color="000000" w:sz="4" w:space="0"/>
              <w:right w:val="single" w:color="000000" w:sz="6" w:space="0"/>
            </w:tcBorders>
            <w:vAlign w:val="center"/>
          </w:tcPr>
          <w:p>
            <w:pPr>
              <w:rPr>
                <w:color w:val="auto"/>
                <w:szCs w:val="21"/>
                <w:highlight w:val="none"/>
                <w:lang w:eastAsia="zh-CN"/>
              </w:rPr>
            </w:pPr>
            <w:r>
              <w:rPr>
                <w:rFonts w:hint="eastAsia"/>
                <w:color w:val="auto"/>
                <w:szCs w:val="21"/>
                <w:highlight w:val="none"/>
                <w:lang w:eastAsia="zh-CN" w:bidi="ar"/>
              </w:rPr>
              <w:t>符合国家有关标准、规范、规定，并符合下列要求：</w:t>
            </w:r>
          </w:p>
          <w:p>
            <w:pPr>
              <w:rPr>
                <w:color w:val="auto"/>
                <w:szCs w:val="21"/>
                <w:highlight w:val="none"/>
                <w:lang w:eastAsia="zh-CN"/>
              </w:rPr>
            </w:pPr>
            <w:r>
              <w:rPr>
                <w:rFonts w:hint="eastAsia"/>
                <w:color w:val="auto"/>
                <w:szCs w:val="21"/>
                <w:highlight w:val="none"/>
                <w:lang w:eastAsia="zh-CN" w:bidi="ar"/>
              </w:rPr>
              <w:t>1、材料类型：室内装饰地面胶地板基层用材,厚度：≥3 mm（具体详见图纸）。</w:t>
            </w:r>
          </w:p>
          <w:p>
            <w:pPr>
              <w:rPr>
                <w:color w:val="auto"/>
                <w:szCs w:val="21"/>
                <w:highlight w:val="none"/>
                <w:lang w:eastAsia="zh-CN"/>
              </w:rPr>
            </w:pPr>
            <w:r>
              <w:rPr>
                <w:rFonts w:hint="eastAsia"/>
                <w:color w:val="auto"/>
                <w:szCs w:val="21"/>
                <w:highlight w:val="none"/>
                <w:lang w:eastAsia="zh-CN" w:bidi="ar"/>
              </w:rPr>
              <w:t>2、材料成分：特种水泥、超塑化组分、天然高强骨料及有机改性组份复合而成。</w:t>
            </w:r>
          </w:p>
          <w:p>
            <w:pPr>
              <w:rPr>
                <w:color w:val="auto"/>
                <w:szCs w:val="21"/>
                <w:highlight w:val="none"/>
                <w:lang w:eastAsia="zh-CN"/>
              </w:rPr>
            </w:pPr>
            <w:r>
              <w:rPr>
                <w:rFonts w:hint="eastAsia"/>
                <w:color w:val="auto"/>
                <w:szCs w:val="21"/>
                <w:highlight w:val="none"/>
                <w:lang w:eastAsia="zh-CN" w:bidi="ar"/>
              </w:rPr>
              <w:t>3、颜色：灰色。</w:t>
            </w:r>
          </w:p>
          <w:p>
            <w:pPr>
              <w:rPr>
                <w:color w:val="auto"/>
                <w:szCs w:val="21"/>
                <w:highlight w:val="none"/>
                <w:lang w:eastAsia="zh-CN"/>
              </w:rPr>
            </w:pPr>
            <w:r>
              <w:rPr>
                <w:rFonts w:hint="eastAsia"/>
                <w:color w:val="auto"/>
                <w:szCs w:val="21"/>
                <w:highlight w:val="none"/>
                <w:lang w:eastAsia="zh-CN" w:bidi="ar"/>
              </w:rPr>
              <w:t>4、凝结时间：初凝（60-80min），终凝（70-90min）。</w:t>
            </w:r>
          </w:p>
          <w:p>
            <w:pPr>
              <w:rPr>
                <w:color w:val="auto"/>
                <w:szCs w:val="21"/>
                <w:highlight w:val="none"/>
                <w:lang w:eastAsia="zh-CN"/>
              </w:rPr>
            </w:pPr>
            <w:r>
              <w:rPr>
                <w:rFonts w:hint="eastAsia"/>
                <w:color w:val="auto"/>
                <w:szCs w:val="21"/>
                <w:highlight w:val="none"/>
                <w:lang w:eastAsia="zh-CN" w:bidi="ar"/>
              </w:rPr>
              <w:t>5、抗压强度：1天（20 Mpa）, 7天（30 Mpa）,28天（35 Mpa）。</w:t>
            </w:r>
          </w:p>
          <w:p>
            <w:pPr>
              <w:rPr>
                <w:color w:val="auto"/>
                <w:szCs w:val="21"/>
                <w:highlight w:val="none"/>
                <w:lang w:eastAsia="zh-CN"/>
              </w:rPr>
            </w:pPr>
            <w:r>
              <w:rPr>
                <w:rFonts w:hint="eastAsia"/>
                <w:color w:val="auto"/>
                <w:szCs w:val="21"/>
                <w:highlight w:val="none"/>
                <w:lang w:eastAsia="zh-CN" w:bidi="ar"/>
              </w:rPr>
              <w:t>6、尺寸变化率：-0.1%～0.1%。</w:t>
            </w:r>
          </w:p>
          <w:p>
            <w:pPr>
              <w:rPr>
                <w:color w:val="auto"/>
                <w:szCs w:val="21"/>
                <w:highlight w:val="none"/>
                <w:lang w:eastAsia="zh-CN"/>
              </w:rPr>
            </w:pPr>
            <w:r>
              <w:rPr>
                <w:rFonts w:hint="eastAsia"/>
                <w:color w:val="auto"/>
                <w:szCs w:val="21"/>
                <w:highlight w:val="none"/>
                <w:lang w:eastAsia="zh-CN" w:bidi="ar"/>
              </w:rPr>
              <w:t>7、拉伸粘结强度：</w:t>
            </w:r>
            <w:r>
              <w:rPr>
                <w:rFonts w:hint="eastAsia"/>
                <w:color w:val="auto"/>
                <w:spacing w:val="5"/>
                <w:szCs w:val="21"/>
                <w:highlight w:val="none"/>
                <w:lang w:eastAsia="zh-CN" w:bidi="ar"/>
              </w:rPr>
              <w:t>≥</w:t>
            </w:r>
            <w:r>
              <w:rPr>
                <w:rFonts w:hint="eastAsia"/>
                <w:color w:val="auto"/>
                <w:szCs w:val="21"/>
                <w:highlight w:val="none"/>
                <w:lang w:eastAsia="zh-CN" w:bidi="ar"/>
              </w:rPr>
              <w:t>1.0 Mpa。</w:t>
            </w:r>
          </w:p>
          <w:p>
            <w:pPr>
              <w:rPr>
                <w:color w:val="auto"/>
                <w:szCs w:val="21"/>
                <w:highlight w:val="none"/>
                <w:lang w:eastAsia="zh-CN"/>
              </w:rPr>
            </w:pPr>
            <w:r>
              <w:rPr>
                <w:rFonts w:hint="eastAsia"/>
                <w:color w:val="auto"/>
                <w:szCs w:val="21"/>
                <w:highlight w:val="none"/>
                <w:lang w:eastAsia="zh-CN" w:bidi="ar"/>
              </w:rPr>
              <w:t>8、流动性能：初始130-150mm，20 min130-150 mm。</w:t>
            </w:r>
          </w:p>
          <w:p>
            <w:pPr>
              <w:rPr>
                <w:color w:val="auto"/>
                <w:szCs w:val="21"/>
                <w:highlight w:val="none"/>
                <w:lang w:eastAsia="zh-CN"/>
              </w:rPr>
            </w:pPr>
            <w:r>
              <w:rPr>
                <w:rFonts w:hint="eastAsia"/>
                <w:color w:val="auto"/>
                <w:szCs w:val="21"/>
                <w:highlight w:val="none"/>
                <w:lang w:eastAsia="zh-CN" w:bidi="ar"/>
              </w:rPr>
              <w:t>9、可施工时间：＞15 min。</w:t>
            </w:r>
          </w:p>
          <w:p>
            <w:pPr>
              <w:rPr>
                <w:color w:val="auto"/>
                <w:szCs w:val="21"/>
                <w:highlight w:val="none"/>
                <w:lang w:eastAsia="zh-CN"/>
              </w:rPr>
            </w:pPr>
            <w:r>
              <w:rPr>
                <w:rFonts w:hint="eastAsia"/>
                <w:color w:val="auto"/>
                <w:szCs w:val="21"/>
                <w:highlight w:val="none"/>
                <w:lang w:eastAsia="zh-CN" w:bidi="ar"/>
              </w:rPr>
              <w:t>10、施工温度：5-40℃。</w:t>
            </w:r>
          </w:p>
          <w:p>
            <w:pPr>
              <w:rPr>
                <w:color w:val="auto"/>
                <w:szCs w:val="21"/>
                <w:highlight w:val="none"/>
                <w:lang w:eastAsia="zh-CN"/>
              </w:rPr>
            </w:pPr>
            <w:r>
              <w:rPr>
                <w:rFonts w:hint="eastAsia"/>
                <w:color w:val="auto"/>
                <w:szCs w:val="21"/>
                <w:highlight w:val="none"/>
                <w:lang w:eastAsia="zh-CN" w:bidi="ar"/>
              </w:rPr>
              <w:t>11、可上人行走时间：2-3小时。</w:t>
            </w:r>
          </w:p>
          <w:p>
            <w:pPr>
              <w:rPr>
                <w:color w:val="auto"/>
                <w:szCs w:val="21"/>
                <w:highlight w:val="none"/>
                <w:lang w:eastAsia="zh-CN"/>
              </w:rPr>
            </w:pPr>
            <w:r>
              <w:rPr>
                <w:rFonts w:hint="eastAsia"/>
                <w:color w:val="auto"/>
                <w:szCs w:val="21"/>
                <w:highlight w:val="none"/>
                <w:lang w:eastAsia="zh-CN" w:bidi="ar"/>
              </w:rPr>
              <w:t>12、可铺设面材时间：1天。</w:t>
            </w:r>
          </w:p>
          <w:p>
            <w:pPr>
              <w:rPr>
                <w:color w:val="auto"/>
                <w:szCs w:val="21"/>
                <w:highlight w:val="none"/>
                <w:lang w:eastAsia="zh-CN"/>
              </w:rPr>
            </w:pPr>
            <w:r>
              <w:rPr>
                <w:rFonts w:hint="eastAsia"/>
                <w:color w:val="auto"/>
                <w:szCs w:val="21"/>
                <w:highlight w:val="none"/>
                <w:lang w:eastAsia="zh-CN" w:bidi="ar"/>
              </w:rPr>
              <w:t>13、耐碱性：低碱性对表面无侵蚀作用。</w:t>
            </w:r>
          </w:p>
          <w:p>
            <w:pPr>
              <w:rPr>
                <w:color w:val="auto"/>
                <w:szCs w:val="21"/>
                <w:highlight w:val="none"/>
                <w:lang w:eastAsia="zh-CN"/>
              </w:rPr>
            </w:pPr>
            <w:r>
              <w:rPr>
                <w:rFonts w:hint="eastAsia"/>
                <w:color w:val="auto"/>
                <w:szCs w:val="21"/>
                <w:highlight w:val="none"/>
                <w:lang w:eastAsia="zh-CN" w:bidi="ar"/>
              </w:rPr>
              <w:t>14、环保性：不含干酪素、环保五毒。</w:t>
            </w:r>
          </w:p>
          <w:p>
            <w:pPr>
              <w:rPr>
                <w:color w:val="auto"/>
                <w:szCs w:val="21"/>
                <w:highlight w:val="none"/>
                <w:lang w:eastAsia="zh-CN"/>
              </w:rPr>
            </w:pPr>
            <w:r>
              <w:rPr>
                <w:rFonts w:hint="eastAsia"/>
                <w:color w:val="auto"/>
                <w:szCs w:val="21"/>
                <w:highlight w:val="none"/>
                <w:lang w:eastAsia="zh-CN" w:bidi="ar"/>
              </w:rPr>
              <w:t>15、耐水性：浸泡在水中无任何损坏。</w:t>
            </w:r>
          </w:p>
          <w:p>
            <w:pPr>
              <w:rPr>
                <w:color w:val="auto"/>
                <w:szCs w:val="21"/>
                <w:highlight w:val="none"/>
                <w:lang w:eastAsia="zh-CN"/>
              </w:rPr>
            </w:pPr>
            <w:r>
              <w:rPr>
                <w:rFonts w:hint="eastAsia"/>
                <w:color w:val="auto"/>
                <w:szCs w:val="21"/>
                <w:highlight w:val="none"/>
                <w:lang w:eastAsia="zh-CN" w:bidi="ar"/>
              </w:rPr>
              <w:t>16、收缩率：极低收缩率、无裂缝现象产生。</w:t>
            </w:r>
          </w:p>
          <w:p>
            <w:pPr>
              <w:widowControl/>
              <w:rPr>
                <w:color w:val="auto"/>
                <w:highlight w:val="none"/>
                <w:lang w:eastAsia="zh-CN"/>
              </w:rPr>
            </w:pPr>
            <w:r>
              <w:rPr>
                <w:rFonts w:hint="eastAsia"/>
                <w:color w:val="auto"/>
                <w:szCs w:val="21"/>
                <w:highlight w:val="none"/>
                <w:lang w:eastAsia="zh-CN" w:bidi="ar"/>
              </w:rPr>
              <w:t>17、抗化学腐蚀：与混凝土相似。</w:t>
            </w:r>
            <w:r>
              <w:rPr>
                <w:color w:val="auto"/>
                <w:szCs w:val="24"/>
                <w:highlight w:val="none"/>
                <w:lang w:eastAsia="zh-CN" w:bidi="ar"/>
              </w:rPr>
              <w:t xml:space="preserve"> </w:t>
            </w:r>
          </w:p>
        </w:tc>
        <w:tc>
          <w:tcPr>
            <w:tcW w:w="1276" w:type="dxa"/>
            <w:tcBorders>
              <w:left w:val="single" w:color="000000" w:sz="6" w:space="0"/>
              <w:bottom w:val="single" w:color="000000" w:sz="4" w:space="0"/>
            </w:tcBorders>
            <w:vAlign w:val="center"/>
          </w:tcPr>
          <w:p>
            <w:pPr>
              <w:rPr>
                <w:color w:val="auto"/>
                <w:highlight w:val="none"/>
                <w:lang w:eastAsia="zh-CN"/>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25" w:hRule="atLeast"/>
        </w:trPr>
        <w:tc>
          <w:tcPr>
            <w:tcW w:w="708" w:type="dxa"/>
            <w:tcBorders>
              <w:bottom w:val="single" w:color="000000" w:sz="4" w:space="0"/>
              <w:right w:val="single" w:color="000000" w:sz="6" w:space="0"/>
            </w:tcBorders>
            <w:vAlign w:val="center"/>
          </w:tcPr>
          <w:p>
            <w:pPr>
              <w:rPr>
                <w:color w:val="auto"/>
                <w:highlight w:val="none"/>
                <w:lang w:eastAsia="zh-CN"/>
              </w:rPr>
            </w:pPr>
          </w:p>
        </w:tc>
        <w:tc>
          <w:tcPr>
            <w:tcW w:w="1276" w:type="dxa"/>
            <w:tcBorders>
              <w:left w:val="single" w:color="000000" w:sz="6" w:space="0"/>
              <w:bottom w:val="single" w:color="000000" w:sz="4" w:space="0"/>
              <w:right w:val="single" w:color="000000" w:sz="6" w:space="0"/>
            </w:tcBorders>
            <w:vAlign w:val="center"/>
          </w:tcPr>
          <w:p>
            <w:pPr>
              <w:rPr>
                <w:color w:val="auto"/>
                <w:szCs w:val="24"/>
                <w:highlight w:val="none"/>
              </w:rPr>
            </w:pPr>
            <w:r>
              <w:rPr>
                <w:rFonts w:hint="eastAsia"/>
                <w:color w:val="auto"/>
                <w:szCs w:val="24"/>
                <w:highlight w:val="none"/>
                <w:lang w:bidi="ar"/>
              </w:rPr>
              <w:t>瓷砖粘结胶</w:t>
            </w:r>
          </w:p>
        </w:tc>
        <w:tc>
          <w:tcPr>
            <w:tcW w:w="6237" w:type="dxa"/>
            <w:tcBorders>
              <w:left w:val="single" w:color="000000" w:sz="6" w:space="0"/>
              <w:bottom w:val="single" w:color="000000" w:sz="4" w:space="0"/>
              <w:right w:val="single" w:color="000000" w:sz="6" w:space="0"/>
            </w:tcBorders>
            <w:vAlign w:val="center"/>
          </w:tcPr>
          <w:p>
            <w:pPr>
              <w:widowControl/>
              <w:rPr>
                <w:color w:val="auto"/>
                <w:szCs w:val="21"/>
                <w:highlight w:val="none"/>
                <w:lang w:eastAsia="zh-CN" w:bidi="ar"/>
              </w:rPr>
            </w:pPr>
            <w:r>
              <w:rPr>
                <w:rFonts w:hint="eastAsia"/>
                <w:color w:val="auto"/>
                <w:szCs w:val="21"/>
                <w:highlight w:val="none"/>
                <w:lang w:eastAsia="zh-CN" w:bidi="ar"/>
              </w:rPr>
              <w:t>1、拉伸胶粘原强度/MPA≥1.0；</w:t>
            </w:r>
          </w:p>
          <w:p>
            <w:pPr>
              <w:widowControl/>
              <w:rPr>
                <w:color w:val="auto"/>
                <w:szCs w:val="21"/>
                <w:highlight w:val="none"/>
                <w:lang w:eastAsia="zh-CN" w:bidi="ar"/>
              </w:rPr>
            </w:pPr>
            <w:r>
              <w:rPr>
                <w:rFonts w:hint="eastAsia"/>
                <w:color w:val="auto"/>
                <w:szCs w:val="21"/>
                <w:highlight w:val="none"/>
                <w:lang w:eastAsia="zh-CN" w:bidi="ar"/>
              </w:rPr>
              <w:t>2、浸水后的拉伸胶粘强度/MPA≥1.0；</w:t>
            </w:r>
          </w:p>
          <w:p>
            <w:pPr>
              <w:widowControl/>
              <w:rPr>
                <w:color w:val="auto"/>
                <w:szCs w:val="21"/>
                <w:highlight w:val="none"/>
                <w:lang w:eastAsia="zh-CN" w:bidi="ar"/>
              </w:rPr>
            </w:pPr>
            <w:r>
              <w:rPr>
                <w:rFonts w:hint="eastAsia"/>
                <w:color w:val="auto"/>
                <w:szCs w:val="21"/>
                <w:highlight w:val="none"/>
                <w:lang w:eastAsia="zh-CN" w:bidi="ar"/>
              </w:rPr>
              <w:t>3、热老化后的拉伸胶粘强度/MPA≥1.0；</w:t>
            </w:r>
          </w:p>
          <w:p>
            <w:pPr>
              <w:widowControl/>
              <w:rPr>
                <w:color w:val="auto"/>
                <w:szCs w:val="21"/>
                <w:highlight w:val="none"/>
                <w:lang w:eastAsia="zh-CN" w:bidi="ar"/>
              </w:rPr>
            </w:pPr>
            <w:r>
              <w:rPr>
                <w:rFonts w:hint="eastAsia"/>
                <w:color w:val="auto"/>
                <w:szCs w:val="21"/>
                <w:highlight w:val="none"/>
                <w:lang w:eastAsia="zh-CN" w:bidi="ar"/>
              </w:rPr>
              <w:t>4、冻融循环后的拉伸胶粘强度/MPA≥1.0；</w:t>
            </w:r>
          </w:p>
          <w:p>
            <w:pPr>
              <w:widowControl/>
              <w:rPr>
                <w:color w:val="auto"/>
                <w:szCs w:val="21"/>
                <w:highlight w:val="none"/>
                <w:lang w:eastAsia="zh-CN" w:bidi="ar"/>
              </w:rPr>
            </w:pPr>
            <w:r>
              <w:rPr>
                <w:rFonts w:hint="eastAsia"/>
                <w:color w:val="auto"/>
                <w:szCs w:val="21"/>
                <w:highlight w:val="none"/>
                <w:lang w:eastAsia="zh-CN" w:bidi="ar"/>
              </w:rPr>
              <w:t>5、晾置时间，20min拉伸胶粘强度/MPA≥0.5；</w:t>
            </w:r>
          </w:p>
          <w:p>
            <w:pPr>
              <w:widowControl/>
              <w:rPr>
                <w:color w:val="auto"/>
                <w:szCs w:val="21"/>
                <w:highlight w:val="none"/>
                <w:lang w:eastAsia="zh-CN" w:bidi="ar"/>
              </w:rPr>
            </w:pPr>
            <w:r>
              <w:rPr>
                <w:rFonts w:hint="eastAsia"/>
                <w:color w:val="auto"/>
                <w:szCs w:val="21"/>
                <w:highlight w:val="none"/>
                <w:lang w:eastAsia="zh-CN" w:bidi="ar"/>
              </w:rPr>
              <w:t>6、加长的晾置时间，30min拉伸胶粘强度/MPA≥0.5</w:t>
            </w:r>
          </w:p>
          <w:p>
            <w:pPr>
              <w:widowControl/>
              <w:rPr>
                <w:color w:val="auto"/>
                <w:highlight w:val="none"/>
                <w:lang w:eastAsia="zh-CN"/>
              </w:rPr>
            </w:pPr>
            <w:r>
              <w:rPr>
                <w:rFonts w:hint="eastAsia"/>
                <w:color w:val="auto"/>
                <w:szCs w:val="21"/>
                <w:highlight w:val="none"/>
                <w:lang w:eastAsia="zh-CN" w:bidi="ar"/>
              </w:rPr>
              <w:t>7、滑移/mm≤0.5；</w:t>
            </w:r>
            <w:r>
              <w:rPr>
                <w:color w:val="auto"/>
                <w:szCs w:val="24"/>
                <w:highlight w:val="none"/>
                <w:lang w:eastAsia="zh-CN" w:bidi="ar"/>
              </w:rPr>
              <w:t xml:space="preserve"> </w:t>
            </w:r>
          </w:p>
        </w:tc>
        <w:tc>
          <w:tcPr>
            <w:tcW w:w="1276" w:type="dxa"/>
            <w:tcBorders>
              <w:left w:val="single" w:color="000000" w:sz="6" w:space="0"/>
              <w:bottom w:val="single" w:color="000000" w:sz="4" w:space="0"/>
            </w:tcBorders>
            <w:vAlign w:val="center"/>
          </w:tcPr>
          <w:p>
            <w:pPr>
              <w:rPr>
                <w:color w:val="auto"/>
                <w:highlight w:val="none"/>
                <w:lang w:eastAsia="zh-CN"/>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35" w:hRule="atLeast"/>
        </w:trPr>
        <w:tc>
          <w:tcPr>
            <w:tcW w:w="708" w:type="dxa"/>
            <w:tcBorders>
              <w:top w:val="single" w:color="000000" w:sz="4" w:space="0"/>
              <w:bottom w:val="single" w:color="000000" w:sz="4" w:space="0"/>
              <w:right w:val="single" w:color="000000" w:sz="6" w:space="0"/>
            </w:tcBorders>
            <w:vAlign w:val="center"/>
          </w:tcPr>
          <w:p>
            <w:pPr>
              <w:rPr>
                <w:color w:val="auto"/>
                <w:highlight w:val="none"/>
                <w:lang w:eastAsia="zh-CN"/>
              </w:rPr>
            </w:pPr>
          </w:p>
        </w:tc>
        <w:tc>
          <w:tcPr>
            <w:tcW w:w="1276" w:type="dxa"/>
            <w:tcBorders>
              <w:top w:val="single" w:color="000000" w:sz="4" w:space="0"/>
              <w:left w:val="single" w:color="000000" w:sz="6" w:space="0"/>
              <w:bottom w:val="single" w:color="000000" w:sz="4" w:space="0"/>
              <w:right w:val="single" w:color="000000" w:sz="6" w:space="0"/>
            </w:tcBorders>
            <w:vAlign w:val="center"/>
          </w:tcPr>
          <w:p>
            <w:pPr>
              <w:rPr>
                <w:color w:val="auto"/>
                <w:szCs w:val="24"/>
                <w:highlight w:val="none"/>
                <w:lang w:eastAsia="zh-CN"/>
              </w:rPr>
            </w:pPr>
            <w:r>
              <w:rPr>
                <w:rFonts w:hint="eastAsia"/>
                <w:color w:val="auto"/>
                <w:szCs w:val="24"/>
                <w:highlight w:val="none"/>
                <w:lang w:eastAsia="zh-CN"/>
              </w:rPr>
              <w:t>硅酮胶（中性硅酮结构胶、中性硅酮密封胶）</w:t>
            </w:r>
          </w:p>
        </w:tc>
        <w:tc>
          <w:tcPr>
            <w:tcW w:w="6237" w:type="dxa"/>
            <w:tcBorders>
              <w:top w:val="single" w:color="000000" w:sz="4" w:space="0"/>
              <w:left w:val="single" w:color="000000" w:sz="6" w:space="0"/>
              <w:bottom w:val="single" w:color="000000" w:sz="4" w:space="0"/>
              <w:right w:val="single" w:color="000000" w:sz="6" w:space="0"/>
            </w:tcBorders>
            <w:vAlign w:val="center"/>
          </w:tcPr>
          <w:p>
            <w:pPr>
              <w:rPr>
                <w:color w:val="auto"/>
                <w:highlight w:val="none"/>
                <w:lang w:eastAsia="zh-CN"/>
              </w:rPr>
            </w:pPr>
            <w:r>
              <w:rPr>
                <w:rFonts w:hint="eastAsia"/>
                <w:color w:val="auto"/>
                <w:highlight w:val="none"/>
                <w:lang w:eastAsia="zh-CN"/>
              </w:rPr>
              <w:t>承包人</w:t>
            </w:r>
            <w:r>
              <w:rPr>
                <w:color w:val="auto"/>
                <w:highlight w:val="none"/>
                <w:lang w:eastAsia="zh-CN"/>
              </w:rPr>
              <w:t>本项目中使用的所有</w:t>
            </w:r>
            <w:r>
              <w:rPr>
                <w:rFonts w:hint="eastAsia"/>
                <w:color w:val="auto"/>
                <w:highlight w:val="none"/>
                <w:lang w:eastAsia="zh-CN"/>
              </w:rPr>
              <w:t>硅酮</w:t>
            </w:r>
            <w:r>
              <w:rPr>
                <w:color w:val="auto"/>
                <w:highlight w:val="none"/>
                <w:lang w:eastAsia="zh-CN"/>
              </w:rPr>
              <w:t>胶都应</w:t>
            </w:r>
            <w:r>
              <w:rPr>
                <w:rFonts w:hint="eastAsia"/>
                <w:color w:val="auto"/>
                <w:highlight w:val="none"/>
                <w:lang w:eastAsia="zh-CN"/>
              </w:rPr>
              <w:t>为</w:t>
            </w:r>
            <w:r>
              <w:rPr>
                <w:color w:val="auto"/>
                <w:highlight w:val="none"/>
                <w:lang w:eastAsia="zh-CN"/>
              </w:rPr>
              <w:t>同</w:t>
            </w:r>
            <w:r>
              <w:rPr>
                <w:rFonts w:hint="eastAsia"/>
                <w:color w:val="auto"/>
                <w:highlight w:val="none"/>
                <w:lang w:eastAsia="zh-CN"/>
              </w:rPr>
              <w:t>一家</w:t>
            </w:r>
            <w:r>
              <w:rPr>
                <w:color w:val="auto"/>
                <w:highlight w:val="none"/>
                <w:lang w:eastAsia="zh-CN"/>
              </w:rPr>
              <w:t>厂家</w:t>
            </w:r>
            <w:r>
              <w:rPr>
                <w:rFonts w:hint="eastAsia"/>
                <w:color w:val="auto"/>
                <w:highlight w:val="none"/>
                <w:lang w:eastAsia="zh-CN"/>
              </w:rPr>
              <w:t>的产品，其中中性硅酮结构胶，中性硅酮耐候密封胶均应符合设计、《建筑用硅酮结构密封胶》GB16776规定及相关的技术标准要求。</w:t>
            </w:r>
          </w:p>
          <w:p>
            <w:pPr>
              <w:rPr>
                <w:color w:val="auto"/>
                <w:highlight w:val="none"/>
                <w:lang w:eastAsia="zh-CN"/>
              </w:rPr>
            </w:pPr>
            <w:r>
              <w:rPr>
                <w:rFonts w:hint="eastAsia"/>
                <w:color w:val="auto"/>
                <w:highlight w:val="none"/>
                <w:lang w:eastAsia="zh-CN"/>
              </w:rPr>
              <w:t>承包人需</w:t>
            </w:r>
            <w:r>
              <w:rPr>
                <w:color w:val="auto"/>
                <w:highlight w:val="none"/>
                <w:lang w:eastAsia="zh-CN"/>
              </w:rPr>
              <w:t>严格按照生产商的书面指示和建议(依照试验)选择和安装所有密封胶，包括接口尺寸限制、混合、底漆和使用方法等方面。</w:t>
            </w:r>
          </w:p>
          <w:p>
            <w:pPr>
              <w:rPr>
                <w:color w:val="auto"/>
                <w:highlight w:val="none"/>
                <w:lang w:eastAsia="zh-CN"/>
              </w:rPr>
            </w:pPr>
            <w:r>
              <w:rPr>
                <w:rFonts w:hint="eastAsia"/>
                <w:color w:val="auto"/>
                <w:highlight w:val="none"/>
                <w:lang w:eastAsia="zh-CN"/>
              </w:rPr>
              <w:t>承包人需在</w:t>
            </w:r>
            <w:r>
              <w:rPr>
                <w:color w:val="auto"/>
                <w:highlight w:val="none"/>
                <w:lang w:eastAsia="zh-CN"/>
              </w:rPr>
              <w:t>在施工图中标注所有密封胶位置</w:t>
            </w:r>
            <w:r>
              <w:rPr>
                <w:rFonts w:hint="eastAsia"/>
                <w:color w:val="auto"/>
                <w:highlight w:val="none"/>
                <w:lang w:eastAsia="zh-CN"/>
              </w:rPr>
              <w:t>、</w:t>
            </w:r>
            <w:r>
              <w:rPr>
                <w:color w:val="auto"/>
                <w:highlight w:val="none"/>
                <w:lang w:eastAsia="zh-CN"/>
              </w:rPr>
              <w:t>品牌</w:t>
            </w:r>
            <w:r>
              <w:rPr>
                <w:rFonts w:hint="eastAsia"/>
                <w:color w:val="auto"/>
                <w:highlight w:val="none"/>
                <w:lang w:eastAsia="zh-CN"/>
              </w:rPr>
              <w:t>、规格及使用尺寸</w:t>
            </w:r>
            <w:r>
              <w:rPr>
                <w:color w:val="auto"/>
                <w:highlight w:val="none"/>
                <w:lang w:eastAsia="zh-CN"/>
              </w:rPr>
              <w:t>。</w:t>
            </w:r>
          </w:p>
          <w:p>
            <w:pPr>
              <w:rPr>
                <w:color w:val="auto"/>
                <w:highlight w:val="none"/>
                <w:lang w:eastAsia="zh-CN"/>
              </w:rPr>
            </w:pPr>
            <w:r>
              <w:rPr>
                <w:rFonts w:hint="eastAsia"/>
                <w:color w:val="auto"/>
                <w:highlight w:val="none"/>
                <w:lang w:eastAsia="zh-CN"/>
              </w:rPr>
              <w:t>承包人</w:t>
            </w:r>
            <w:r>
              <w:rPr>
                <w:color w:val="auto"/>
                <w:highlight w:val="none"/>
                <w:lang w:eastAsia="zh-CN"/>
              </w:rPr>
              <w:t>应确保拟采用的硅酮胶与各类型玻璃、</w:t>
            </w:r>
            <w:r>
              <w:rPr>
                <w:rFonts w:hint="eastAsia"/>
                <w:color w:val="auto"/>
                <w:highlight w:val="none"/>
                <w:lang w:eastAsia="zh-CN"/>
              </w:rPr>
              <w:t>铝材、</w:t>
            </w:r>
            <w:r>
              <w:rPr>
                <w:color w:val="auto"/>
                <w:highlight w:val="none"/>
                <w:lang w:eastAsia="zh-CN"/>
              </w:rPr>
              <w:t>铝板相容。</w:t>
            </w:r>
          </w:p>
          <w:p>
            <w:pPr>
              <w:rPr>
                <w:color w:val="auto"/>
                <w:highlight w:val="none"/>
                <w:lang w:eastAsia="zh-CN"/>
              </w:rPr>
            </w:pPr>
            <w:r>
              <w:rPr>
                <w:rFonts w:hint="eastAsia"/>
                <w:color w:val="auto"/>
                <w:highlight w:val="none"/>
                <w:lang w:eastAsia="zh-CN"/>
              </w:rPr>
              <w:t>发包人、设计院对</w:t>
            </w:r>
            <w:r>
              <w:rPr>
                <w:color w:val="auto"/>
                <w:highlight w:val="none"/>
                <w:lang w:eastAsia="zh-CN"/>
              </w:rPr>
              <w:t>对任何密封胶、硅酮胶或玻璃产品的意见，并不能减轻</w:t>
            </w:r>
            <w:r>
              <w:rPr>
                <w:rFonts w:hint="eastAsia"/>
                <w:color w:val="auto"/>
                <w:highlight w:val="none"/>
                <w:lang w:eastAsia="zh-CN"/>
              </w:rPr>
              <w:t>承包人</w:t>
            </w:r>
            <w:r>
              <w:rPr>
                <w:color w:val="auto"/>
                <w:highlight w:val="none"/>
                <w:lang w:eastAsia="zh-CN"/>
              </w:rPr>
              <w:t>的责任。</w:t>
            </w:r>
          </w:p>
          <w:p>
            <w:pPr>
              <w:rPr>
                <w:color w:val="auto"/>
                <w:highlight w:val="none"/>
                <w:lang w:eastAsia="zh-CN"/>
              </w:rPr>
            </w:pPr>
            <w:r>
              <w:rPr>
                <w:rFonts w:hint="eastAsia"/>
                <w:color w:val="auto"/>
                <w:highlight w:val="none"/>
                <w:lang w:eastAsia="zh-CN"/>
              </w:rPr>
              <w:t>硅酮</w:t>
            </w:r>
            <w:r>
              <w:rPr>
                <w:color w:val="auto"/>
                <w:highlight w:val="none"/>
                <w:lang w:eastAsia="zh-CN"/>
              </w:rPr>
              <w:t>胶</w:t>
            </w:r>
            <w:r>
              <w:rPr>
                <w:rFonts w:hint="eastAsia"/>
                <w:color w:val="auto"/>
                <w:highlight w:val="none"/>
                <w:lang w:eastAsia="zh-CN"/>
              </w:rPr>
              <w:t>的</w:t>
            </w:r>
            <w:r>
              <w:rPr>
                <w:color w:val="auto"/>
                <w:highlight w:val="none"/>
                <w:lang w:eastAsia="zh-CN"/>
              </w:rPr>
              <w:t>拉应力</w:t>
            </w:r>
            <w:r>
              <w:rPr>
                <w:rFonts w:hint="eastAsia"/>
                <w:color w:val="auto"/>
                <w:highlight w:val="none"/>
                <w:lang w:eastAsia="zh-CN"/>
              </w:rPr>
              <w:t>、</w:t>
            </w:r>
            <w:r>
              <w:rPr>
                <w:color w:val="auto"/>
                <w:highlight w:val="none"/>
                <w:lang w:eastAsia="zh-CN"/>
              </w:rPr>
              <w:t>剪切应力不能超出生产商的建议数值。</w:t>
            </w:r>
          </w:p>
          <w:p>
            <w:pPr>
              <w:rPr>
                <w:color w:val="auto"/>
                <w:highlight w:val="none"/>
                <w:lang w:eastAsia="zh-CN"/>
              </w:rPr>
            </w:pPr>
            <w:r>
              <w:rPr>
                <w:color w:val="auto"/>
                <w:highlight w:val="none"/>
                <w:lang w:eastAsia="zh-CN"/>
              </w:rPr>
              <w:t>在加工期间，经常并定期地对密封胶，特别是硅酮结构胶进行粘着力试验，以在材料安装前发现潜在的问题。</w:t>
            </w:r>
          </w:p>
          <w:p>
            <w:pPr>
              <w:rPr>
                <w:color w:val="auto"/>
                <w:highlight w:val="none"/>
                <w:lang w:eastAsia="zh-CN"/>
              </w:rPr>
            </w:pPr>
            <w:r>
              <w:rPr>
                <w:rFonts w:hint="eastAsia"/>
                <w:color w:val="auto"/>
                <w:highlight w:val="none"/>
                <w:lang w:eastAsia="zh-CN"/>
              </w:rPr>
              <w:t>硅酮结构胶需有生产企业的结构胶产品合格证，且为国家相关部门检查合格准许使用的产品，结构胶产品需有国家指定的检测中心出具的合格的结构胶相容性试验和粘结性能检测报告。</w:t>
            </w:r>
          </w:p>
          <w:p>
            <w:pPr>
              <w:rPr>
                <w:color w:val="auto"/>
                <w:highlight w:val="none"/>
                <w:lang w:eastAsia="zh-CN"/>
              </w:rPr>
            </w:pPr>
            <w:r>
              <w:rPr>
                <w:rFonts w:hint="eastAsia"/>
                <w:color w:val="auto"/>
                <w:highlight w:val="none"/>
                <w:lang w:eastAsia="zh-CN"/>
              </w:rPr>
              <w:t>硅酮密封胶填充垫层材料为聚乙烯泡沫，石材密封胶必须采用专门产品并在使用前做相容性</w:t>
            </w:r>
            <w:r>
              <w:rPr>
                <w:color w:val="auto"/>
                <w:highlight w:val="none"/>
                <w:lang w:eastAsia="zh-CN"/>
              </w:rPr>
              <w:t>及污染试验</w:t>
            </w:r>
            <w:r>
              <w:rPr>
                <w:rFonts w:hint="eastAsia"/>
                <w:color w:val="auto"/>
                <w:highlight w:val="none"/>
                <w:lang w:eastAsia="zh-CN"/>
              </w:rPr>
              <w:t>检验。</w:t>
            </w:r>
          </w:p>
          <w:p>
            <w:pPr>
              <w:rPr>
                <w:color w:val="auto"/>
                <w:highlight w:val="none"/>
                <w:lang w:eastAsia="zh-CN"/>
              </w:rPr>
            </w:pPr>
            <w:r>
              <w:rPr>
                <w:rFonts w:hint="eastAsia"/>
                <w:color w:val="auto"/>
                <w:highlight w:val="none"/>
                <w:lang w:eastAsia="zh-CN"/>
              </w:rPr>
              <w:t>结构胶包装上必须有国家认定标识、商检标志、说明、批号、出厂及使用有效日期。</w:t>
            </w:r>
          </w:p>
          <w:p>
            <w:pPr>
              <w:rPr>
                <w:color w:val="auto"/>
                <w:highlight w:val="none"/>
                <w:lang w:eastAsia="zh-CN"/>
              </w:rPr>
            </w:pPr>
            <w:r>
              <w:rPr>
                <w:color w:val="auto"/>
                <w:highlight w:val="none"/>
                <w:lang w:eastAsia="zh-CN"/>
              </w:rPr>
              <w:t>在核准特定</w:t>
            </w:r>
            <w:r>
              <w:rPr>
                <w:rFonts w:hint="eastAsia"/>
                <w:color w:val="auto"/>
                <w:highlight w:val="none"/>
                <w:lang w:eastAsia="zh-CN"/>
              </w:rPr>
              <w:t>硅酮</w:t>
            </w:r>
            <w:r>
              <w:rPr>
                <w:color w:val="auto"/>
                <w:highlight w:val="none"/>
                <w:lang w:eastAsia="zh-CN"/>
              </w:rPr>
              <w:t>胶前，</w:t>
            </w:r>
            <w:r>
              <w:rPr>
                <w:rFonts w:hint="eastAsia"/>
                <w:color w:val="auto"/>
                <w:highlight w:val="none"/>
                <w:lang w:eastAsia="zh-CN"/>
              </w:rPr>
              <w:t>承包人需在监理见证下负责将所用结构胶、双面胶条、泡沫棒、铝材、玻璃和相关材料送国家指定的检测中心做相容性试验</w:t>
            </w:r>
            <w:r>
              <w:rPr>
                <w:color w:val="auto"/>
                <w:highlight w:val="none"/>
                <w:lang w:eastAsia="zh-CN"/>
              </w:rPr>
              <w:t>粘着力及污染试验，同时达到规定要求。</w:t>
            </w:r>
          </w:p>
          <w:p>
            <w:pPr>
              <w:rPr>
                <w:color w:val="auto"/>
                <w:highlight w:val="none"/>
                <w:lang w:eastAsia="zh-CN"/>
              </w:rPr>
            </w:pPr>
            <w:r>
              <w:rPr>
                <w:rFonts w:hint="eastAsia"/>
                <w:color w:val="auto"/>
                <w:highlight w:val="none"/>
                <w:lang w:eastAsia="zh-CN"/>
              </w:rPr>
              <w:t>承包人注硅酮结构密封胶应打注饱满，并应在温度</w:t>
            </w:r>
            <w:r>
              <w:rPr>
                <w:color w:val="auto"/>
                <w:highlight w:val="none"/>
                <w:lang w:eastAsia="zh-CN"/>
              </w:rPr>
              <w:t>15</w:t>
            </w:r>
            <w:r>
              <w:rPr>
                <w:rFonts w:hint="eastAsia"/>
                <w:color w:val="auto"/>
                <w:highlight w:val="none"/>
                <w:lang w:eastAsia="zh-CN"/>
              </w:rPr>
              <w:t>—</w:t>
            </w:r>
            <w:r>
              <w:rPr>
                <w:color w:val="auto"/>
                <w:highlight w:val="none"/>
                <w:lang w:eastAsia="zh-CN"/>
              </w:rPr>
              <w:t>30</w:t>
            </w:r>
            <w:r>
              <w:rPr>
                <w:rFonts w:hint="eastAsia"/>
                <w:color w:val="auto"/>
                <w:highlight w:val="none"/>
                <w:lang w:eastAsia="zh-CN"/>
              </w:rPr>
              <w:t>℃、相对湿度</w:t>
            </w:r>
            <w:r>
              <w:rPr>
                <w:color w:val="auto"/>
                <w:highlight w:val="none"/>
                <w:lang w:eastAsia="zh-CN"/>
              </w:rPr>
              <w:t>50</w:t>
            </w:r>
            <w:r>
              <w:rPr>
                <w:rFonts w:hint="eastAsia"/>
                <w:color w:val="auto"/>
                <w:highlight w:val="none"/>
                <w:lang w:eastAsia="zh-CN"/>
              </w:rPr>
              <w:t>％以上、洁净的加工厂注胶车间进行，不得在现场墙上打注；并在注胶前必须取得相溶性试验合格的报告；另承包人在硅酮结构胶注胶完毕后还应保证有足够的洁净符合养护要求的场地进行养护、存放。</w:t>
            </w:r>
          </w:p>
          <w:p>
            <w:pPr>
              <w:rPr>
                <w:color w:val="auto"/>
                <w:highlight w:val="none"/>
                <w:lang w:eastAsia="zh-CN"/>
              </w:rPr>
            </w:pPr>
            <w:r>
              <w:rPr>
                <w:rFonts w:hint="eastAsia"/>
                <w:color w:val="auto"/>
                <w:highlight w:val="none"/>
                <w:lang w:eastAsia="zh-CN"/>
              </w:rPr>
              <w:t>验收时承包人必须提供下列资料存档：</w:t>
            </w:r>
          </w:p>
          <w:p>
            <w:pPr>
              <w:rPr>
                <w:color w:val="auto"/>
                <w:highlight w:val="none"/>
                <w:lang w:eastAsia="zh-CN"/>
              </w:rPr>
            </w:pPr>
            <w:r>
              <w:rPr>
                <w:rFonts w:hint="eastAsia"/>
                <w:color w:val="auto"/>
                <w:highlight w:val="none"/>
                <w:lang w:eastAsia="zh-CN"/>
              </w:rPr>
              <w:t>生产企业的硅酮胶产品合格证、品质证明书、十年质量保证书。</w:t>
            </w:r>
          </w:p>
          <w:p>
            <w:pPr>
              <w:rPr>
                <w:color w:val="auto"/>
                <w:highlight w:val="none"/>
                <w:lang w:eastAsia="zh-CN"/>
              </w:rPr>
            </w:pPr>
            <w:r>
              <w:rPr>
                <w:rFonts w:hint="eastAsia"/>
                <w:color w:val="auto"/>
                <w:highlight w:val="none"/>
                <w:lang w:eastAsia="zh-CN"/>
              </w:rPr>
              <w:t>硅酮胶的购销合同原件。</w:t>
            </w:r>
          </w:p>
          <w:p>
            <w:pPr>
              <w:rPr>
                <w:color w:val="auto"/>
                <w:highlight w:val="none"/>
                <w:lang w:eastAsia="zh-CN"/>
              </w:rPr>
            </w:pPr>
            <w:r>
              <w:rPr>
                <w:rFonts w:hint="eastAsia"/>
                <w:color w:val="auto"/>
                <w:highlight w:val="none"/>
                <w:lang w:eastAsia="zh-CN"/>
              </w:rPr>
              <w:t>国家指定的检测中心出具的合格的硅酮胶相容性试验和粘结性能检测报告。</w:t>
            </w:r>
          </w:p>
          <w:p>
            <w:pPr>
              <w:rPr>
                <w:color w:val="auto"/>
                <w:highlight w:val="none"/>
                <w:lang w:eastAsia="zh-CN"/>
              </w:rPr>
            </w:pPr>
            <w:r>
              <w:rPr>
                <w:rFonts w:hint="eastAsia"/>
                <w:color w:val="auto"/>
                <w:highlight w:val="none"/>
                <w:lang w:eastAsia="zh-CN"/>
              </w:rPr>
              <w:t>硅酮结构胶注胶记录和工艺过程质量检测记录。</w:t>
            </w:r>
          </w:p>
        </w:tc>
        <w:tc>
          <w:tcPr>
            <w:tcW w:w="1276" w:type="dxa"/>
            <w:tcBorders>
              <w:top w:val="single" w:color="000000" w:sz="4" w:space="0"/>
              <w:left w:val="single" w:color="000000" w:sz="6" w:space="0"/>
              <w:bottom w:val="single" w:color="000000" w:sz="4" w:space="0"/>
            </w:tcBorders>
            <w:vAlign w:val="center"/>
          </w:tcPr>
          <w:p>
            <w:pPr>
              <w:rPr>
                <w:color w:val="auto"/>
                <w:highlight w:val="none"/>
                <w:lang w:eastAsia="zh-CN"/>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95" w:hRule="atLeast"/>
        </w:trPr>
        <w:tc>
          <w:tcPr>
            <w:tcW w:w="708" w:type="dxa"/>
            <w:tcBorders>
              <w:top w:val="single" w:color="000000" w:sz="4" w:space="0"/>
              <w:bottom w:val="single" w:color="000000" w:sz="4" w:space="0"/>
              <w:right w:val="single" w:color="auto" w:sz="4" w:space="0"/>
            </w:tcBorders>
            <w:vAlign w:val="center"/>
          </w:tcPr>
          <w:p>
            <w:pPr>
              <w:rPr>
                <w:color w:val="auto"/>
                <w:highlight w:val="none"/>
                <w:lang w:eastAsia="zh-CN"/>
              </w:rPr>
            </w:pPr>
          </w:p>
        </w:tc>
        <w:tc>
          <w:tcPr>
            <w:tcW w:w="1276" w:type="dxa"/>
            <w:tcBorders>
              <w:top w:val="single" w:color="000000" w:sz="4" w:space="0"/>
              <w:left w:val="single" w:color="auto" w:sz="4" w:space="0"/>
              <w:bottom w:val="single" w:color="000000" w:sz="4" w:space="0"/>
              <w:right w:val="single" w:color="000000" w:sz="6" w:space="0"/>
            </w:tcBorders>
            <w:vAlign w:val="center"/>
          </w:tcPr>
          <w:p>
            <w:pPr>
              <w:rPr>
                <w:color w:val="auto"/>
                <w:highlight w:val="none"/>
              </w:rPr>
            </w:pPr>
            <w:r>
              <w:rPr>
                <w:rFonts w:hint="eastAsia"/>
                <w:color w:val="auto"/>
                <w:highlight w:val="none"/>
              </w:rPr>
              <w:t>标准件及其他配件</w:t>
            </w:r>
          </w:p>
        </w:tc>
        <w:tc>
          <w:tcPr>
            <w:tcW w:w="6237" w:type="dxa"/>
            <w:tcBorders>
              <w:top w:val="single" w:color="000000" w:sz="4" w:space="0"/>
              <w:left w:val="single" w:color="000000" w:sz="6" w:space="0"/>
              <w:bottom w:val="single" w:color="000000" w:sz="4" w:space="0"/>
              <w:right w:val="single" w:color="auto" w:sz="4" w:space="0"/>
            </w:tcBorders>
            <w:vAlign w:val="center"/>
          </w:tcPr>
          <w:p>
            <w:pPr>
              <w:rPr>
                <w:color w:val="auto"/>
                <w:highlight w:val="none"/>
                <w:lang w:eastAsia="zh-CN"/>
              </w:rPr>
            </w:pPr>
            <w:r>
              <w:rPr>
                <w:rFonts w:hint="eastAsia"/>
                <w:color w:val="auto"/>
                <w:highlight w:val="none"/>
                <w:lang w:eastAsia="zh-CN"/>
              </w:rPr>
              <w:t>1）所有标准件与五金配件均要符合相关标准的要求，同时达到设计的强度与耐久性要求。</w:t>
            </w:r>
          </w:p>
          <w:p>
            <w:pPr>
              <w:rPr>
                <w:color w:val="auto"/>
                <w:highlight w:val="none"/>
                <w:lang w:eastAsia="zh-CN"/>
              </w:rPr>
            </w:pPr>
            <w:r>
              <w:rPr>
                <w:rFonts w:hint="eastAsia"/>
                <w:color w:val="auto"/>
                <w:highlight w:val="none"/>
                <w:lang w:eastAsia="zh-CN"/>
              </w:rPr>
              <w:t>2）标准件应采用不锈钢材或碳钢，所有与铝合金接触部位均采用不锈钢紧固件，材质为奥氏体不锈钢304#。</w:t>
            </w:r>
          </w:p>
          <w:p>
            <w:pPr>
              <w:rPr>
                <w:color w:val="auto"/>
                <w:highlight w:val="none"/>
                <w:lang w:eastAsia="zh-CN"/>
              </w:rPr>
            </w:pPr>
            <w:r>
              <w:rPr>
                <w:rFonts w:hint="eastAsia"/>
                <w:color w:val="auto"/>
                <w:highlight w:val="none"/>
                <w:lang w:eastAsia="zh-CN"/>
              </w:rPr>
              <w:t>3）电动开启扇的金属配件应采用奥氏体不锈钢304#。</w:t>
            </w:r>
          </w:p>
          <w:p>
            <w:pPr>
              <w:rPr>
                <w:color w:val="auto"/>
                <w:highlight w:val="none"/>
                <w:lang w:eastAsia="zh-CN"/>
              </w:rPr>
            </w:pPr>
            <w:r>
              <w:rPr>
                <w:rFonts w:hint="eastAsia"/>
                <w:color w:val="auto"/>
                <w:highlight w:val="none"/>
                <w:lang w:eastAsia="zh-CN"/>
              </w:rPr>
              <w:t>4）室外采用奥氏体不锈钢316#，室内采用奥氏体不锈钢304#。</w:t>
            </w:r>
          </w:p>
          <w:p>
            <w:pPr>
              <w:rPr>
                <w:color w:val="auto"/>
                <w:highlight w:val="none"/>
                <w:lang w:eastAsia="zh-CN"/>
              </w:rPr>
            </w:pPr>
            <w:r>
              <w:rPr>
                <w:rFonts w:hint="eastAsia"/>
                <w:color w:val="auto"/>
                <w:highlight w:val="none"/>
                <w:lang w:eastAsia="zh-CN"/>
              </w:rPr>
              <w:t>5）所有材料及附件均应有产品质量证明书及产品合格证。</w:t>
            </w:r>
          </w:p>
        </w:tc>
        <w:tc>
          <w:tcPr>
            <w:tcW w:w="1276" w:type="dxa"/>
            <w:tcBorders>
              <w:top w:val="single" w:color="000000" w:sz="4" w:space="0"/>
              <w:left w:val="single" w:color="auto" w:sz="4" w:space="0"/>
              <w:bottom w:val="single" w:color="000000" w:sz="4" w:space="0"/>
            </w:tcBorders>
            <w:vAlign w:val="center"/>
          </w:tcPr>
          <w:p>
            <w:pPr>
              <w:rPr>
                <w:color w:val="auto"/>
                <w:highlight w:val="no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708" w:type="dxa"/>
            <w:vAlign w:val="center"/>
          </w:tcPr>
          <w:p>
            <w:pPr>
              <w:rPr>
                <w:color w:val="auto"/>
                <w:highlight w:val="none"/>
                <w:lang w:eastAsia="zh-CN"/>
              </w:rPr>
            </w:pPr>
          </w:p>
        </w:tc>
        <w:tc>
          <w:tcPr>
            <w:tcW w:w="1276" w:type="dxa"/>
            <w:vAlign w:val="center"/>
          </w:tcPr>
          <w:p>
            <w:pPr>
              <w:rPr>
                <w:color w:val="auto"/>
                <w:highlight w:val="none"/>
              </w:rPr>
            </w:pPr>
            <w:r>
              <w:rPr>
                <w:rFonts w:hint="eastAsia"/>
                <w:color w:val="auto"/>
                <w:highlight w:val="none"/>
              </w:rPr>
              <w:t>聚氨酯防水涂料</w:t>
            </w:r>
          </w:p>
        </w:tc>
        <w:tc>
          <w:tcPr>
            <w:tcW w:w="6237" w:type="dxa"/>
            <w:vAlign w:val="center"/>
          </w:tcPr>
          <w:p>
            <w:pPr>
              <w:rPr>
                <w:color w:val="auto"/>
                <w:highlight w:val="none"/>
                <w:lang w:eastAsia="zh-CN"/>
              </w:rPr>
            </w:pPr>
            <w:r>
              <w:rPr>
                <w:color w:val="auto"/>
                <w:highlight w:val="none"/>
                <w:lang w:eastAsia="zh-CN"/>
              </w:rPr>
              <w:t>1.须采用单组分聚氨酯防水涂料</w:t>
            </w:r>
          </w:p>
          <w:p>
            <w:pPr>
              <w:rPr>
                <w:color w:val="auto"/>
                <w:highlight w:val="none"/>
                <w:lang w:eastAsia="zh-CN"/>
              </w:rPr>
            </w:pPr>
            <w:r>
              <w:rPr>
                <w:color w:val="auto"/>
                <w:highlight w:val="none"/>
                <w:lang w:eastAsia="zh-CN"/>
              </w:rPr>
              <w:t>2.须达到Ⅱ类产品相关技术指标（抗拉强度≥2.45MPa、断裂伸长率≥450%）</w:t>
            </w:r>
          </w:p>
        </w:tc>
        <w:tc>
          <w:tcPr>
            <w:tcW w:w="1276" w:type="dxa"/>
            <w:vAlign w:val="center"/>
          </w:tcPr>
          <w:p>
            <w:pPr>
              <w:rPr>
                <w:color w:val="auto"/>
                <w:highlight w:val="no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708" w:type="dxa"/>
            <w:vAlign w:val="center"/>
          </w:tcPr>
          <w:p>
            <w:pPr>
              <w:rPr>
                <w:color w:val="auto"/>
                <w:highlight w:val="none"/>
                <w:lang w:eastAsia="zh-CN"/>
              </w:rPr>
            </w:pPr>
          </w:p>
        </w:tc>
        <w:tc>
          <w:tcPr>
            <w:tcW w:w="1276" w:type="dxa"/>
            <w:vAlign w:val="center"/>
          </w:tcPr>
          <w:p>
            <w:pPr>
              <w:rPr>
                <w:color w:val="auto"/>
                <w:highlight w:val="none"/>
                <w:lang w:eastAsia="zh-CN"/>
              </w:rPr>
            </w:pPr>
            <w:r>
              <w:rPr>
                <w:rFonts w:hint="eastAsia"/>
                <w:color w:val="auto"/>
                <w:highlight w:val="none"/>
                <w:lang w:eastAsia="zh-CN"/>
              </w:rPr>
              <w:t>手术室、icu嵌入式医疗柜</w:t>
            </w:r>
          </w:p>
        </w:tc>
        <w:tc>
          <w:tcPr>
            <w:tcW w:w="6237" w:type="dxa"/>
            <w:vAlign w:val="center"/>
          </w:tcPr>
          <w:p>
            <w:pPr>
              <w:rPr>
                <w:color w:val="auto"/>
                <w:highlight w:val="none"/>
                <w:lang w:eastAsia="zh-CN"/>
              </w:rPr>
            </w:pPr>
            <w:r>
              <w:rPr>
                <w:rFonts w:hint="eastAsia"/>
                <w:color w:val="auto"/>
                <w:highlight w:val="none"/>
                <w:lang w:eastAsia="zh-CN"/>
              </w:rPr>
              <w:t>台柜规格，具体详见图纸，可根据现场需求定制； 材料种类、规格:柜体采用1.2mm 304不锈钢板,分四门开启,上下两层内均有高强度拖架,可放置足量手术器械,柜门色调与手术室主色调颜色相同,周边采用不锈钢包边。</w:t>
            </w:r>
          </w:p>
          <w:p>
            <w:pPr>
              <w:rPr>
                <w:color w:val="auto"/>
                <w:highlight w:val="none"/>
                <w:lang w:eastAsia="zh-CN"/>
              </w:rPr>
            </w:pPr>
            <w:r>
              <w:rPr>
                <w:rFonts w:hint="eastAsia"/>
                <w:color w:val="auto"/>
                <w:highlight w:val="none"/>
                <w:lang w:eastAsia="zh-CN"/>
              </w:rPr>
              <w:t>尺寸、样式须经甲方、使用方、设计认可。</w:t>
            </w:r>
          </w:p>
        </w:tc>
        <w:tc>
          <w:tcPr>
            <w:tcW w:w="1276" w:type="dxa"/>
            <w:vAlign w:val="center"/>
          </w:tcPr>
          <w:p>
            <w:pPr>
              <w:rPr>
                <w:color w:val="auto"/>
                <w:highlight w:val="none"/>
                <w:lang w:eastAsia="zh-CN"/>
              </w:rPr>
            </w:pPr>
          </w:p>
        </w:tc>
      </w:tr>
    </w:tbl>
    <w:p>
      <w:pPr>
        <w:pStyle w:val="6"/>
        <w:ind w:left="0" w:firstLine="0"/>
        <w:rPr>
          <w:color w:val="auto"/>
          <w:highlight w:val="none"/>
        </w:rPr>
      </w:pPr>
    </w:p>
    <w:p>
      <w:pPr>
        <w:pStyle w:val="4"/>
        <w:spacing w:before="120" w:beforeLines="50"/>
        <w:ind w:left="0" w:firstLine="0"/>
        <w:rPr>
          <w:color w:val="auto"/>
          <w:highlight w:val="none"/>
        </w:rPr>
      </w:pPr>
      <w:r>
        <w:rPr>
          <w:rFonts w:hint="eastAsia"/>
          <w:color w:val="auto"/>
          <w:highlight w:val="none"/>
        </w:rPr>
        <w:t>医疗工艺及净化通风空调技术要求</w:t>
      </w:r>
    </w:p>
    <w:p>
      <w:pPr>
        <w:rPr>
          <w:color w:val="auto"/>
          <w:highlight w:val="none"/>
          <w:lang w:eastAsia="zh-CN"/>
        </w:rPr>
      </w:pPr>
      <w:r>
        <w:rPr>
          <w:rFonts w:hint="eastAsia"/>
          <w:color w:val="auto"/>
          <w:highlight w:val="none"/>
          <w:lang w:eastAsia="zh-CN"/>
        </w:rPr>
        <w:t>（一）设计依据：</w:t>
      </w:r>
    </w:p>
    <w:p>
      <w:pPr>
        <w:rPr>
          <w:color w:val="auto"/>
          <w:highlight w:val="none"/>
          <w:lang w:eastAsia="zh-CN"/>
        </w:rPr>
      </w:pPr>
      <w:r>
        <w:rPr>
          <w:color w:val="auto"/>
          <w:highlight w:val="none"/>
          <w:lang w:eastAsia="zh-CN"/>
        </w:rPr>
        <w:t>1</w:t>
      </w:r>
      <w:r>
        <w:rPr>
          <w:rFonts w:hint="eastAsia"/>
          <w:color w:val="auto"/>
          <w:highlight w:val="none"/>
          <w:lang w:eastAsia="zh-CN"/>
        </w:rPr>
        <w:t>、</w:t>
      </w:r>
      <w:r>
        <w:rPr>
          <w:color w:val="auto"/>
          <w:highlight w:val="none"/>
          <w:lang w:eastAsia="zh-CN"/>
        </w:rPr>
        <w:t>《医院洁净手术部建筑技术规范》GB50333-2013</w:t>
      </w:r>
    </w:p>
    <w:p>
      <w:pPr>
        <w:rPr>
          <w:color w:val="auto"/>
          <w:highlight w:val="none"/>
          <w:lang w:eastAsia="zh-CN"/>
        </w:rPr>
      </w:pPr>
      <w:r>
        <w:rPr>
          <w:color w:val="auto"/>
          <w:highlight w:val="none"/>
          <w:lang w:eastAsia="zh-CN"/>
        </w:rPr>
        <w:t>2</w:t>
      </w:r>
      <w:r>
        <w:rPr>
          <w:rFonts w:hint="eastAsia"/>
          <w:color w:val="auto"/>
          <w:highlight w:val="none"/>
          <w:lang w:eastAsia="zh-CN"/>
        </w:rPr>
        <w:t>、</w:t>
      </w:r>
      <w:r>
        <w:rPr>
          <w:color w:val="auto"/>
          <w:highlight w:val="none"/>
          <w:lang w:eastAsia="zh-CN"/>
        </w:rPr>
        <w:t>《综合医院建筑设计规范》GB51039-2014</w:t>
      </w:r>
    </w:p>
    <w:p>
      <w:pPr>
        <w:rPr>
          <w:color w:val="auto"/>
          <w:highlight w:val="none"/>
          <w:lang w:eastAsia="zh-CN"/>
        </w:rPr>
      </w:pPr>
      <w:r>
        <w:rPr>
          <w:color w:val="auto"/>
          <w:highlight w:val="none"/>
          <w:lang w:eastAsia="zh-CN"/>
        </w:rPr>
        <w:t>3</w:t>
      </w:r>
      <w:r>
        <w:rPr>
          <w:rFonts w:hint="eastAsia"/>
          <w:color w:val="auto"/>
          <w:highlight w:val="none"/>
          <w:lang w:eastAsia="zh-CN"/>
        </w:rPr>
        <w:t>、</w:t>
      </w:r>
      <w:r>
        <w:rPr>
          <w:color w:val="auto"/>
          <w:highlight w:val="none"/>
          <w:lang w:eastAsia="zh-CN"/>
        </w:rPr>
        <w:t>《民用建筑供暖通风与空气调节设计规范》GB50736-2012</w:t>
      </w:r>
    </w:p>
    <w:p>
      <w:pPr>
        <w:rPr>
          <w:color w:val="auto"/>
          <w:highlight w:val="none"/>
          <w:lang w:eastAsia="zh-CN"/>
        </w:rPr>
      </w:pPr>
      <w:r>
        <w:rPr>
          <w:color w:val="auto"/>
          <w:highlight w:val="none"/>
          <w:lang w:eastAsia="zh-CN"/>
        </w:rPr>
        <w:t>4</w:t>
      </w:r>
      <w:r>
        <w:rPr>
          <w:rFonts w:hint="eastAsia"/>
          <w:color w:val="auto"/>
          <w:highlight w:val="none"/>
          <w:lang w:eastAsia="zh-CN"/>
        </w:rPr>
        <w:t>、</w:t>
      </w:r>
      <w:r>
        <w:rPr>
          <w:color w:val="auto"/>
          <w:highlight w:val="none"/>
          <w:lang w:eastAsia="zh-CN"/>
        </w:rPr>
        <w:t>《建筑设计防火规范(2018版)》GB50016-2014</w:t>
      </w:r>
    </w:p>
    <w:p>
      <w:pPr>
        <w:rPr>
          <w:color w:val="auto"/>
          <w:highlight w:val="none"/>
          <w:lang w:eastAsia="zh-CN"/>
        </w:rPr>
      </w:pPr>
      <w:r>
        <w:rPr>
          <w:color w:val="auto"/>
          <w:highlight w:val="none"/>
          <w:lang w:eastAsia="zh-CN"/>
        </w:rPr>
        <w:t>5</w:t>
      </w:r>
      <w:r>
        <w:rPr>
          <w:rFonts w:hint="eastAsia"/>
          <w:color w:val="auto"/>
          <w:highlight w:val="none"/>
          <w:lang w:eastAsia="zh-CN"/>
        </w:rPr>
        <w:t>、</w:t>
      </w:r>
      <w:r>
        <w:rPr>
          <w:color w:val="auto"/>
          <w:highlight w:val="none"/>
          <w:lang w:eastAsia="zh-CN"/>
        </w:rPr>
        <w:t>《建筑机电工程抗震设计规范》GB50981-2014</w:t>
      </w:r>
    </w:p>
    <w:p>
      <w:pPr>
        <w:rPr>
          <w:color w:val="auto"/>
          <w:highlight w:val="none"/>
          <w:lang w:eastAsia="zh-CN"/>
        </w:rPr>
      </w:pPr>
      <w:r>
        <w:rPr>
          <w:color w:val="auto"/>
          <w:highlight w:val="none"/>
          <w:lang w:eastAsia="zh-CN"/>
        </w:rPr>
        <w:t>6</w:t>
      </w:r>
      <w:r>
        <w:rPr>
          <w:rFonts w:hint="eastAsia"/>
          <w:color w:val="auto"/>
          <w:highlight w:val="none"/>
          <w:lang w:eastAsia="zh-CN"/>
        </w:rPr>
        <w:t>、</w:t>
      </w:r>
      <w:r>
        <w:rPr>
          <w:color w:val="auto"/>
          <w:highlight w:val="none"/>
          <w:lang w:eastAsia="zh-CN"/>
        </w:rPr>
        <w:t xml:space="preserve">《高效空气过滤器》GB/T13554-2020 </w:t>
      </w:r>
    </w:p>
    <w:p>
      <w:pPr>
        <w:rPr>
          <w:color w:val="auto"/>
          <w:highlight w:val="none"/>
          <w:lang w:eastAsia="zh-CN"/>
        </w:rPr>
      </w:pPr>
      <w:r>
        <w:rPr>
          <w:color w:val="auto"/>
          <w:highlight w:val="none"/>
          <w:lang w:eastAsia="zh-CN"/>
        </w:rPr>
        <w:t>7</w:t>
      </w:r>
      <w:r>
        <w:rPr>
          <w:rFonts w:hint="eastAsia"/>
          <w:color w:val="auto"/>
          <w:highlight w:val="none"/>
          <w:lang w:eastAsia="zh-CN"/>
        </w:rPr>
        <w:t>、</w:t>
      </w:r>
      <w:r>
        <w:rPr>
          <w:color w:val="auto"/>
          <w:highlight w:val="none"/>
          <w:lang w:eastAsia="zh-CN"/>
        </w:rPr>
        <w:t xml:space="preserve">《洁净厂房设计规范》GB50073-2013 </w:t>
      </w:r>
    </w:p>
    <w:p>
      <w:pPr>
        <w:rPr>
          <w:color w:val="auto"/>
          <w:highlight w:val="none"/>
          <w:lang w:eastAsia="zh-CN"/>
        </w:rPr>
      </w:pPr>
      <w:r>
        <w:rPr>
          <w:color w:val="auto"/>
          <w:highlight w:val="none"/>
          <w:lang w:eastAsia="zh-CN"/>
        </w:rPr>
        <w:t>8</w:t>
      </w:r>
      <w:r>
        <w:rPr>
          <w:rFonts w:hint="eastAsia"/>
          <w:color w:val="auto"/>
          <w:highlight w:val="none"/>
          <w:lang w:eastAsia="zh-CN"/>
        </w:rPr>
        <w:t>、</w:t>
      </w:r>
      <w:r>
        <w:rPr>
          <w:color w:val="auto"/>
          <w:highlight w:val="none"/>
          <w:lang w:eastAsia="zh-CN"/>
        </w:rPr>
        <w:t>《洁净室施工及验收规范》GB50591-2010</w:t>
      </w:r>
    </w:p>
    <w:p>
      <w:pPr>
        <w:rPr>
          <w:color w:val="auto"/>
          <w:highlight w:val="none"/>
          <w:lang w:eastAsia="zh-CN"/>
        </w:rPr>
      </w:pPr>
      <w:r>
        <w:rPr>
          <w:color w:val="auto"/>
          <w:highlight w:val="none"/>
          <w:lang w:eastAsia="zh-CN"/>
        </w:rPr>
        <w:t>9</w:t>
      </w:r>
      <w:r>
        <w:rPr>
          <w:rFonts w:hint="eastAsia"/>
          <w:color w:val="auto"/>
          <w:highlight w:val="none"/>
          <w:lang w:eastAsia="zh-CN"/>
        </w:rPr>
        <w:t>、</w:t>
      </w:r>
      <w:r>
        <w:rPr>
          <w:color w:val="auto"/>
          <w:highlight w:val="none"/>
          <w:lang w:eastAsia="zh-CN"/>
        </w:rPr>
        <w:t>《医院消毒卫生标准》GB15982-2012</w:t>
      </w:r>
    </w:p>
    <w:p>
      <w:pPr>
        <w:rPr>
          <w:color w:val="auto"/>
          <w:highlight w:val="none"/>
          <w:lang w:eastAsia="zh-CN"/>
        </w:rPr>
      </w:pPr>
      <w:r>
        <w:rPr>
          <w:color w:val="auto"/>
          <w:highlight w:val="none"/>
          <w:lang w:eastAsia="zh-CN"/>
        </w:rPr>
        <w:t>10</w:t>
      </w:r>
      <w:r>
        <w:rPr>
          <w:rFonts w:hint="eastAsia"/>
          <w:color w:val="auto"/>
          <w:highlight w:val="none"/>
          <w:lang w:eastAsia="zh-CN"/>
        </w:rPr>
        <w:t>、</w:t>
      </w:r>
      <w:r>
        <w:rPr>
          <w:color w:val="auto"/>
          <w:highlight w:val="none"/>
          <w:lang w:eastAsia="zh-CN"/>
        </w:rPr>
        <w:t>《医学生物安全二级实验室建筑技术标准》T/CECS 662-2020</w:t>
      </w:r>
    </w:p>
    <w:p>
      <w:pPr>
        <w:rPr>
          <w:color w:val="auto"/>
          <w:highlight w:val="none"/>
          <w:lang w:eastAsia="zh-CN"/>
        </w:rPr>
      </w:pPr>
      <w:r>
        <w:rPr>
          <w:color w:val="auto"/>
          <w:highlight w:val="none"/>
          <w:lang w:eastAsia="zh-CN"/>
        </w:rPr>
        <w:t>11</w:t>
      </w:r>
      <w:r>
        <w:rPr>
          <w:rFonts w:hint="eastAsia"/>
          <w:color w:val="auto"/>
          <w:highlight w:val="none"/>
          <w:lang w:eastAsia="zh-CN"/>
        </w:rPr>
        <w:t>、</w:t>
      </w:r>
      <w:r>
        <w:rPr>
          <w:color w:val="auto"/>
          <w:highlight w:val="none"/>
          <w:lang w:eastAsia="zh-CN"/>
        </w:rPr>
        <w:t>《公共建筑节能设计标准》GB50189-2015</w:t>
      </w:r>
    </w:p>
    <w:p>
      <w:pPr>
        <w:rPr>
          <w:color w:val="auto"/>
          <w:highlight w:val="none"/>
          <w:lang w:eastAsia="zh-CN"/>
        </w:rPr>
      </w:pPr>
      <w:r>
        <w:rPr>
          <w:color w:val="auto"/>
          <w:highlight w:val="none"/>
          <w:lang w:eastAsia="zh-CN"/>
        </w:rPr>
        <w:t>12</w:t>
      </w:r>
      <w:r>
        <w:rPr>
          <w:rFonts w:hint="eastAsia"/>
          <w:color w:val="auto"/>
          <w:highlight w:val="none"/>
          <w:lang w:eastAsia="zh-CN"/>
        </w:rPr>
        <w:t>、</w:t>
      </w:r>
      <w:r>
        <w:rPr>
          <w:color w:val="auto"/>
          <w:highlight w:val="none"/>
          <w:lang w:eastAsia="zh-CN"/>
        </w:rPr>
        <w:t>《医院空气净化管理规范》WS/T368-2012</w:t>
      </w:r>
    </w:p>
    <w:p>
      <w:pPr>
        <w:rPr>
          <w:color w:val="auto"/>
          <w:highlight w:val="none"/>
          <w:lang w:eastAsia="zh-CN"/>
        </w:rPr>
      </w:pPr>
      <w:r>
        <w:rPr>
          <w:color w:val="auto"/>
          <w:highlight w:val="none"/>
          <w:lang w:eastAsia="zh-CN"/>
        </w:rPr>
        <w:t>13</w:t>
      </w:r>
      <w:r>
        <w:rPr>
          <w:rFonts w:hint="eastAsia"/>
          <w:color w:val="auto"/>
          <w:highlight w:val="none"/>
          <w:lang w:eastAsia="zh-CN"/>
        </w:rPr>
        <w:t>、</w:t>
      </w:r>
      <w:r>
        <w:rPr>
          <w:color w:val="auto"/>
          <w:highlight w:val="none"/>
          <w:lang w:eastAsia="zh-CN"/>
        </w:rPr>
        <w:t>《通风与空调工程施工质量验收规范》GB50243-2016</w:t>
      </w:r>
    </w:p>
    <w:p>
      <w:pPr>
        <w:rPr>
          <w:color w:val="auto"/>
          <w:highlight w:val="none"/>
          <w:lang w:eastAsia="zh-CN"/>
        </w:rPr>
      </w:pPr>
      <w:r>
        <w:rPr>
          <w:color w:val="auto"/>
          <w:highlight w:val="none"/>
          <w:lang w:eastAsia="zh-CN"/>
        </w:rPr>
        <w:t>14</w:t>
      </w:r>
      <w:r>
        <w:rPr>
          <w:rFonts w:hint="eastAsia"/>
          <w:color w:val="auto"/>
          <w:highlight w:val="none"/>
          <w:lang w:eastAsia="zh-CN"/>
        </w:rPr>
        <w:t>、</w:t>
      </w:r>
      <w:r>
        <w:rPr>
          <w:color w:val="auto"/>
          <w:highlight w:val="none"/>
          <w:lang w:eastAsia="zh-CN"/>
        </w:rPr>
        <w:t>《通风与空调工程施工规范》GB50738-2012</w:t>
      </w:r>
    </w:p>
    <w:p>
      <w:pPr>
        <w:rPr>
          <w:color w:val="auto"/>
          <w:highlight w:val="none"/>
          <w:lang w:eastAsia="zh-CN"/>
        </w:rPr>
      </w:pPr>
      <w:r>
        <w:rPr>
          <w:color w:val="auto"/>
          <w:highlight w:val="none"/>
          <w:lang w:eastAsia="zh-CN"/>
        </w:rPr>
        <w:t>15</w:t>
      </w:r>
      <w:r>
        <w:rPr>
          <w:rFonts w:hint="eastAsia"/>
          <w:color w:val="auto"/>
          <w:highlight w:val="none"/>
          <w:lang w:eastAsia="zh-CN"/>
        </w:rPr>
        <w:t>、</w:t>
      </w:r>
      <w:r>
        <w:rPr>
          <w:color w:val="auto"/>
          <w:highlight w:val="none"/>
          <w:lang w:eastAsia="zh-CN"/>
        </w:rPr>
        <w:t xml:space="preserve"> </w:t>
      </w:r>
      <w:r>
        <w:rPr>
          <w:rFonts w:hint="eastAsia"/>
          <w:color w:val="auto"/>
          <w:highlight w:val="none"/>
          <w:lang w:eastAsia="zh-CN"/>
        </w:rPr>
        <w:t>甲方确认平面及各专业有关资料</w:t>
      </w:r>
    </w:p>
    <w:p>
      <w:pPr>
        <w:rPr>
          <w:color w:val="auto"/>
          <w:highlight w:val="none"/>
          <w:lang w:eastAsia="zh-CN"/>
        </w:rPr>
      </w:pPr>
      <w:r>
        <w:rPr>
          <w:rFonts w:hint="eastAsia"/>
          <w:color w:val="auto"/>
          <w:highlight w:val="none"/>
          <w:lang w:eastAsia="zh-CN"/>
        </w:rPr>
        <w:t>（二）设计内容：</w:t>
      </w:r>
    </w:p>
    <w:p>
      <w:pPr>
        <w:rPr>
          <w:color w:val="auto"/>
          <w:highlight w:val="none"/>
          <w:lang w:eastAsia="zh-CN"/>
        </w:rPr>
      </w:pPr>
      <w:r>
        <w:rPr>
          <w:rFonts w:hint="eastAsia"/>
          <w:color w:val="auto"/>
          <w:highlight w:val="none"/>
          <w:lang w:eastAsia="zh-CN"/>
        </w:rPr>
        <w:t>设计参数：</w:t>
      </w:r>
    </w:p>
    <w:p>
      <w:pPr>
        <w:rPr>
          <w:color w:val="auto"/>
          <w:highlight w:val="none"/>
          <w:lang w:eastAsia="zh-CN"/>
        </w:rPr>
      </w:pPr>
      <w:r>
        <w:rPr>
          <w:color w:val="auto"/>
          <w:highlight w:val="none"/>
          <w:lang w:eastAsia="zh-CN"/>
        </w:rPr>
        <w:t>1</w:t>
      </w:r>
      <w:r>
        <w:rPr>
          <w:rFonts w:hint="eastAsia"/>
          <w:color w:val="auto"/>
          <w:highlight w:val="none"/>
          <w:lang w:eastAsia="zh-CN"/>
        </w:rPr>
        <w:t>、室外设计参数</w:t>
      </w:r>
      <w:r>
        <w:rPr>
          <w:color w:val="auto"/>
          <w:highlight w:val="none"/>
          <w:lang w:eastAsia="zh-CN"/>
        </w:rPr>
        <w:t xml:space="preserve"> </w:t>
      </w:r>
      <w:r>
        <w:rPr>
          <w:rFonts w:hint="eastAsia"/>
          <w:color w:val="auto"/>
          <w:highlight w:val="none"/>
          <w:lang w:eastAsia="zh-CN"/>
        </w:rPr>
        <w:t>：</w:t>
      </w:r>
    </w:p>
    <w:p>
      <w:pPr>
        <w:ind w:firstLine="480" w:firstLineChars="200"/>
        <w:rPr>
          <w:color w:val="auto"/>
          <w:highlight w:val="none"/>
          <w:lang w:eastAsia="zh-CN"/>
        </w:rPr>
      </w:pPr>
      <w:r>
        <w:rPr>
          <w:rFonts w:hint="eastAsia"/>
          <w:color w:val="auto"/>
          <w:highlight w:val="none"/>
          <w:lang w:eastAsia="zh-CN"/>
        </w:rPr>
        <w:t>夏季：</w:t>
      </w:r>
      <w:r>
        <w:rPr>
          <w:color w:val="auto"/>
          <w:highlight w:val="none"/>
          <w:lang w:eastAsia="zh-CN"/>
        </w:rPr>
        <w:t xml:space="preserve">  </w:t>
      </w:r>
      <w:r>
        <w:rPr>
          <w:rFonts w:hint="eastAsia"/>
          <w:color w:val="auto"/>
          <w:highlight w:val="none"/>
          <w:lang w:eastAsia="zh-CN"/>
        </w:rPr>
        <w:t>空调室外计算干球温度</w:t>
      </w:r>
      <w:r>
        <w:rPr>
          <w:color w:val="auto"/>
          <w:highlight w:val="none"/>
          <w:lang w:eastAsia="zh-CN"/>
        </w:rPr>
        <w:t xml:space="preserve">      </w:t>
      </w:r>
      <w:r>
        <w:rPr>
          <w:rFonts w:hint="eastAsia"/>
          <w:color w:val="auto"/>
          <w:highlight w:val="none"/>
          <w:lang w:eastAsia="zh-CN"/>
        </w:rPr>
        <w:t>33.</w:t>
      </w:r>
      <w:r>
        <w:rPr>
          <w:color w:val="auto"/>
          <w:highlight w:val="none"/>
          <w:lang w:eastAsia="zh-CN"/>
        </w:rPr>
        <w:t>9</w:t>
      </w:r>
      <w:r>
        <w:rPr>
          <w:rFonts w:hint="eastAsia"/>
          <w:color w:val="auto"/>
          <w:highlight w:val="none"/>
          <w:lang w:eastAsia="zh-CN"/>
        </w:rPr>
        <w:t>℃</w:t>
      </w:r>
    </w:p>
    <w:p>
      <w:pPr>
        <w:rPr>
          <w:color w:val="auto"/>
          <w:highlight w:val="none"/>
          <w:lang w:eastAsia="zh-CN"/>
        </w:rPr>
      </w:pPr>
      <w:r>
        <w:rPr>
          <w:color w:val="auto"/>
          <w:highlight w:val="none"/>
          <w:lang w:eastAsia="zh-CN"/>
        </w:rPr>
        <w:t xml:space="preserve">            </w:t>
      </w:r>
      <w:r>
        <w:rPr>
          <w:rFonts w:hint="eastAsia"/>
          <w:color w:val="auto"/>
          <w:highlight w:val="none"/>
          <w:lang w:eastAsia="zh-CN"/>
        </w:rPr>
        <w:t>空调室外计算湿球温度</w:t>
      </w:r>
      <w:r>
        <w:rPr>
          <w:color w:val="auto"/>
          <w:highlight w:val="none"/>
          <w:lang w:eastAsia="zh-CN"/>
        </w:rPr>
        <w:t xml:space="preserve">      </w:t>
      </w:r>
      <w:r>
        <w:rPr>
          <w:rFonts w:hint="eastAsia"/>
          <w:color w:val="auto"/>
          <w:highlight w:val="none"/>
          <w:lang w:eastAsia="zh-CN"/>
        </w:rPr>
        <w:t>2</w:t>
      </w:r>
      <w:r>
        <w:rPr>
          <w:color w:val="auto"/>
          <w:highlight w:val="none"/>
          <w:lang w:eastAsia="zh-CN"/>
        </w:rPr>
        <w:t>8.1</w:t>
      </w:r>
      <w:r>
        <w:rPr>
          <w:rFonts w:hint="eastAsia"/>
          <w:color w:val="auto"/>
          <w:highlight w:val="none"/>
          <w:lang w:eastAsia="zh-CN"/>
        </w:rPr>
        <w:t>℃</w:t>
      </w:r>
    </w:p>
    <w:p>
      <w:pPr>
        <w:rPr>
          <w:color w:val="auto"/>
          <w:highlight w:val="none"/>
          <w:lang w:eastAsia="zh-CN"/>
        </w:rPr>
      </w:pPr>
      <w:r>
        <w:rPr>
          <w:color w:val="auto"/>
          <w:highlight w:val="none"/>
          <w:lang w:eastAsia="zh-CN"/>
        </w:rPr>
        <w:t xml:space="preserve">            </w:t>
      </w:r>
      <w:r>
        <w:rPr>
          <w:rFonts w:hint="eastAsia"/>
          <w:color w:val="auto"/>
          <w:highlight w:val="none"/>
          <w:lang w:eastAsia="zh-CN"/>
        </w:rPr>
        <w:t>大气压力</w:t>
      </w:r>
      <w:r>
        <w:rPr>
          <w:color w:val="auto"/>
          <w:highlight w:val="none"/>
          <w:lang w:eastAsia="zh-CN"/>
        </w:rPr>
        <w:t xml:space="preserve">               </w:t>
      </w:r>
      <w:r>
        <w:rPr>
          <w:rFonts w:hint="eastAsia"/>
          <w:color w:val="auto"/>
          <w:highlight w:val="none"/>
          <w:lang w:eastAsia="zh-CN"/>
        </w:rPr>
        <w:t>100</w:t>
      </w:r>
      <w:r>
        <w:rPr>
          <w:color w:val="auto"/>
          <w:highlight w:val="none"/>
          <w:lang w:eastAsia="zh-CN"/>
        </w:rPr>
        <w:t>1</w:t>
      </w:r>
      <w:r>
        <w:rPr>
          <w:rFonts w:hint="eastAsia"/>
          <w:color w:val="auto"/>
          <w:highlight w:val="none"/>
          <w:lang w:eastAsia="zh-CN"/>
        </w:rPr>
        <w:t>.</w:t>
      </w:r>
      <w:r>
        <w:rPr>
          <w:color w:val="auto"/>
          <w:highlight w:val="none"/>
          <w:lang w:eastAsia="zh-CN"/>
        </w:rPr>
        <w:t>3hPa</w:t>
      </w:r>
    </w:p>
    <w:p>
      <w:pPr>
        <w:ind w:firstLine="480" w:firstLineChars="200"/>
        <w:rPr>
          <w:color w:val="auto"/>
          <w:highlight w:val="none"/>
          <w:lang w:eastAsia="zh-CN"/>
        </w:rPr>
      </w:pPr>
      <w:r>
        <w:rPr>
          <w:rFonts w:hint="eastAsia"/>
          <w:color w:val="auto"/>
          <w:highlight w:val="none"/>
          <w:lang w:eastAsia="zh-CN"/>
        </w:rPr>
        <w:t>冬季：</w:t>
      </w:r>
      <w:r>
        <w:rPr>
          <w:color w:val="auto"/>
          <w:highlight w:val="none"/>
          <w:lang w:eastAsia="zh-CN"/>
        </w:rPr>
        <w:t xml:space="preserve">  </w:t>
      </w:r>
      <w:r>
        <w:rPr>
          <w:rFonts w:hint="eastAsia"/>
          <w:color w:val="auto"/>
          <w:highlight w:val="none"/>
          <w:lang w:eastAsia="zh-CN"/>
        </w:rPr>
        <w:t>空调室外计算干球温度</w:t>
      </w:r>
      <w:r>
        <w:rPr>
          <w:color w:val="auto"/>
          <w:highlight w:val="none"/>
          <w:lang w:eastAsia="zh-CN"/>
        </w:rPr>
        <w:t xml:space="preserve">        7.5</w:t>
      </w:r>
      <w:r>
        <w:rPr>
          <w:rFonts w:hint="eastAsia"/>
          <w:color w:val="auto"/>
          <w:highlight w:val="none"/>
          <w:lang w:eastAsia="zh-CN"/>
        </w:rPr>
        <w:t>°</w:t>
      </w:r>
      <w:r>
        <w:rPr>
          <w:color w:val="auto"/>
          <w:highlight w:val="none"/>
          <w:lang w:eastAsia="zh-CN"/>
        </w:rPr>
        <w:t>C</w:t>
      </w:r>
    </w:p>
    <w:p>
      <w:pPr>
        <w:rPr>
          <w:color w:val="auto"/>
          <w:highlight w:val="none"/>
          <w:lang w:eastAsia="zh-CN"/>
        </w:rPr>
      </w:pPr>
      <w:r>
        <w:rPr>
          <w:color w:val="auto"/>
          <w:highlight w:val="none"/>
          <w:lang w:eastAsia="zh-CN"/>
        </w:rPr>
        <w:t xml:space="preserve">            </w:t>
      </w:r>
      <w:r>
        <w:rPr>
          <w:rFonts w:hint="eastAsia"/>
          <w:color w:val="auto"/>
          <w:highlight w:val="none"/>
          <w:lang w:eastAsia="zh-CN"/>
        </w:rPr>
        <w:t>空调室外计算相对湿度</w:t>
      </w:r>
      <w:r>
        <w:rPr>
          <w:color w:val="auto"/>
          <w:highlight w:val="none"/>
          <w:lang w:eastAsia="zh-CN"/>
        </w:rPr>
        <w:t xml:space="preserve">        81%</w:t>
      </w:r>
    </w:p>
    <w:p>
      <w:pPr>
        <w:rPr>
          <w:color w:val="auto"/>
          <w:highlight w:val="none"/>
          <w:lang w:eastAsia="zh-CN"/>
        </w:rPr>
      </w:pPr>
      <w:r>
        <w:rPr>
          <w:color w:val="auto"/>
          <w:highlight w:val="none"/>
          <w:lang w:eastAsia="zh-CN"/>
        </w:rPr>
        <w:t xml:space="preserve">            </w:t>
      </w:r>
      <w:r>
        <w:rPr>
          <w:rFonts w:hint="eastAsia"/>
          <w:color w:val="auto"/>
          <w:highlight w:val="none"/>
          <w:lang w:eastAsia="zh-CN"/>
        </w:rPr>
        <w:t>大气压力</w:t>
      </w:r>
      <w:r>
        <w:rPr>
          <w:color w:val="auto"/>
          <w:highlight w:val="none"/>
          <w:lang w:eastAsia="zh-CN"/>
        </w:rPr>
        <w:t xml:space="preserve">                </w:t>
      </w:r>
      <w:r>
        <w:rPr>
          <w:rFonts w:hint="eastAsia"/>
          <w:color w:val="auto"/>
          <w:highlight w:val="none"/>
          <w:lang w:eastAsia="zh-CN"/>
        </w:rPr>
        <w:t>101</w:t>
      </w:r>
      <w:r>
        <w:rPr>
          <w:color w:val="auto"/>
          <w:highlight w:val="none"/>
          <w:lang w:eastAsia="zh-CN"/>
        </w:rPr>
        <w:t>5</w:t>
      </w:r>
      <w:r>
        <w:rPr>
          <w:rFonts w:hint="eastAsia"/>
          <w:color w:val="auto"/>
          <w:highlight w:val="none"/>
          <w:lang w:eastAsia="zh-CN"/>
        </w:rPr>
        <w:t>.</w:t>
      </w:r>
      <w:r>
        <w:rPr>
          <w:color w:val="auto"/>
          <w:highlight w:val="none"/>
          <w:lang w:eastAsia="zh-CN"/>
        </w:rPr>
        <w:t xml:space="preserve">5hPa </w:t>
      </w:r>
    </w:p>
    <w:p>
      <w:pPr>
        <w:pStyle w:val="2"/>
        <w:rPr>
          <w:color w:val="auto"/>
          <w:highlight w:val="none"/>
          <w:lang w:eastAsia="zh-CN"/>
        </w:rPr>
      </w:pPr>
    </w:p>
    <w:p>
      <w:pPr>
        <w:pStyle w:val="4"/>
        <w:spacing w:before="120" w:beforeLines="50"/>
        <w:ind w:left="0" w:firstLine="0"/>
        <w:rPr>
          <w:color w:val="auto"/>
          <w:highlight w:val="none"/>
        </w:rPr>
      </w:pPr>
      <w:r>
        <w:rPr>
          <w:rFonts w:hint="eastAsia"/>
          <w:color w:val="auto"/>
          <w:highlight w:val="none"/>
        </w:rPr>
        <w:t>空调工程施工工艺要求：</w:t>
      </w:r>
    </w:p>
    <w:p>
      <w:pPr>
        <w:rPr>
          <w:color w:val="auto"/>
          <w:highlight w:val="none"/>
          <w:lang w:eastAsia="zh-CN"/>
        </w:rPr>
      </w:pPr>
      <w:r>
        <w:rPr>
          <w:color w:val="auto"/>
          <w:highlight w:val="none"/>
          <w:lang w:eastAsia="zh-CN"/>
        </w:rPr>
        <w:t>1</w:t>
      </w:r>
      <w:r>
        <w:rPr>
          <w:rFonts w:hint="eastAsia"/>
          <w:color w:val="auto"/>
          <w:highlight w:val="none"/>
          <w:lang w:eastAsia="zh-CN"/>
        </w:rPr>
        <w:t>、洁净风管及部件制作安装</w:t>
      </w:r>
    </w:p>
    <w:p>
      <w:pPr>
        <w:spacing w:line="360" w:lineRule="auto"/>
        <w:rPr>
          <w:color w:val="auto"/>
          <w:highlight w:val="none"/>
          <w:lang w:eastAsia="zh-CN"/>
        </w:rPr>
      </w:pPr>
    </w:p>
    <w:p>
      <w:pPr>
        <w:spacing w:line="360" w:lineRule="auto"/>
        <w:rPr>
          <w:color w:val="auto"/>
          <w:highlight w:val="none"/>
          <w:lang w:eastAsia="zh-CN"/>
        </w:rPr>
      </w:pPr>
      <w:r>
        <w:rPr>
          <w:rFonts w:hint="eastAsia"/>
          <w:color w:val="auto"/>
          <w:highlight w:val="none"/>
          <w:lang w:eastAsia="zh-CN"/>
        </w:rPr>
        <w:t>材料要求</w:t>
      </w:r>
    </w:p>
    <w:p>
      <w:pPr>
        <w:spacing w:line="360" w:lineRule="auto"/>
        <w:rPr>
          <w:color w:val="auto"/>
          <w:highlight w:val="none"/>
          <w:lang w:eastAsia="zh-CN"/>
        </w:rPr>
      </w:pPr>
      <w:r>
        <w:rPr>
          <w:rFonts w:hint="eastAsia"/>
          <w:color w:val="auto"/>
          <w:highlight w:val="none"/>
          <w:lang w:eastAsia="zh-CN"/>
        </w:rPr>
        <w:t>能适用的板材、管材等主要材料应有出厂质量证明文件</w:t>
      </w:r>
      <w:r>
        <w:rPr>
          <w:color w:val="auto"/>
          <w:highlight w:val="none"/>
          <w:lang w:eastAsia="zh-CN"/>
        </w:rPr>
        <w:t>(</w:t>
      </w:r>
      <w:r>
        <w:rPr>
          <w:rFonts w:hint="eastAsia"/>
          <w:color w:val="auto"/>
          <w:highlight w:val="none"/>
          <w:lang w:eastAsia="zh-CN"/>
        </w:rPr>
        <w:t>包括出厂合格证、质量合格证明及检测报告等</w:t>
      </w:r>
      <w:r>
        <w:rPr>
          <w:color w:val="auto"/>
          <w:highlight w:val="none"/>
          <w:lang w:eastAsia="zh-CN"/>
        </w:rPr>
        <w:t>)</w:t>
      </w:r>
      <w:r>
        <w:rPr>
          <w:rFonts w:hint="eastAsia"/>
          <w:color w:val="auto"/>
          <w:highlight w:val="none"/>
          <w:lang w:eastAsia="zh-CN"/>
        </w:rPr>
        <w:t>。</w:t>
      </w:r>
    </w:p>
    <w:p>
      <w:pPr>
        <w:spacing w:line="360" w:lineRule="auto"/>
        <w:rPr>
          <w:color w:val="auto"/>
          <w:highlight w:val="none"/>
          <w:lang w:eastAsia="zh-CN"/>
        </w:rPr>
      </w:pPr>
      <w:r>
        <w:rPr>
          <w:rFonts w:hint="eastAsia"/>
          <w:color w:val="auto"/>
          <w:highlight w:val="none"/>
          <w:lang w:eastAsia="zh-CN"/>
        </w:rPr>
        <w:t>板材外观检查必须达到平整光滑无锈蚀，无划痕，无锌层剥落，否则不得使用。待材料进场后，报请监理验收合格，方可制作。</w:t>
      </w:r>
    </w:p>
    <w:p>
      <w:pPr>
        <w:rPr>
          <w:color w:val="auto"/>
          <w:highlight w:val="none"/>
          <w:lang w:eastAsia="zh-CN"/>
        </w:rPr>
      </w:pPr>
    </w:p>
    <w:p>
      <w:pPr>
        <w:rPr>
          <w:color w:val="auto"/>
          <w:highlight w:val="none"/>
          <w:lang w:eastAsia="zh-CN"/>
        </w:rPr>
      </w:pPr>
      <w:r>
        <w:rPr>
          <w:rFonts w:hint="eastAsia"/>
          <w:color w:val="auto"/>
          <w:highlight w:val="none"/>
          <w:lang w:eastAsia="zh-CN"/>
        </w:rPr>
        <w:t>风管及配件钢板厚度（㎜）</w:t>
      </w:r>
    </w:p>
    <w:tbl>
      <w:tblPr>
        <w:tblStyle w:val="85"/>
        <w:tblW w:w="869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07"/>
        <w:gridCol w:w="1155"/>
        <w:gridCol w:w="1575"/>
        <w:gridCol w:w="1354"/>
        <w:gridCol w:w="17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907" w:type="dxa"/>
            <w:vAlign w:val="center"/>
          </w:tcPr>
          <w:p>
            <w:pPr>
              <w:rPr>
                <w:color w:val="auto"/>
                <w:highlight w:val="none"/>
              </w:rPr>
            </w:pPr>
            <w:r>
              <w:rPr>
                <w:rFonts w:hint="eastAsia"/>
                <w:color w:val="auto"/>
                <w:highlight w:val="none"/>
              </w:rPr>
              <w:t>类别</w:t>
            </w:r>
          </w:p>
        </w:tc>
        <w:tc>
          <w:tcPr>
            <w:tcW w:w="1155" w:type="dxa"/>
            <w:vMerge w:val="restart"/>
            <w:vAlign w:val="center"/>
          </w:tcPr>
          <w:p>
            <w:pPr>
              <w:rPr>
                <w:color w:val="auto"/>
                <w:highlight w:val="none"/>
              </w:rPr>
            </w:pPr>
            <w:r>
              <w:rPr>
                <w:rFonts w:hint="eastAsia"/>
                <w:color w:val="auto"/>
                <w:highlight w:val="none"/>
              </w:rPr>
              <w:t>圆形风管</w:t>
            </w:r>
          </w:p>
        </w:tc>
        <w:tc>
          <w:tcPr>
            <w:tcW w:w="2929" w:type="dxa"/>
            <w:gridSpan w:val="2"/>
            <w:vAlign w:val="center"/>
          </w:tcPr>
          <w:p>
            <w:pPr>
              <w:rPr>
                <w:color w:val="auto"/>
                <w:highlight w:val="none"/>
              </w:rPr>
            </w:pPr>
            <w:r>
              <w:rPr>
                <w:rFonts w:hint="eastAsia"/>
                <w:color w:val="auto"/>
                <w:highlight w:val="none"/>
              </w:rPr>
              <w:t>矩形风管</w:t>
            </w:r>
          </w:p>
        </w:tc>
        <w:tc>
          <w:tcPr>
            <w:tcW w:w="1705" w:type="dxa"/>
            <w:vMerge w:val="restart"/>
            <w:vAlign w:val="center"/>
          </w:tcPr>
          <w:p>
            <w:pPr>
              <w:rPr>
                <w:color w:val="auto"/>
                <w:highlight w:val="none"/>
              </w:rPr>
            </w:pPr>
            <w:r>
              <w:rPr>
                <w:rFonts w:hint="eastAsia"/>
                <w:color w:val="auto"/>
                <w:highlight w:val="none"/>
              </w:rPr>
              <w:t>除尘系统风管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907" w:type="dxa"/>
            <w:vAlign w:val="center"/>
          </w:tcPr>
          <w:p>
            <w:pPr>
              <w:rPr>
                <w:color w:val="auto"/>
                <w:highlight w:val="none"/>
              </w:rPr>
            </w:pPr>
            <w:r>
              <w:rPr>
                <w:rFonts w:hint="eastAsia"/>
                <w:color w:val="auto"/>
                <w:highlight w:val="none"/>
              </w:rPr>
              <w:t>风管直径或长边尺寸</w:t>
            </w:r>
          </w:p>
        </w:tc>
        <w:tc>
          <w:tcPr>
            <w:tcW w:w="1155" w:type="dxa"/>
            <w:vMerge w:val="continue"/>
            <w:vAlign w:val="center"/>
          </w:tcPr>
          <w:p>
            <w:pPr>
              <w:rPr>
                <w:color w:val="auto"/>
                <w:highlight w:val="none"/>
              </w:rPr>
            </w:pPr>
          </w:p>
        </w:tc>
        <w:tc>
          <w:tcPr>
            <w:tcW w:w="1575" w:type="dxa"/>
            <w:vAlign w:val="center"/>
          </w:tcPr>
          <w:p>
            <w:pPr>
              <w:rPr>
                <w:color w:val="auto"/>
                <w:highlight w:val="none"/>
              </w:rPr>
            </w:pPr>
            <w:r>
              <w:rPr>
                <w:rFonts w:hint="eastAsia"/>
                <w:color w:val="auto"/>
                <w:highlight w:val="none"/>
              </w:rPr>
              <w:t>中压低压系统</w:t>
            </w:r>
          </w:p>
        </w:tc>
        <w:tc>
          <w:tcPr>
            <w:tcW w:w="1354" w:type="dxa"/>
            <w:vAlign w:val="center"/>
          </w:tcPr>
          <w:p>
            <w:pPr>
              <w:rPr>
                <w:color w:val="auto"/>
                <w:highlight w:val="none"/>
              </w:rPr>
            </w:pPr>
            <w:r>
              <w:rPr>
                <w:rFonts w:hint="eastAsia"/>
                <w:color w:val="auto"/>
                <w:highlight w:val="none"/>
              </w:rPr>
              <w:t>高压系统</w:t>
            </w:r>
          </w:p>
        </w:tc>
        <w:tc>
          <w:tcPr>
            <w:tcW w:w="1705" w:type="dxa"/>
            <w:vMerge w:val="continue"/>
            <w:vAlign w:val="center"/>
          </w:tcPr>
          <w:p>
            <w:pPr>
              <w:rPr>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07" w:type="dxa"/>
            <w:vAlign w:val="center"/>
          </w:tcPr>
          <w:p>
            <w:pPr>
              <w:rPr>
                <w:color w:val="auto"/>
                <w:highlight w:val="none"/>
              </w:rPr>
            </w:pPr>
            <w:r>
              <w:rPr>
                <w:color w:val="auto"/>
                <w:highlight w:val="none"/>
              </w:rPr>
              <w:t>80</w:t>
            </w:r>
            <w:r>
              <w:rPr>
                <w:rFonts w:hint="eastAsia"/>
                <w:color w:val="auto"/>
                <w:highlight w:val="none"/>
              </w:rPr>
              <w:t>～</w:t>
            </w:r>
            <w:r>
              <w:rPr>
                <w:color w:val="auto"/>
                <w:highlight w:val="none"/>
              </w:rPr>
              <w:t>320</w:t>
            </w:r>
          </w:p>
        </w:tc>
        <w:tc>
          <w:tcPr>
            <w:tcW w:w="1155" w:type="dxa"/>
            <w:vAlign w:val="center"/>
          </w:tcPr>
          <w:p>
            <w:pPr>
              <w:rPr>
                <w:color w:val="auto"/>
                <w:highlight w:val="none"/>
              </w:rPr>
            </w:pPr>
            <w:r>
              <w:rPr>
                <w:color w:val="auto"/>
                <w:highlight w:val="none"/>
              </w:rPr>
              <w:t>0.5</w:t>
            </w:r>
          </w:p>
        </w:tc>
        <w:tc>
          <w:tcPr>
            <w:tcW w:w="1575" w:type="dxa"/>
            <w:vAlign w:val="center"/>
          </w:tcPr>
          <w:p>
            <w:pPr>
              <w:rPr>
                <w:color w:val="auto"/>
                <w:highlight w:val="none"/>
              </w:rPr>
            </w:pPr>
            <w:r>
              <w:rPr>
                <w:color w:val="auto"/>
                <w:highlight w:val="none"/>
              </w:rPr>
              <w:t>0.5</w:t>
            </w:r>
          </w:p>
        </w:tc>
        <w:tc>
          <w:tcPr>
            <w:tcW w:w="1354" w:type="dxa"/>
            <w:vAlign w:val="center"/>
          </w:tcPr>
          <w:p>
            <w:pPr>
              <w:rPr>
                <w:color w:val="auto"/>
                <w:highlight w:val="none"/>
              </w:rPr>
            </w:pPr>
            <w:r>
              <w:rPr>
                <w:color w:val="auto"/>
                <w:highlight w:val="none"/>
              </w:rPr>
              <w:t>0.8</w:t>
            </w:r>
          </w:p>
        </w:tc>
        <w:tc>
          <w:tcPr>
            <w:tcW w:w="1705" w:type="dxa"/>
            <w:vAlign w:val="center"/>
          </w:tcPr>
          <w:p>
            <w:pPr>
              <w:rPr>
                <w:color w:val="auto"/>
                <w:highlight w:val="none"/>
              </w:rPr>
            </w:pPr>
            <w:r>
              <w:rPr>
                <w:color w:val="auto"/>
                <w:highlight w:val="none"/>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07" w:type="dxa"/>
            <w:vAlign w:val="center"/>
          </w:tcPr>
          <w:p>
            <w:pPr>
              <w:rPr>
                <w:color w:val="auto"/>
                <w:highlight w:val="none"/>
              </w:rPr>
            </w:pPr>
            <w:r>
              <w:rPr>
                <w:color w:val="auto"/>
                <w:highlight w:val="none"/>
              </w:rPr>
              <w:t>340</w:t>
            </w:r>
            <w:r>
              <w:rPr>
                <w:rFonts w:hint="eastAsia"/>
                <w:color w:val="auto"/>
                <w:highlight w:val="none"/>
              </w:rPr>
              <w:t>～</w:t>
            </w:r>
            <w:r>
              <w:rPr>
                <w:color w:val="auto"/>
                <w:highlight w:val="none"/>
              </w:rPr>
              <w:t>450</w:t>
            </w:r>
          </w:p>
        </w:tc>
        <w:tc>
          <w:tcPr>
            <w:tcW w:w="1155" w:type="dxa"/>
            <w:vAlign w:val="center"/>
          </w:tcPr>
          <w:p>
            <w:pPr>
              <w:rPr>
                <w:color w:val="auto"/>
                <w:highlight w:val="none"/>
              </w:rPr>
            </w:pPr>
            <w:r>
              <w:rPr>
                <w:color w:val="auto"/>
                <w:highlight w:val="none"/>
              </w:rPr>
              <w:t>0.6</w:t>
            </w:r>
          </w:p>
        </w:tc>
        <w:tc>
          <w:tcPr>
            <w:tcW w:w="1575" w:type="dxa"/>
            <w:vAlign w:val="center"/>
          </w:tcPr>
          <w:p>
            <w:pPr>
              <w:rPr>
                <w:color w:val="auto"/>
                <w:highlight w:val="none"/>
              </w:rPr>
            </w:pPr>
            <w:r>
              <w:rPr>
                <w:color w:val="auto"/>
                <w:highlight w:val="none"/>
              </w:rPr>
              <w:t>0.6</w:t>
            </w:r>
          </w:p>
        </w:tc>
        <w:tc>
          <w:tcPr>
            <w:tcW w:w="1354" w:type="dxa"/>
            <w:vAlign w:val="center"/>
          </w:tcPr>
          <w:p>
            <w:pPr>
              <w:rPr>
                <w:color w:val="auto"/>
                <w:highlight w:val="none"/>
              </w:rPr>
            </w:pPr>
            <w:r>
              <w:rPr>
                <w:color w:val="auto"/>
                <w:highlight w:val="none"/>
              </w:rPr>
              <w:t>0.8</w:t>
            </w:r>
          </w:p>
        </w:tc>
        <w:tc>
          <w:tcPr>
            <w:tcW w:w="1705" w:type="dxa"/>
            <w:vAlign w:val="center"/>
          </w:tcPr>
          <w:p>
            <w:pPr>
              <w:rPr>
                <w:color w:val="auto"/>
                <w:highlight w:val="none"/>
              </w:rPr>
            </w:pPr>
            <w:r>
              <w:rPr>
                <w:color w:val="auto"/>
                <w:highlight w:val="none"/>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07" w:type="dxa"/>
            <w:vAlign w:val="center"/>
          </w:tcPr>
          <w:p>
            <w:pPr>
              <w:rPr>
                <w:color w:val="auto"/>
                <w:highlight w:val="none"/>
              </w:rPr>
            </w:pPr>
            <w:r>
              <w:rPr>
                <w:color w:val="auto"/>
                <w:highlight w:val="none"/>
              </w:rPr>
              <w:t>480</w:t>
            </w:r>
            <w:r>
              <w:rPr>
                <w:rFonts w:hint="eastAsia"/>
                <w:color w:val="auto"/>
                <w:highlight w:val="none"/>
              </w:rPr>
              <w:t>～</w:t>
            </w:r>
            <w:r>
              <w:rPr>
                <w:color w:val="auto"/>
                <w:highlight w:val="none"/>
              </w:rPr>
              <w:t>630</w:t>
            </w:r>
          </w:p>
        </w:tc>
        <w:tc>
          <w:tcPr>
            <w:tcW w:w="1155" w:type="dxa"/>
            <w:vAlign w:val="center"/>
          </w:tcPr>
          <w:p>
            <w:pPr>
              <w:rPr>
                <w:color w:val="auto"/>
                <w:highlight w:val="none"/>
              </w:rPr>
            </w:pPr>
            <w:r>
              <w:rPr>
                <w:color w:val="auto"/>
                <w:highlight w:val="none"/>
              </w:rPr>
              <w:t>0.8</w:t>
            </w:r>
          </w:p>
        </w:tc>
        <w:tc>
          <w:tcPr>
            <w:tcW w:w="1575" w:type="dxa"/>
            <w:vAlign w:val="center"/>
          </w:tcPr>
          <w:p>
            <w:pPr>
              <w:rPr>
                <w:color w:val="auto"/>
                <w:highlight w:val="none"/>
              </w:rPr>
            </w:pPr>
            <w:r>
              <w:rPr>
                <w:color w:val="auto"/>
                <w:highlight w:val="none"/>
              </w:rPr>
              <w:t>0.6</w:t>
            </w:r>
          </w:p>
        </w:tc>
        <w:tc>
          <w:tcPr>
            <w:tcW w:w="1354" w:type="dxa"/>
            <w:vAlign w:val="center"/>
          </w:tcPr>
          <w:p>
            <w:pPr>
              <w:rPr>
                <w:color w:val="auto"/>
                <w:highlight w:val="none"/>
              </w:rPr>
            </w:pPr>
            <w:r>
              <w:rPr>
                <w:color w:val="auto"/>
                <w:highlight w:val="none"/>
              </w:rPr>
              <w:t>0.8</w:t>
            </w:r>
          </w:p>
        </w:tc>
        <w:tc>
          <w:tcPr>
            <w:tcW w:w="1705" w:type="dxa"/>
            <w:vAlign w:val="center"/>
          </w:tcPr>
          <w:p>
            <w:pPr>
              <w:rPr>
                <w:color w:val="auto"/>
                <w:highlight w:val="none"/>
              </w:rPr>
            </w:pPr>
            <w:r>
              <w:rPr>
                <w:color w:val="auto"/>
                <w:highlight w:val="none"/>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07" w:type="dxa"/>
            <w:vAlign w:val="center"/>
          </w:tcPr>
          <w:p>
            <w:pPr>
              <w:rPr>
                <w:color w:val="auto"/>
                <w:highlight w:val="none"/>
              </w:rPr>
            </w:pPr>
            <w:r>
              <w:rPr>
                <w:color w:val="auto"/>
                <w:highlight w:val="none"/>
              </w:rPr>
              <w:t>670</w:t>
            </w:r>
            <w:r>
              <w:rPr>
                <w:rFonts w:hint="eastAsia"/>
                <w:color w:val="auto"/>
                <w:highlight w:val="none"/>
              </w:rPr>
              <w:t>～</w:t>
            </w:r>
            <w:r>
              <w:rPr>
                <w:color w:val="auto"/>
                <w:highlight w:val="none"/>
              </w:rPr>
              <w:t>1000</w:t>
            </w:r>
          </w:p>
        </w:tc>
        <w:tc>
          <w:tcPr>
            <w:tcW w:w="1155" w:type="dxa"/>
            <w:vAlign w:val="center"/>
          </w:tcPr>
          <w:p>
            <w:pPr>
              <w:rPr>
                <w:color w:val="auto"/>
                <w:highlight w:val="none"/>
              </w:rPr>
            </w:pPr>
            <w:r>
              <w:rPr>
                <w:color w:val="auto"/>
                <w:highlight w:val="none"/>
              </w:rPr>
              <w:t>0.8</w:t>
            </w:r>
          </w:p>
        </w:tc>
        <w:tc>
          <w:tcPr>
            <w:tcW w:w="1575" w:type="dxa"/>
            <w:vAlign w:val="center"/>
          </w:tcPr>
          <w:p>
            <w:pPr>
              <w:rPr>
                <w:color w:val="auto"/>
                <w:highlight w:val="none"/>
              </w:rPr>
            </w:pPr>
            <w:r>
              <w:rPr>
                <w:color w:val="auto"/>
                <w:highlight w:val="none"/>
              </w:rPr>
              <w:t>0.8</w:t>
            </w:r>
          </w:p>
        </w:tc>
        <w:tc>
          <w:tcPr>
            <w:tcW w:w="1354" w:type="dxa"/>
            <w:vAlign w:val="center"/>
          </w:tcPr>
          <w:p>
            <w:pPr>
              <w:rPr>
                <w:color w:val="auto"/>
                <w:highlight w:val="none"/>
              </w:rPr>
            </w:pPr>
            <w:r>
              <w:rPr>
                <w:color w:val="auto"/>
                <w:highlight w:val="none"/>
              </w:rPr>
              <w:t>0.8</w:t>
            </w:r>
          </w:p>
        </w:tc>
        <w:tc>
          <w:tcPr>
            <w:tcW w:w="1705" w:type="dxa"/>
            <w:vAlign w:val="center"/>
          </w:tcPr>
          <w:p>
            <w:pPr>
              <w:rPr>
                <w:color w:val="auto"/>
                <w:highlight w:val="none"/>
              </w:rPr>
            </w:pPr>
            <w:r>
              <w:rPr>
                <w:color w:val="auto"/>
                <w:highlight w:val="none"/>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07" w:type="dxa"/>
            <w:vAlign w:val="center"/>
          </w:tcPr>
          <w:p>
            <w:pPr>
              <w:rPr>
                <w:color w:val="auto"/>
                <w:highlight w:val="none"/>
              </w:rPr>
            </w:pPr>
            <w:r>
              <w:rPr>
                <w:color w:val="auto"/>
                <w:highlight w:val="none"/>
              </w:rPr>
              <w:t>1120</w:t>
            </w:r>
            <w:r>
              <w:rPr>
                <w:rFonts w:hint="eastAsia"/>
                <w:color w:val="auto"/>
                <w:highlight w:val="none"/>
              </w:rPr>
              <w:t>～</w:t>
            </w:r>
            <w:r>
              <w:rPr>
                <w:color w:val="auto"/>
                <w:highlight w:val="none"/>
              </w:rPr>
              <w:t>1250</w:t>
            </w:r>
          </w:p>
        </w:tc>
        <w:tc>
          <w:tcPr>
            <w:tcW w:w="1155" w:type="dxa"/>
            <w:vAlign w:val="center"/>
          </w:tcPr>
          <w:p>
            <w:pPr>
              <w:rPr>
                <w:color w:val="auto"/>
                <w:highlight w:val="none"/>
              </w:rPr>
            </w:pPr>
            <w:r>
              <w:rPr>
                <w:color w:val="auto"/>
                <w:highlight w:val="none"/>
              </w:rPr>
              <w:t>1.0</w:t>
            </w:r>
          </w:p>
        </w:tc>
        <w:tc>
          <w:tcPr>
            <w:tcW w:w="1575" w:type="dxa"/>
            <w:vAlign w:val="center"/>
          </w:tcPr>
          <w:p>
            <w:pPr>
              <w:rPr>
                <w:color w:val="auto"/>
                <w:highlight w:val="none"/>
              </w:rPr>
            </w:pPr>
            <w:r>
              <w:rPr>
                <w:color w:val="auto"/>
                <w:highlight w:val="none"/>
              </w:rPr>
              <w:t>1.0</w:t>
            </w:r>
          </w:p>
        </w:tc>
        <w:tc>
          <w:tcPr>
            <w:tcW w:w="1354" w:type="dxa"/>
            <w:vAlign w:val="center"/>
          </w:tcPr>
          <w:p>
            <w:pPr>
              <w:rPr>
                <w:color w:val="auto"/>
                <w:highlight w:val="none"/>
              </w:rPr>
            </w:pPr>
            <w:r>
              <w:rPr>
                <w:color w:val="auto"/>
                <w:highlight w:val="none"/>
              </w:rPr>
              <w:t>1.0</w:t>
            </w:r>
          </w:p>
        </w:tc>
        <w:tc>
          <w:tcPr>
            <w:tcW w:w="1705" w:type="dxa"/>
            <w:vAlign w:val="center"/>
          </w:tcPr>
          <w:p>
            <w:pPr>
              <w:rPr>
                <w:color w:val="auto"/>
                <w:highlight w:val="none"/>
              </w:rPr>
            </w:pPr>
            <w:r>
              <w:rPr>
                <w:color w:val="auto"/>
                <w:highlight w:val="none"/>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07" w:type="dxa"/>
            <w:vAlign w:val="center"/>
          </w:tcPr>
          <w:p>
            <w:pPr>
              <w:rPr>
                <w:color w:val="auto"/>
                <w:highlight w:val="none"/>
              </w:rPr>
            </w:pPr>
            <w:r>
              <w:rPr>
                <w:color w:val="auto"/>
                <w:highlight w:val="none"/>
              </w:rPr>
              <w:t>1320</w:t>
            </w:r>
            <w:r>
              <w:rPr>
                <w:rFonts w:hint="eastAsia"/>
                <w:color w:val="auto"/>
                <w:highlight w:val="none"/>
              </w:rPr>
              <w:t>～</w:t>
            </w:r>
            <w:r>
              <w:rPr>
                <w:color w:val="auto"/>
                <w:highlight w:val="none"/>
              </w:rPr>
              <w:t>2000</w:t>
            </w:r>
          </w:p>
        </w:tc>
        <w:tc>
          <w:tcPr>
            <w:tcW w:w="1155" w:type="dxa"/>
            <w:vAlign w:val="center"/>
          </w:tcPr>
          <w:p>
            <w:pPr>
              <w:rPr>
                <w:color w:val="auto"/>
                <w:highlight w:val="none"/>
              </w:rPr>
            </w:pPr>
            <w:r>
              <w:rPr>
                <w:color w:val="auto"/>
                <w:highlight w:val="none"/>
              </w:rPr>
              <w:t>1.2</w:t>
            </w:r>
          </w:p>
        </w:tc>
        <w:tc>
          <w:tcPr>
            <w:tcW w:w="1575" w:type="dxa"/>
            <w:vAlign w:val="center"/>
          </w:tcPr>
          <w:p>
            <w:pPr>
              <w:rPr>
                <w:color w:val="auto"/>
                <w:highlight w:val="none"/>
              </w:rPr>
            </w:pPr>
            <w:r>
              <w:rPr>
                <w:color w:val="auto"/>
                <w:highlight w:val="none"/>
              </w:rPr>
              <w:t>1.0</w:t>
            </w:r>
          </w:p>
        </w:tc>
        <w:tc>
          <w:tcPr>
            <w:tcW w:w="1354" w:type="dxa"/>
            <w:vAlign w:val="center"/>
          </w:tcPr>
          <w:p>
            <w:pPr>
              <w:rPr>
                <w:color w:val="auto"/>
                <w:highlight w:val="none"/>
              </w:rPr>
            </w:pPr>
            <w:r>
              <w:rPr>
                <w:color w:val="auto"/>
                <w:highlight w:val="none"/>
              </w:rPr>
              <w:t>1.2</w:t>
            </w:r>
          </w:p>
        </w:tc>
        <w:tc>
          <w:tcPr>
            <w:tcW w:w="1705" w:type="dxa"/>
            <w:vAlign w:val="center"/>
          </w:tcPr>
          <w:p>
            <w:pPr>
              <w:rPr>
                <w:color w:val="auto"/>
                <w:highlight w:val="none"/>
              </w:rPr>
            </w:pPr>
            <w:r>
              <w:rPr>
                <w:color w:val="auto"/>
                <w:highlight w:val="none"/>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07" w:type="dxa"/>
            <w:vAlign w:val="center"/>
          </w:tcPr>
          <w:p>
            <w:pPr>
              <w:rPr>
                <w:color w:val="auto"/>
                <w:highlight w:val="none"/>
              </w:rPr>
            </w:pPr>
            <w:r>
              <w:rPr>
                <w:color w:val="auto"/>
                <w:highlight w:val="none"/>
              </w:rPr>
              <w:t>2500</w:t>
            </w:r>
            <w:r>
              <w:rPr>
                <w:rFonts w:hint="eastAsia"/>
                <w:color w:val="auto"/>
                <w:highlight w:val="none"/>
              </w:rPr>
              <w:t>～</w:t>
            </w:r>
            <w:r>
              <w:rPr>
                <w:color w:val="auto"/>
                <w:highlight w:val="none"/>
              </w:rPr>
              <w:t>4000</w:t>
            </w:r>
          </w:p>
        </w:tc>
        <w:tc>
          <w:tcPr>
            <w:tcW w:w="1155" w:type="dxa"/>
            <w:vAlign w:val="center"/>
          </w:tcPr>
          <w:p>
            <w:pPr>
              <w:rPr>
                <w:color w:val="auto"/>
                <w:highlight w:val="none"/>
              </w:rPr>
            </w:pPr>
            <w:r>
              <w:rPr>
                <w:color w:val="auto"/>
                <w:highlight w:val="none"/>
              </w:rPr>
              <w:t>1.2</w:t>
            </w:r>
          </w:p>
        </w:tc>
        <w:tc>
          <w:tcPr>
            <w:tcW w:w="1575" w:type="dxa"/>
            <w:vAlign w:val="center"/>
          </w:tcPr>
          <w:p>
            <w:pPr>
              <w:rPr>
                <w:color w:val="auto"/>
                <w:highlight w:val="none"/>
              </w:rPr>
            </w:pPr>
            <w:r>
              <w:rPr>
                <w:color w:val="auto"/>
                <w:highlight w:val="none"/>
              </w:rPr>
              <w:t>1.2</w:t>
            </w:r>
          </w:p>
        </w:tc>
        <w:tc>
          <w:tcPr>
            <w:tcW w:w="1354" w:type="dxa"/>
            <w:vAlign w:val="center"/>
          </w:tcPr>
          <w:p>
            <w:pPr>
              <w:rPr>
                <w:color w:val="auto"/>
                <w:highlight w:val="none"/>
              </w:rPr>
            </w:pPr>
            <w:r>
              <w:rPr>
                <w:color w:val="auto"/>
                <w:highlight w:val="none"/>
              </w:rPr>
              <w:t>1.2</w:t>
            </w:r>
          </w:p>
        </w:tc>
        <w:tc>
          <w:tcPr>
            <w:tcW w:w="1705" w:type="dxa"/>
            <w:vAlign w:val="center"/>
          </w:tcPr>
          <w:p>
            <w:pPr>
              <w:rPr>
                <w:color w:val="auto"/>
                <w:highlight w:val="none"/>
              </w:rPr>
            </w:pPr>
            <w:r>
              <w:rPr>
                <w:rFonts w:hint="eastAsia"/>
                <w:color w:val="auto"/>
                <w:highlight w:val="none"/>
              </w:rPr>
              <w:t>按设计要求</w:t>
            </w:r>
          </w:p>
        </w:tc>
      </w:tr>
    </w:tbl>
    <w:p>
      <w:pPr>
        <w:rPr>
          <w:color w:val="auto"/>
          <w:highlight w:val="none"/>
          <w:lang w:eastAsia="zh-CN"/>
        </w:rPr>
      </w:pPr>
    </w:p>
    <w:p>
      <w:pPr>
        <w:rPr>
          <w:color w:val="auto"/>
          <w:highlight w:val="none"/>
          <w:lang w:eastAsia="zh-CN"/>
        </w:rPr>
      </w:pPr>
      <w:r>
        <w:rPr>
          <w:rFonts w:hint="eastAsia"/>
          <w:color w:val="auto"/>
          <w:highlight w:val="none"/>
          <w:lang w:eastAsia="zh-CN"/>
        </w:rPr>
        <w:t>矩形法兰的四角处应设螺孔：</w:t>
      </w:r>
    </w:p>
    <w:tbl>
      <w:tblPr>
        <w:tblStyle w:val="85"/>
        <w:tblW w:w="85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68"/>
        <w:gridCol w:w="2318"/>
        <w:gridCol w:w="32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068" w:type="dxa"/>
            <w:vMerge w:val="restart"/>
          </w:tcPr>
          <w:p>
            <w:pPr>
              <w:rPr>
                <w:color w:val="auto"/>
                <w:highlight w:val="none"/>
              </w:rPr>
            </w:pPr>
            <w:r>
              <w:rPr>
                <w:rFonts w:hint="eastAsia"/>
                <w:color w:val="auto"/>
                <w:highlight w:val="none"/>
              </w:rPr>
              <w:t>风管直径（㎜）</w:t>
            </w:r>
          </w:p>
        </w:tc>
        <w:tc>
          <w:tcPr>
            <w:tcW w:w="5529" w:type="dxa"/>
            <w:gridSpan w:val="2"/>
          </w:tcPr>
          <w:p>
            <w:pPr>
              <w:rPr>
                <w:color w:val="auto"/>
                <w:highlight w:val="none"/>
              </w:rPr>
            </w:pPr>
            <w:r>
              <w:rPr>
                <w:rFonts w:hint="eastAsia"/>
                <w:color w:val="auto"/>
                <w:highlight w:val="none"/>
              </w:rPr>
              <w:t>法兰材料规格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068" w:type="dxa"/>
            <w:vMerge w:val="continue"/>
          </w:tcPr>
          <w:p>
            <w:pPr>
              <w:rPr>
                <w:color w:val="auto"/>
                <w:highlight w:val="none"/>
              </w:rPr>
            </w:pPr>
          </w:p>
        </w:tc>
        <w:tc>
          <w:tcPr>
            <w:tcW w:w="2318" w:type="dxa"/>
          </w:tcPr>
          <w:p>
            <w:pPr>
              <w:rPr>
                <w:color w:val="auto"/>
                <w:highlight w:val="none"/>
              </w:rPr>
            </w:pPr>
            <w:r>
              <w:rPr>
                <w:rFonts w:hint="eastAsia"/>
                <w:color w:val="auto"/>
                <w:highlight w:val="none"/>
              </w:rPr>
              <w:t>扁钢</w:t>
            </w:r>
          </w:p>
        </w:tc>
        <w:tc>
          <w:tcPr>
            <w:tcW w:w="3211" w:type="dxa"/>
          </w:tcPr>
          <w:p>
            <w:pPr>
              <w:rPr>
                <w:color w:val="auto"/>
                <w:highlight w:val="none"/>
              </w:rPr>
            </w:pPr>
            <w:r>
              <w:rPr>
                <w:rFonts w:hint="eastAsia"/>
                <w:color w:val="auto"/>
                <w:highlight w:val="none"/>
              </w:rPr>
              <w:t>角钢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68" w:type="dxa"/>
          </w:tcPr>
          <w:p>
            <w:pPr>
              <w:rPr>
                <w:color w:val="auto"/>
                <w:highlight w:val="none"/>
              </w:rPr>
            </w:pPr>
            <w:r>
              <w:rPr>
                <w:rFonts w:hint="eastAsia"/>
                <w:color w:val="auto"/>
                <w:highlight w:val="none"/>
              </w:rPr>
              <w:t>≤</w:t>
            </w:r>
            <w:r>
              <w:rPr>
                <w:color w:val="auto"/>
                <w:highlight w:val="none"/>
              </w:rPr>
              <w:t>140</w:t>
            </w:r>
          </w:p>
        </w:tc>
        <w:tc>
          <w:tcPr>
            <w:tcW w:w="2318" w:type="dxa"/>
          </w:tcPr>
          <w:p>
            <w:pPr>
              <w:rPr>
                <w:color w:val="auto"/>
                <w:highlight w:val="none"/>
              </w:rPr>
            </w:pPr>
            <w:r>
              <w:rPr>
                <w:color w:val="auto"/>
                <w:highlight w:val="none"/>
              </w:rPr>
              <w:t>20</w:t>
            </w:r>
            <w:r>
              <w:rPr>
                <w:rFonts w:hint="eastAsia"/>
                <w:color w:val="auto"/>
                <w:highlight w:val="none"/>
              </w:rPr>
              <w:t>×</w:t>
            </w:r>
            <w:r>
              <w:rPr>
                <w:color w:val="auto"/>
                <w:highlight w:val="none"/>
              </w:rPr>
              <w:t>4</w:t>
            </w:r>
          </w:p>
        </w:tc>
        <w:tc>
          <w:tcPr>
            <w:tcW w:w="3211" w:type="dxa"/>
          </w:tcPr>
          <w:p>
            <w:pPr>
              <w:rPr>
                <w:color w:val="auto"/>
                <w:highlight w:val="none"/>
              </w:rPr>
            </w:pPr>
            <w:r>
              <w:rPr>
                <w:color w:val="auto"/>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68" w:type="dxa"/>
          </w:tcPr>
          <w:p>
            <w:pPr>
              <w:rPr>
                <w:color w:val="auto"/>
                <w:highlight w:val="none"/>
              </w:rPr>
            </w:pPr>
            <w:r>
              <w:rPr>
                <w:color w:val="auto"/>
                <w:highlight w:val="none"/>
              </w:rPr>
              <w:t>150</w:t>
            </w:r>
            <w:r>
              <w:rPr>
                <w:rFonts w:hint="eastAsia"/>
                <w:color w:val="auto"/>
                <w:highlight w:val="none"/>
              </w:rPr>
              <w:t>～</w:t>
            </w:r>
            <w:r>
              <w:rPr>
                <w:color w:val="auto"/>
                <w:highlight w:val="none"/>
              </w:rPr>
              <w:t>280</w:t>
            </w:r>
          </w:p>
        </w:tc>
        <w:tc>
          <w:tcPr>
            <w:tcW w:w="2318" w:type="dxa"/>
          </w:tcPr>
          <w:p>
            <w:pPr>
              <w:rPr>
                <w:color w:val="auto"/>
                <w:highlight w:val="none"/>
              </w:rPr>
            </w:pPr>
            <w:r>
              <w:rPr>
                <w:color w:val="auto"/>
                <w:highlight w:val="none"/>
              </w:rPr>
              <w:t>20</w:t>
            </w:r>
            <w:r>
              <w:rPr>
                <w:rFonts w:hint="eastAsia"/>
                <w:color w:val="auto"/>
                <w:highlight w:val="none"/>
              </w:rPr>
              <w:t>×</w:t>
            </w:r>
            <w:r>
              <w:rPr>
                <w:color w:val="auto"/>
                <w:highlight w:val="none"/>
              </w:rPr>
              <w:t>4</w:t>
            </w:r>
          </w:p>
        </w:tc>
        <w:tc>
          <w:tcPr>
            <w:tcW w:w="3211" w:type="dxa"/>
          </w:tcPr>
          <w:p>
            <w:pPr>
              <w:rPr>
                <w:color w:val="auto"/>
                <w:highlight w:val="none"/>
              </w:rPr>
            </w:pPr>
            <w:r>
              <w:rPr>
                <w:color w:val="auto"/>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68" w:type="dxa"/>
          </w:tcPr>
          <w:p>
            <w:pPr>
              <w:rPr>
                <w:color w:val="auto"/>
                <w:highlight w:val="none"/>
              </w:rPr>
            </w:pPr>
            <w:r>
              <w:rPr>
                <w:color w:val="auto"/>
                <w:highlight w:val="none"/>
              </w:rPr>
              <w:t>300</w:t>
            </w:r>
            <w:r>
              <w:rPr>
                <w:rFonts w:hint="eastAsia"/>
                <w:color w:val="auto"/>
                <w:highlight w:val="none"/>
              </w:rPr>
              <w:t>～</w:t>
            </w:r>
            <w:r>
              <w:rPr>
                <w:color w:val="auto"/>
                <w:highlight w:val="none"/>
              </w:rPr>
              <w:t>500</w:t>
            </w:r>
          </w:p>
        </w:tc>
        <w:tc>
          <w:tcPr>
            <w:tcW w:w="2318" w:type="dxa"/>
          </w:tcPr>
          <w:p>
            <w:pPr>
              <w:rPr>
                <w:color w:val="auto"/>
                <w:highlight w:val="none"/>
              </w:rPr>
            </w:pPr>
            <w:r>
              <w:rPr>
                <w:color w:val="auto"/>
                <w:highlight w:val="none"/>
              </w:rPr>
              <w:t>----</w:t>
            </w:r>
          </w:p>
        </w:tc>
        <w:tc>
          <w:tcPr>
            <w:tcW w:w="3211" w:type="dxa"/>
          </w:tcPr>
          <w:p>
            <w:pPr>
              <w:rPr>
                <w:color w:val="auto"/>
                <w:highlight w:val="none"/>
              </w:rPr>
            </w:pPr>
            <w:r>
              <w:rPr>
                <w:color w:val="auto"/>
                <w:highlight w:val="none"/>
              </w:rPr>
              <w:t>25</w:t>
            </w:r>
            <w:r>
              <w:rPr>
                <w:rFonts w:hint="eastAsia"/>
                <w:color w:val="auto"/>
                <w:highlight w:val="none"/>
              </w:rPr>
              <w:t>×</w:t>
            </w:r>
            <w:r>
              <w:rPr>
                <w:color w:val="auto"/>
                <w:highlight w:val="none"/>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68" w:type="dxa"/>
          </w:tcPr>
          <w:p>
            <w:pPr>
              <w:rPr>
                <w:color w:val="auto"/>
                <w:highlight w:val="none"/>
              </w:rPr>
            </w:pPr>
            <w:r>
              <w:rPr>
                <w:color w:val="auto"/>
                <w:highlight w:val="none"/>
              </w:rPr>
              <w:t>530</w:t>
            </w:r>
            <w:r>
              <w:rPr>
                <w:rFonts w:hint="eastAsia"/>
                <w:color w:val="auto"/>
                <w:highlight w:val="none"/>
              </w:rPr>
              <w:t>～</w:t>
            </w:r>
            <w:r>
              <w:rPr>
                <w:color w:val="auto"/>
                <w:highlight w:val="none"/>
              </w:rPr>
              <w:t>1250</w:t>
            </w:r>
          </w:p>
        </w:tc>
        <w:tc>
          <w:tcPr>
            <w:tcW w:w="2318" w:type="dxa"/>
          </w:tcPr>
          <w:p>
            <w:pPr>
              <w:rPr>
                <w:color w:val="auto"/>
                <w:highlight w:val="none"/>
              </w:rPr>
            </w:pPr>
            <w:r>
              <w:rPr>
                <w:color w:val="auto"/>
                <w:highlight w:val="none"/>
              </w:rPr>
              <w:t>----</w:t>
            </w:r>
          </w:p>
        </w:tc>
        <w:tc>
          <w:tcPr>
            <w:tcW w:w="3211" w:type="dxa"/>
          </w:tcPr>
          <w:p>
            <w:pPr>
              <w:rPr>
                <w:color w:val="auto"/>
                <w:highlight w:val="none"/>
              </w:rPr>
            </w:pPr>
            <w:r>
              <w:rPr>
                <w:color w:val="auto"/>
                <w:highlight w:val="none"/>
              </w:rPr>
              <w:t>30</w:t>
            </w:r>
            <w:r>
              <w:rPr>
                <w:rFonts w:hint="eastAsia"/>
                <w:color w:val="auto"/>
                <w:highlight w:val="none"/>
              </w:rPr>
              <w:t>×</w:t>
            </w:r>
            <w:r>
              <w:rPr>
                <w:color w:val="auto"/>
                <w:highlight w:val="none"/>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68" w:type="dxa"/>
          </w:tcPr>
          <w:p>
            <w:pPr>
              <w:rPr>
                <w:color w:val="auto"/>
                <w:highlight w:val="none"/>
              </w:rPr>
            </w:pPr>
            <w:r>
              <w:rPr>
                <w:color w:val="auto"/>
                <w:highlight w:val="none"/>
              </w:rPr>
              <w:t>1320</w:t>
            </w:r>
            <w:r>
              <w:rPr>
                <w:rFonts w:hint="eastAsia"/>
                <w:color w:val="auto"/>
                <w:highlight w:val="none"/>
              </w:rPr>
              <w:t>～</w:t>
            </w:r>
            <w:r>
              <w:rPr>
                <w:color w:val="auto"/>
                <w:highlight w:val="none"/>
              </w:rPr>
              <w:t>2000</w:t>
            </w:r>
          </w:p>
        </w:tc>
        <w:tc>
          <w:tcPr>
            <w:tcW w:w="2318" w:type="dxa"/>
          </w:tcPr>
          <w:p>
            <w:pPr>
              <w:rPr>
                <w:color w:val="auto"/>
                <w:highlight w:val="none"/>
              </w:rPr>
            </w:pPr>
            <w:r>
              <w:rPr>
                <w:color w:val="auto"/>
                <w:highlight w:val="none"/>
              </w:rPr>
              <w:t>----</w:t>
            </w:r>
          </w:p>
        </w:tc>
        <w:tc>
          <w:tcPr>
            <w:tcW w:w="3211" w:type="dxa"/>
          </w:tcPr>
          <w:p>
            <w:pPr>
              <w:rPr>
                <w:color w:val="auto"/>
                <w:highlight w:val="none"/>
              </w:rPr>
            </w:pPr>
            <w:r>
              <w:rPr>
                <w:color w:val="auto"/>
                <w:highlight w:val="none"/>
              </w:rPr>
              <w:t>40</w:t>
            </w:r>
            <w:r>
              <w:rPr>
                <w:rFonts w:hint="eastAsia"/>
                <w:color w:val="auto"/>
                <w:highlight w:val="none"/>
              </w:rPr>
              <w:t>×</w:t>
            </w:r>
            <w:r>
              <w:rPr>
                <w:color w:val="auto"/>
                <w:highlight w:val="none"/>
              </w:rPr>
              <w:t>4</w:t>
            </w:r>
          </w:p>
        </w:tc>
      </w:tr>
    </w:tbl>
    <w:p>
      <w:pPr>
        <w:rPr>
          <w:color w:val="auto"/>
          <w:highlight w:val="none"/>
        </w:rPr>
      </w:pPr>
    </w:p>
    <w:p>
      <w:pPr>
        <w:rPr>
          <w:color w:val="auto"/>
          <w:highlight w:val="none"/>
        </w:rPr>
      </w:pPr>
      <w:r>
        <w:rPr>
          <w:rFonts w:hint="eastAsia"/>
          <w:color w:val="auto"/>
          <w:highlight w:val="none"/>
        </w:rPr>
        <w:t>矩形风管法兰规格：</w:t>
      </w:r>
    </w:p>
    <w:tbl>
      <w:tblPr>
        <w:tblStyle w:val="85"/>
        <w:tblW w:w="846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738"/>
        <w:gridCol w:w="47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38" w:type="dxa"/>
          </w:tcPr>
          <w:p>
            <w:pPr>
              <w:rPr>
                <w:color w:val="auto"/>
                <w:highlight w:val="none"/>
              </w:rPr>
            </w:pPr>
            <w:r>
              <w:rPr>
                <w:rFonts w:hint="eastAsia"/>
                <w:color w:val="auto"/>
                <w:highlight w:val="none"/>
              </w:rPr>
              <w:t>风管长边尺寸（㎜）</w:t>
            </w:r>
          </w:p>
        </w:tc>
        <w:tc>
          <w:tcPr>
            <w:tcW w:w="4729" w:type="dxa"/>
          </w:tcPr>
          <w:p>
            <w:pPr>
              <w:rPr>
                <w:color w:val="auto"/>
                <w:highlight w:val="none"/>
                <w:lang w:eastAsia="zh-CN"/>
              </w:rPr>
            </w:pPr>
            <w:r>
              <w:rPr>
                <w:rFonts w:hint="eastAsia"/>
                <w:color w:val="auto"/>
                <w:highlight w:val="none"/>
                <w:lang w:eastAsia="zh-CN"/>
              </w:rPr>
              <w:t>法兰用料规格（角钢）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38" w:type="dxa"/>
          </w:tcPr>
          <w:p>
            <w:pPr>
              <w:rPr>
                <w:color w:val="auto"/>
                <w:highlight w:val="none"/>
              </w:rPr>
            </w:pPr>
            <w:r>
              <w:rPr>
                <w:rFonts w:hint="eastAsia"/>
                <w:color w:val="auto"/>
                <w:highlight w:val="none"/>
              </w:rPr>
              <w:t>≤</w:t>
            </w:r>
            <w:r>
              <w:rPr>
                <w:color w:val="auto"/>
                <w:highlight w:val="none"/>
              </w:rPr>
              <w:t>630</w:t>
            </w:r>
          </w:p>
        </w:tc>
        <w:tc>
          <w:tcPr>
            <w:tcW w:w="4729" w:type="dxa"/>
          </w:tcPr>
          <w:p>
            <w:pPr>
              <w:rPr>
                <w:color w:val="auto"/>
                <w:highlight w:val="none"/>
              </w:rPr>
            </w:pPr>
            <w:r>
              <w:rPr>
                <w:color w:val="auto"/>
                <w:highlight w:val="none"/>
              </w:rPr>
              <w:t>25</w:t>
            </w:r>
            <w:r>
              <w:rPr>
                <w:rFonts w:hint="eastAsia"/>
                <w:color w:val="auto"/>
                <w:highlight w:val="none"/>
              </w:rPr>
              <w:t>×</w:t>
            </w:r>
            <w:r>
              <w:rPr>
                <w:color w:val="auto"/>
                <w:highlight w:val="none"/>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38" w:type="dxa"/>
          </w:tcPr>
          <w:p>
            <w:pPr>
              <w:rPr>
                <w:color w:val="auto"/>
                <w:highlight w:val="none"/>
              </w:rPr>
            </w:pPr>
            <w:r>
              <w:rPr>
                <w:color w:val="auto"/>
                <w:highlight w:val="none"/>
              </w:rPr>
              <w:t>670</w:t>
            </w:r>
            <w:r>
              <w:rPr>
                <w:rFonts w:hint="eastAsia"/>
                <w:color w:val="auto"/>
                <w:highlight w:val="none"/>
              </w:rPr>
              <w:t>～</w:t>
            </w:r>
            <w:r>
              <w:rPr>
                <w:color w:val="auto"/>
                <w:highlight w:val="none"/>
              </w:rPr>
              <w:t>1250</w:t>
            </w:r>
          </w:p>
        </w:tc>
        <w:tc>
          <w:tcPr>
            <w:tcW w:w="4729" w:type="dxa"/>
          </w:tcPr>
          <w:p>
            <w:pPr>
              <w:rPr>
                <w:color w:val="auto"/>
                <w:highlight w:val="none"/>
              </w:rPr>
            </w:pPr>
            <w:r>
              <w:rPr>
                <w:color w:val="auto"/>
                <w:highlight w:val="none"/>
              </w:rPr>
              <w:t>30</w:t>
            </w:r>
            <w:r>
              <w:rPr>
                <w:rFonts w:hint="eastAsia"/>
                <w:color w:val="auto"/>
                <w:highlight w:val="none"/>
              </w:rPr>
              <w:t>×</w:t>
            </w:r>
            <w:r>
              <w:rPr>
                <w:color w:val="auto"/>
                <w:highlight w:val="none"/>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38" w:type="dxa"/>
          </w:tcPr>
          <w:p>
            <w:pPr>
              <w:rPr>
                <w:color w:val="auto"/>
                <w:highlight w:val="none"/>
              </w:rPr>
            </w:pPr>
            <w:r>
              <w:rPr>
                <w:color w:val="auto"/>
                <w:highlight w:val="none"/>
              </w:rPr>
              <w:t>1320</w:t>
            </w:r>
            <w:r>
              <w:rPr>
                <w:rFonts w:hint="eastAsia"/>
                <w:color w:val="auto"/>
                <w:highlight w:val="none"/>
              </w:rPr>
              <w:t>～</w:t>
            </w:r>
            <w:r>
              <w:rPr>
                <w:color w:val="auto"/>
                <w:highlight w:val="none"/>
              </w:rPr>
              <w:t>2500</w:t>
            </w:r>
          </w:p>
        </w:tc>
        <w:tc>
          <w:tcPr>
            <w:tcW w:w="4729" w:type="dxa"/>
          </w:tcPr>
          <w:p>
            <w:pPr>
              <w:rPr>
                <w:color w:val="auto"/>
                <w:highlight w:val="none"/>
              </w:rPr>
            </w:pPr>
            <w:r>
              <w:rPr>
                <w:color w:val="auto"/>
                <w:highlight w:val="none"/>
              </w:rPr>
              <w:t>40</w:t>
            </w:r>
            <w:r>
              <w:rPr>
                <w:rFonts w:hint="eastAsia"/>
                <w:color w:val="auto"/>
                <w:highlight w:val="none"/>
              </w:rPr>
              <w:t>×</w:t>
            </w:r>
            <w:r>
              <w:rPr>
                <w:color w:val="auto"/>
                <w:highlight w:val="none"/>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38" w:type="dxa"/>
          </w:tcPr>
          <w:p>
            <w:pPr>
              <w:rPr>
                <w:color w:val="auto"/>
                <w:highlight w:val="none"/>
              </w:rPr>
            </w:pPr>
            <w:r>
              <w:rPr>
                <w:color w:val="auto"/>
                <w:highlight w:val="none"/>
              </w:rPr>
              <w:t>3000</w:t>
            </w:r>
            <w:r>
              <w:rPr>
                <w:rFonts w:hint="eastAsia"/>
                <w:color w:val="auto"/>
                <w:highlight w:val="none"/>
              </w:rPr>
              <w:t>～</w:t>
            </w:r>
            <w:r>
              <w:rPr>
                <w:color w:val="auto"/>
                <w:highlight w:val="none"/>
              </w:rPr>
              <w:t>4000</w:t>
            </w:r>
          </w:p>
        </w:tc>
        <w:tc>
          <w:tcPr>
            <w:tcW w:w="4729" w:type="dxa"/>
          </w:tcPr>
          <w:p>
            <w:pPr>
              <w:rPr>
                <w:color w:val="auto"/>
                <w:highlight w:val="none"/>
              </w:rPr>
            </w:pPr>
            <w:r>
              <w:rPr>
                <w:color w:val="auto"/>
                <w:highlight w:val="none"/>
              </w:rPr>
              <w:t>50</w:t>
            </w:r>
            <w:r>
              <w:rPr>
                <w:rFonts w:hint="eastAsia"/>
                <w:color w:val="auto"/>
                <w:highlight w:val="none"/>
              </w:rPr>
              <w:t>×</w:t>
            </w:r>
            <w:r>
              <w:rPr>
                <w:color w:val="auto"/>
                <w:highlight w:val="none"/>
              </w:rPr>
              <w:t>5</w:t>
            </w:r>
          </w:p>
        </w:tc>
      </w:tr>
    </w:tbl>
    <w:p>
      <w:pPr>
        <w:rPr>
          <w:color w:val="auto"/>
          <w:highlight w:val="none"/>
        </w:rPr>
      </w:pPr>
    </w:p>
    <w:p>
      <w:pPr>
        <w:rPr>
          <w:color w:val="auto"/>
          <w:highlight w:val="none"/>
        </w:rPr>
      </w:pPr>
      <w:r>
        <w:rPr>
          <w:rFonts w:hint="eastAsia"/>
          <w:color w:val="auto"/>
          <w:highlight w:val="none"/>
        </w:rPr>
        <w:t>施工工序</w:t>
      </w:r>
    </w:p>
    <w:p>
      <w:pPr>
        <w:rPr>
          <w:color w:val="auto"/>
          <w:highlight w:val="none"/>
        </w:rPr>
      </w:pPr>
      <w:r>
        <w:rPr>
          <w:rFonts w:hint="eastAsia"/>
          <w:color w:val="auto"/>
          <w:highlight w:val="none"/>
          <w:lang w:eastAsia="zh-CN"/>
        </w:rPr>
        <w:drawing>
          <wp:inline distT="0" distB="0" distL="0" distR="0">
            <wp:extent cx="5248275" cy="1304925"/>
            <wp:effectExtent l="19050" t="0" r="9525" b="0"/>
            <wp:docPr id="88" name="图片 3" descr="风管制作工艺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3" descr="风管制作工艺1"/>
                    <pic:cNvPicPr>
                      <a:picLocks noChangeAspect="1" noChangeArrowheads="1"/>
                    </pic:cNvPicPr>
                  </pic:nvPicPr>
                  <pic:blipFill>
                    <a:blip r:embed="rId16" cstate="print"/>
                    <a:srcRect/>
                    <a:stretch>
                      <a:fillRect/>
                    </a:stretch>
                  </pic:blipFill>
                  <pic:spPr>
                    <a:xfrm>
                      <a:off x="0" y="0"/>
                      <a:ext cx="5248275" cy="1304925"/>
                    </a:xfrm>
                    <a:prstGeom prst="rect">
                      <a:avLst/>
                    </a:prstGeom>
                    <a:noFill/>
                    <a:ln w="9525">
                      <a:noFill/>
                      <a:miter lim="800000"/>
                      <a:headEnd/>
                      <a:tailEnd/>
                    </a:ln>
                  </pic:spPr>
                </pic:pic>
              </a:graphicData>
            </a:graphic>
          </wp:inline>
        </w:drawing>
      </w:r>
    </w:p>
    <w:p>
      <w:pPr>
        <w:rPr>
          <w:color w:val="auto"/>
          <w:highlight w:val="none"/>
          <w:lang w:eastAsia="zh-CN"/>
        </w:rPr>
      </w:pPr>
    </w:p>
    <w:p>
      <w:pPr>
        <w:spacing w:line="360" w:lineRule="auto"/>
        <w:rPr>
          <w:color w:val="auto"/>
          <w:highlight w:val="none"/>
          <w:lang w:eastAsia="zh-CN"/>
        </w:rPr>
      </w:pPr>
      <w:r>
        <w:rPr>
          <w:rFonts w:hint="eastAsia"/>
          <w:color w:val="auto"/>
          <w:highlight w:val="none"/>
          <w:lang w:eastAsia="zh-CN"/>
        </w:rPr>
        <w:t>施工工艺</w:t>
      </w:r>
    </w:p>
    <w:p>
      <w:pPr>
        <w:spacing w:line="360" w:lineRule="auto"/>
        <w:rPr>
          <w:color w:val="auto"/>
          <w:highlight w:val="none"/>
          <w:lang w:eastAsia="zh-CN"/>
        </w:rPr>
      </w:pPr>
      <w:r>
        <w:rPr>
          <w:rFonts w:hint="eastAsia"/>
          <w:color w:val="auto"/>
          <w:highlight w:val="none"/>
          <w:lang w:eastAsia="zh-CN"/>
        </w:rPr>
        <w:t>加工前，应清除板材上的污渍，做到一摸，二擦，三查，保证将油污彻底清除干净。</w:t>
      </w:r>
    </w:p>
    <w:p>
      <w:pPr>
        <w:spacing w:line="360" w:lineRule="auto"/>
        <w:rPr>
          <w:color w:val="auto"/>
          <w:highlight w:val="none"/>
          <w:lang w:eastAsia="zh-CN"/>
        </w:rPr>
      </w:pPr>
      <w:r>
        <w:rPr>
          <w:rFonts w:hint="eastAsia"/>
          <w:color w:val="auto"/>
          <w:highlight w:val="none"/>
          <w:lang w:eastAsia="zh-CN"/>
        </w:rPr>
        <w:t>板材的拼接咬口可采用单咬口，矩形风管的四角组合可采用转角咬口，联合角咬口；</w:t>
      </w:r>
    </w:p>
    <w:p>
      <w:pPr>
        <w:spacing w:line="360" w:lineRule="auto"/>
        <w:rPr>
          <w:color w:val="auto"/>
          <w:highlight w:val="none"/>
          <w:lang w:eastAsia="zh-CN"/>
        </w:rPr>
      </w:pPr>
      <w:r>
        <w:rPr>
          <w:rFonts w:hint="eastAsia"/>
          <w:color w:val="auto"/>
          <w:highlight w:val="none"/>
          <w:lang w:eastAsia="zh-CN"/>
        </w:rPr>
        <w:t>风管各管段间的连接应采用可拆卸的形式，管段长度宜为</w:t>
      </w:r>
      <w:r>
        <w:rPr>
          <w:color w:val="auto"/>
          <w:highlight w:val="none"/>
          <w:lang w:eastAsia="zh-CN"/>
        </w:rPr>
        <w:t>1.8m~2.4m</w:t>
      </w:r>
      <w:r>
        <w:rPr>
          <w:rFonts w:hint="eastAsia"/>
          <w:color w:val="auto"/>
          <w:highlight w:val="none"/>
          <w:lang w:eastAsia="zh-CN"/>
        </w:rPr>
        <w:t>；板材应减少拼接</w:t>
      </w:r>
      <w:r>
        <w:rPr>
          <w:color w:val="auto"/>
          <w:highlight w:val="none"/>
          <w:lang w:eastAsia="zh-CN"/>
        </w:rPr>
        <w:t xml:space="preserve"> </w:t>
      </w:r>
      <w:r>
        <w:rPr>
          <w:rFonts w:hint="eastAsia"/>
          <w:color w:val="auto"/>
          <w:highlight w:val="none"/>
          <w:lang w:eastAsia="zh-CN"/>
        </w:rPr>
        <w:t>，</w:t>
      </w:r>
      <w:r>
        <w:rPr>
          <w:color w:val="auto"/>
          <w:highlight w:val="none"/>
          <w:lang w:eastAsia="zh-CN"/>
        </w:rPr>
        <w:t xml:space="preserve"> </w:t>
      </w:r>
      <w:r>
        <w:rPr>
          <w:rFonts w:hint="eastAsia"/>
          <w:color w:val="auto"/>
          <w:highlight w:val="none"/>
          <w:lang w:eastAsia="zh-CN"/>
        </w:rPr>
        <w:t>风管不得有横向拼接缝，矩形风管底边宽度小于或等于</w:t>
      </w:r>
      <w:r>
        <w:rPr>
          <w:color w:val="auto"/>
          <w:highlight w:val="none"/>
          <w:lang w:eastAsia="zh-CN"/>
        </w:rPr>
        <w:t>900mm</w:t>
      </w:r>
      <w:r>
        <w:rPr>
          <w:rFonts w:hint="eastAsia"/>
          <w:color w:val="auto"/>
          <w:highlight w:val="none"/>
          <w:lang w:eastAsia="zh-CN"/>
        </w:rPr>
        <w:t>时，其底边不得有纵向拼接缝，小于或等于</w:t>
      </w:r>
      <w:r>
        <w:rPr>
          <w:color w:val="auto"/>
          <w:highlight w:val="none"/>
          <w:lang w:eastAsia="zh-CN"/>
        </w:rPr>
        <w:t>1800mm</w:t>
      </w:r>
      <w:r>
        <w:rPr>
          <w:rFonts w:hint="eastAsia"/>
          <w:color w:val="auto"/>
          <w:highlight w:val="none"/>
          <w:lang w:eastAsia="zh-CN"/>
        </w:rPr>
        <w:t>时，不得多于</w:t>
      </w:r>
      <w:r>
        <w:rPr>
          <w:color w:val="auto"/>
          <w:highlight w:val="none"/>
          <w:lang w:eastAsia="zh-CN"/>
        </w:rPr>
        <w:t>1</w:t>
      </w:r>
      <w:r>
        <w:rPr>
          <w:rFonts w:hint="eastAsia"/>
          <w:color w:val="auto"/>
          <w:highlight w:val="none"/>
          <w:lang w:eastAsia="zh-CN"/>
        </w:rPr>
        <w:t>条纵向接缝，小于或等于</w:t>
      </w:r>
      <w:r>
        <w:rPr>
          <w:color w:val="auto"/>
          <w:highlight w:val="none"/>
          <w:lang w:eastAsia="zh-CN"/>
        </w:rPr>
        <w:t>2600mm</w:t>
      </w:r>
      <w:r>
        <w:rPr>
          <w:rFonts w:hint="eastAsia"/>
          <w:color w:val="auto"/>
          <w:highlight w:val="none"/>
          <w:lang w:eastAsia="zh-CN"/>
        </w:rPr>
        <w:t>时，不得多于</w:t>
      </w:r>
      <w:r>
        <w:rPr>
          <w:color w:val="auto"/>
          <w:highlight w:val="none"/>
          <w:lang w:eastAsia="zh-CN"/>
        </w:rPr>
        <w:t>2</w:t>
      </w:r>
      <w:r>
        <w:rPr>
          <w:rFonts w:hint="eastAsia"/>
          <w:color w:val="auto"/>
          <w:highlight w:val="none"/>
          <w:lang w:eastAsia="zh-CN"/>
        </w:rPr>
        <w:t>条纵向接缝。</w:t>
      </w:r>
    </w:p>
    <w:p>
      <w:pPr>
        <w:spacing w:line="360" w:lineRule="auto"/>
        <w:rPr>
          <w:color w:val="auto"/>
          <w:highlight w:val="none"/>
          <w:lang w:eastAsia="zh-CN"/>
        </w:rPr>
      </w:pPr>
      <w:r>
        <w:rPr>
          <w:rFonts w:hint="eastAsia"/>
          <w:color w:val="auto"/>
          <w:highlight w:val="none"/>
          <w:lang w:eastAsia="zh-CN"/>
        </w:rPr>
        <w:t>风管和配件的板材连接，镀锌钢板及含有保护层的钢板，应采用咬接或铆接；风管所用的螺钉螺母垫圈和铆钉均应采用镀锌或其它防腐措施，并不得采用抽芯铆钉；</w:t>
      </w:r>
    </w:p>
    <w:p>
      <w:pPr>
        <w:spacing w:line="360" w:lineRule="auto"/>
        <w:rPr>
          <w:color w:val="auto"/>
          <w:highlight w:val="none"/>
          <w:lang w:eastAsia="zh-CN"/>
        </w:rPr>
      </w:pPr>
      <w:r>
        <w:rPr>
          <w:rFonts w:hint="eastAsia"/>
          <w:color w:val="auto"/>
          <w:highlight w:val="none"/>
          <w:lang w:eastAsia="zh-CN"/>
        </w:rPr>
        <w:t>风管与法兰连接采用翻边时，翻边应平整，宽度应一致，且不应小于</w:t>
      </w:r>
      <w:r>
        <w:rPr>
          <w:color w:val="auto"/>
          <w:highlight w:val="none"/>
          <w:lang w:eastAsia="zh-CN"/>
        </w:rPr>
        <w:t>6mm</w:t>
      </w:r>
      <w:r>
        <w:rPr>
          <w:rFonts w:hint="eastAsia"/>
          <w:color w:val="auto"/>
          <w:highlight w:val="none"/>
          <w:lang w:eastAsia="zh-CN"/>
        </w:rPr>
        <w:t>，并不得有开裂与孔洞；风管的无法兰连接，不得使用型插条直角型平插条及立联合角插条；</w:t>
      </w:r>
    </w:p>
    <w:p>
      <w:pPr>
        <w:spacing w:line="360" w:lineRule="auto"/>
        <w:rPr>
          <w:color w:val="auto"/>
          <w:highlight w:val="none"/>
          <w:lang w:eastAsia="zh-CN"/>
        </w:rPr>
      </w:pPr>
      <w:r>
        <w:rPr>
          <w:rFonts w:hint="eastAsia"/>
          <w:color w:val="auto"/>
          <w:highlight w:val="none"/>
          <w:lang w:eastAsia="zh-CN"/>
        </w:rPr>
        <w:t>金属风管和配件的制作，其外径或外边长的允许偏差：当小于或等于</w:t>
      </w:r>
      <w:r>
        <w:rPr>
          <w:color w:val="auto"/>
          <w:highlight w:val="none"/>
          <w:lang w:eastAsia="zh-CN"/>
        </w:rPr>
        <w:t>300</w:t>
      </w:r>
      <w:r>
        <w:rPr>
          <w:rFonts w:hint="eastAsia"/>
          <w:color w:val="auto"/>
          <w:highlight w:val="none"/>
          <w:lang w:eastAsia="zh-CN"/>
        </w:rPr>
        <w:t>时为</w:t>
      </w:r>
      <w:r>
        <w:rPr>
          <w:color w:val="auto"/>
          <w:highlight w:val="none"/>
          <w:lang w:eastAsia="zh-CN"/>
        </w:rPr>
        <w:t xml:space="preserve">  -1~0</w:t>
      </w:r>
      <w:r>
        <w:rPr>
          <w:rFonts w:hint="eastAsia"/>
          <w:color w:val="auto"/>
          <w:highlight w:val="none"/>
          <w:lang w:eastAsia="zh-CN"/>
        </w:rPr>
        <w:t>，当大于</w:t>
      </w:r>
      <w:r>
        <w:rPr>
          <w:color w:val="auto"/>
          <w:highlight w:val="none"/>
          <w:lang w:eastAsia="zh-CN"/>
        </w:rPr>
        <w:t>300</w:t>
      </w:r>
      <w:r>
        <w:rPr>
          <w:rFonts w:hint="eastAsia"/>
          <w:color w:val="auto"/>
          <w:highlight w:val="none"/>
          <w:lang w:eastAsia="zh-CN"/>
        </w:rPr>
        <w:t>时为</w:t>
      </w:r>
      <w:r>
        <w:rPr>
          <w:color w:val="auto"/>
          <w:highlight w:val="none"/>
          <w:lang w:eastAsia="zh-CN"/>
        </w:rPr>
        <w:t>-2~0</w:t>
      </w:r>
      <w:r>
        <w:rPr>
          <w:rFonts w:hint="eastAsia"/>
          <w:color w:val="auto"/>
          <w:highlight w:val="none"/>
          <w:lang w:eastAsia="zh-CN"/>
        </w:rPr>
        <w:t>，其法兰内径或内边长尺寸的允许偏差为</w:t>
      </w:r>
      <w:r>
        <w:rPr>
          <w:color w:val="auto"/>
          <w:highlight w:val="none"/>
          <w:lang w:eastAsia="zh-CN"/>
        </w:rPr>
        <w:t>+1~+3</w:t>
      </w:r>
      <w:r>
        <w:rPr>
          <w:rFonts w:hint="eastAsia"/>
          <w:color w:val="auto"/>
          <w:highlight w:val="none"/>
          <w:lang w:eastAsia="zh-CN"/>
        </w:rPr>
        <w:t>，平面度的允许偏差为</w:t>
      </w:r>
      <w:r>
        <w:rPr>
          <w:color w:val="auto"/>
          <w:highlight w:val="none"/>
          <w:lang w:eastAsia="zh-CN"/>
        </w:rPr>
        <w:t>2</w:t>
      </w:r>
      <w:r>
        <w:rPr>
          <w:rFonts w:hint="eastAsia"/>
          <w:color w:val="auto"/>
          <w:highlight w:val="none"/>
          <w:lang w:eastAsia="zh-CN"/>
        </w:rPr>
        <w:t>，矩形法兰对角线之差不应大于</w:t>
      </w:r>
      <w:r>
        <w:rPr>
          <w:color w:val="auto"/>
          <w:highlight w:val="none"/>
          <w:lang w:eastAsia="zh-CN"/>
        </w:rPr>
        <w:t>3</w:t>
      </w:r>
      <w:r>
        <w:rPr>
          <w:rFonts w:hint="eastAsia"/>
          <w:color w:val="auto"/>
          <w:highlight w:val="none"/>
          <w:lang w:eastAsia="zh-CN"/>
        </w:rPr>
        <w:t>。</w:t>
      </w:r>
    </w:p>
    <w:p>
      <w:pPr>
        <w:spacing w:line="360" w:lineRule="auto"/>
        <w:rPr>
          <w:color w:val="auto"/>
          <w:highlight w:val="none"/>
          <w:lang w:eastAsia="zh-CN"/>
        </w:rPr>
      </w:pPr>
      <w:r>
        <w:rPr>
          <w:rFonts w:hint="eastAsia"/>
          <w:color w:val="auto"/>
          <w:highlight w:val="none"/>
          <w:lang w:eastAsia="zh-CN"/>
        </w:rPr>
        <w:t>风管与配件的表面应平整，圆弧应均匀。咬口缝应严密，宽度应一致，并不得有十字交叉的拼接缝；法兰螺栓几铆钉的间距，当用于</w:t>
      </w:r>
      <w:r>
        <w:rPr>
          <w:color w:val="auto"/>
          <w:highlight w:val="none"/>
          <w:lang w:eastAsia="zh-CN"/>
        </w:rPr>
        <w:t>5</w:t>
      </w:r>
      <w:r>
        <w:rPr>
          <w:rFonts w:hint="eastAsia"/>
          <w:color w:val="auto"/>
          <w:highlight w:val="none"/>
          <w:lang w:eastAsia="zh-CN"/>
        </w:rPr>
        <w:t>级和高于</w:t>
      </w:r>
      <w:r>
        <w:rPr>
          <w:color w:val="auto"/>
          <w:highlight w:val="none"/>
          <w:lang w:eastAsia="zh-CN"/>
        </w:rPr>
        <w:t>5</w:t>
      </w:r>
      <w:r>
        <w:rPr>
          <w:rFonts w:hint="eastAsia"/>
          <w:color w:val="auto"/>
          <w:highlight w:val="none"/>
          <w:lang w:eastAsia="zh-CN"/>
        </w:rPr>
        <w:t>级洁净度级别场合时，角钢法兰螺栓孔和管件上铆钉孔间距均不应大于</w:t>
      </w:r>
      <w:r>
        <w:rPr>
          <w:color w:val="auto"/>
          <w:highlight w:val="none"/>
          <w:lang w:eastAsia="zh-CN"/>
        </w:rPr>
        <w:t>65mm</w:t>
      </w:r>
      <w:r>
        <w:rPr>
          <w:rFonts w:hint="eastAsia"/>
          <w:color w:val="auto"/>
          <w:highlight w:val="none"/>
          <w:lang w:eastAsia="zh-CN"/>
        </w:rPr>
        <w:t>，</w:t>
      </w:r>
      <w:r>
        <w:rPr>
          <w:color w:val="auto"/>
          <w:highlight w:val="none"/>
          <w:lang w:eastAsia="zh-CN"/>
        </w:rPr>
        <w:t>5</w:t>
      </w:r>
      <w:r>
        <w:rPr>
          <w:rFonts w:hint="eastAsia"/>
          <w:color w:val="auto"/>
          <w:highlight w:val="none"/>
          <w:lang w:eastAsia="zh-CN"/>
        </w:rPr>
        <w:t>级以下时不应大于</w:t>
      </w:r>
      <w:r>
        <w:rPr>
          <w:color w:val="auto"/>
          <w:highlight w:val="none"/>
          <w:lang w:eastAsia="zh-CN"/>
        </w:rPr>
        <w:t>100mm</w:t>
      </w:r>
      <w:r>
        <w:rPr>
          <w:rFonts w:hint="eastAsia"/>
          <w:color w:val="auto"/>
          <w:highlight w:val="none"/>
          <w:lang w:eastAsia="zh-CN"/>
        </w:rPr>
        <w:t>。薄壁法兰弹簧夹间距不应大于</w:t>
      </w:r>
      <w:r>
        <w:rPr>
          <w:color w:val="auto"/>
          <w:highlight w:val="none"/>
          <w:lang w:eastAsia="zh-CN"/>
        </w:rPr>
        <w:t>100mm</w:t>
      </w:r>
      <w:r>
        <w:rPr>
          <w:rFonts w:hint="eastAsia"/>
          <w:color w:val="auto"/>
          <w:highlight w:val="none"/>
          <w:lang w:eastAsia="zh-CN"/>
        </w:rPr>
        <w:t>，顶丝卡间距不应大于</w:t>
      </w:r>
      <w:r>
        <w:rPr>
          <w:color w:val="auto"/>
          <w:highlight w:val="none"/>
          <w:lang w:eastAsia="zh-CN"/>
        </w:rPr>
        <w:t>100mm</w:t>
      </w:r>
      <w:r>
        <w:rPr>
          <w:rFonts w:hint="eastAsia"/>
          <w:color w:val="auto"/>
          <w:highlight w:val="none"/>
          <w:lang w:eastAsia="zh-CN"/>
        </w:rPr>
        <w:t>。矩形法兰四角应设螺栓孔，法兰拼角缝应避开螺栓孔。螺栓、螺母、垫片和铆钉均应镀锌。</w:t>
      </w:r>
      <w:r>
        <w:rPr>
          <w:color w:val="auto"/>
          <w:highlight w:val="none"/>
          <w:lang w:eastAsia="zh-CN"/>
        </w:rPr>
        <w:t xml:space="preserve"> </w:t>
      </w:r>
    </w:p>
    <w:p>
      <w:pPr>
        <w:spacing w:line="360" w:lineRule="auto"/>
        <w:rPr>
          <w:color w:val="auto"/>
          <w:highlight w:val="none"/>
          <w:lang w:eastAsia="zh-CN"/>
        </w:rPr>
      </w:pPr>
      <w:r>
        <w:rPr>
          <w:rFonts w:hint="eastAsia"/>
          <w:color w:val="auto"/>
          <w:highlight w:val="none"/>
          <w:lang w:eastAsia="zh-CN"/>
        </w:rPr>
        <w:t>风管与镀锌法兰的连接，管壁厚度小于或等于</w:t>
      </w:r>
      <w:r>
        <w:rPr>
          <w:color w:val="auto"/>
          <w:highlight w:val="none"/>
          <w:lang w:eastAsia="zh-CN"/>
        </w:rPr>
        <w:t>1.5</w:t>
      </w:r>
      <w:r>
        <w:rPr>
          <w:rFonts w:hint="eastAsia"/>
          <w:color w:val="auto"/>
          <w:highlight w:val="none"/>
          <w:lang w:eastAsia="zh-CN"/>
        </w:rPr>
        <w:t>时，可采用翻边铆接，铆接应牢固；矩形风管的弯管，可采用内弧形或内斜线矩形弯管；矩形风管的三通或四通，可采用分叉式或分隔式；</w:t>
      </w:r>
      <w:r>
        <w:rPr>
          <w:color w:val="auto"/>
          <w:highlight w:val="none"/>
          <w:lang w:eastAsia="zh-CN"/>
        </w:rPr>
        <w:t xml:space="preserve"> </w:t>
      </w:r>
    </w:p>
    <w:p>
      <w:pPr>
        <w:spacing w:line="360" w:lineRule="auto"/>
        <w:rPr>
          <w:color w:val="auto"/>
          <w:highlight w:val="none"/>
          <w:lang w:eastAsia="zh-CN"/>
        </w:rPr>
      </w:pPr>
      <w:r>
        <w:rPr>
          <w:rFonts w:hint="eastAsia"/>
          <w:color w:val="auto"/>
          <w:highlight w:val="none"/>
          <w:lang w:eastAsia="zh-CN"/>
        </w:rPr>
        <w:t>风管上的测孔应在风管安装前装设与实际要求的部位，其结合处应严密牢固；不得采用楞筋方法加固，加固框或加固筋不得设在风管内；</w:t>
      </w:r>
    </w:p>
    <w:p>
      <w:pPr>
        <w:spacing w:line="360" w:lineRule="auto"/>
        <w:rPr>
          <w:color w:val="auto"/>
          <w:highlight w:val="none"/>
          <w:lang w:eastAsia="zh-CN"/>
        </w:rPr>
      </w:pPr>
      <w:r>
        <w:rPr>
          <w:rFonts w:hint="eastAsia"/>
          <w:color w:val="auto"/>
          <w:highlight w:val="none"/>
          <w:lang w:eastAsia="zh-CN"/>
        </w:rPr>
        <w:t>风管按洁净等级或设计要求，在咬口缝，铆钉缝以及法兰翻边四角等缝隙处采取涂密封胶或其它密封措施；</w:t>
      </w:r>
    </w:p>
    <w:p>
      <w:pPr>
        <w:spacing w:line="360" w:lineRule="auto"/>
        <w:rPr>
          <w:color w:val="auto"/>
          <w:highlight w:val="none"/>
          <w:lang w:eastAsia="zh-CN"/>
        </w:rPr>
      </w:pPr>
      <w:r>
        <w:rPr>
          <w:rFonts w:hint="eastAsia"/>
          <w:color w:val="auto"/>
          <w:highlight w:val="none"/>
          <w:lang w:eastAsia="zh-CN"/>
        </w:rPr>
        <w:t>风管经过严密性试验后进行保温，风管吊架处垫块采用防腐处理的木条或橡胶板（厚度与保温层同），以保证风管与支吊架不直接接触，从而保证与支架之间不产生冷桥；</w:t>
      </w:r>
    </w:p>
    <w:p>
      <w:pPr>
        <w:spacing w:line="360" w:lineRule="auto"/>
        <w:rPr>
          <w:color w:val="auto"/>
          <w:highlight w:val="none"/>
          <w:lang w:eastAsia="zh-CN"/>
        </w:rPr>
      </w:pPr>
      <w:r>
        <w:rPr>
          <w:rFonts w:hint="eastAsia"/>
          <w:color w:val="auto"/>
          <w:highlight w:val="none"/>
          <w:lang w:eastAsia="zh-CN"/>
        </w:rPr>
        <w:t>柔性短管应选用柔性好、表面光滑、不产尘、不透气和不产生静电的难燃材料制做，安装应松紧适度，无明显扭曲。安装在负压段的柔性短管应处于绷紧状态，不应出现扁瘪现象。柔性短管的长度一般为</w:t>
      </w:r>
      <w:r>
        <w:rPr>
          <w:color w:val="auto"/>
          <w:highlight w:val="none"/>
          <w:lang w:eastAsia="zh-CN"/>
        </w:rPr>
        <w:t>150~300mm</w:t>
      </w:r>
      <w:r>
        <w:rPr>
          <w:rFonts w:hint="eastAsia"/>
          <w:color w:val="auto"/>
          <w:highlight w:val="none"/>
          <w:lang w:eastAsia="zh-CN"/>
        </w:rPr>
        <w:t>，设于结构变形缝处的柔性短管，其长度宜为变形缝的宽度加</w:t>
      </w:r>
      <w:r>
        <w:rPr>
          <w:color w:val="auto"/>
          <w:highlight w:val="none"/>
          <w:lang w:eastAsia="zh-CN"/>
        </w:rPr>
        <w:t>100mm</w:t>
      </w:r>
      <w:r>
        <w:rPr>
          <w:rFonts w:hint="eastAsia"/>
          <w:color w:val="auto"/>
          <w:highlight w:val="none"/>
          <w:lang w:eastAsia="zh-CN"/>
        </w:rPr>
        <w:t>以上。不得以柔性短管当成找平找正的连接管或变径管。</w:t>
      </w:r>
    </w:p>
    <w:p>
      <w:pPr>
        <w:spacing w:line="360" w:lineRule="auto"/>
        <w:rPr>
          <w:color w:val="auto"/>
          <w:highlight w:val="none"/>
          <w:lang w:eastAsia="zh-CN"/>
        </w:rPr>
      </w:pPr>
      <w:r>
        <w:rPr>
          <w:rFonts w:hint="eastAsia"/>
          <w:color w:val="auto"/>
          <w:highlight w:val="none"/>
          <w:lang w:eastAsia="zh-CN"/>
        </w:rPr>
        <w:t>法兰密封垫应选用弹性好、不透气、不产尘的材料，首选多孔且闭孔的材料。严禁采用乳胶海棉、泡沫塑料、厚纸板等含开孔孔隙和易产尘、易老化的材料。密封垫厚度一般为</w:t>
      </w:r>
      <w:r>
        <w:rPr>
          <w:color w:val="auto"/>
          <w:highlight w:val="none"/>
          <w:lang w:eastAsia="zh-CN"/>
        </w:rPr>
        <w:t>5-8mm</w:t>
      </w:r>
      <w:r>
        <w:rPr>
          <w:rFonts w:hint="eastAsia"/>
          <w:color w:val="auto"/>
          <w:highlight w:val="none"/>
          <w:lang w:eastAsia="zh-CN"/>
        </w:rPr>
        <w:t>，一个系统法兰的密封垫的性能和尺寸应相同。严禁在密封垫上刷涂料。</w:t>
      </w:r>
    </w:p>
    <w:p>
      <w:pPr>
        <w:spacing w:line="360" w:lineRule="auto"/>
        <w:rPr>
          <w:color w:val="auto"/>
          <w:highlight w:val="none"/>
          <w:lang w:eastAsia="zh-CN"/>
        </w:rPr>
      </w:pPr>
      <w:r>
        <w:rPr>
          <w:rFonts w:hint="eastAsia"/>
          <w:color w:val="auto"/>
          <w:highlight w:val="none"/>
          <w:lang w:eastAsia="zh-CN"/>
        </w:rPr>
        <w:t>空气净化系统风管的制作，除应满足本节有关规定外，应符合下列规定：</w:t>
      </w:r>
    </w:p>
    <w:p>
      <w:pPr>
        <w:spacing w:line="360" w:lineRule="auto"/>
        <w:rPr>
          <w:color w:val="auto"/>
          <w:highlight w:val="none"/>
          <w:lang w:eastAsia="zh-CN"/>
        </w:rPr>
      </w:pPr>
      <w:r>
        <w:rPr>
          <w:rFonts w:hint="eastAsia"/>
          <w:color w:val="auto"/>
          <w:highlight w:val="none"/>
          <w:lang w:eastAsia="zh-CN"/>
        </w:rPr>
        <w:t>风管的板材加工前应去除板材表面油污及积尘，并应选用中性清洁剂清洗。</w:t>
      </w:r>
    </w:p>
    <w:p>
      <w:pPr>
        <w:spacing w:line="360" w:lineRule="auto"/>
        <w:rPr>
          <w:color w:val="auto"/>
          <w:highlight w:val="none"/>
          <w:lang w:eastAsia="zh-CN"/>
        </w:rPr>
      </w:pPr>
      <w:r>
        <w:rPr>
          <w:rFonts w:hint="eastAsia"/>
          <w:color w:val="auto"/>
          <w:highlight w:val="none"/>
          <w:lang w:eastAsia="zh-CN"/>
        </w:rPr>
        <w:t>施工现场应保持清洁。风管部件和设备搬运时不得碰伤，存放时应采取避免积尘和受潮的措施。</w:t>
      </w:r>
    </w:p>
    <w:p>
      <w:pPr>
        <w:spacing w:line="360" w:lineRule="auto"/>
        <w:rPr>
          <w:color w:val="auto"/>
          <w:highlight w:val="none"/>
          <w:lang w:eastAsia="zh-CN"/>
        </w:rPr>
      </w:pPr>
      <w:r>
        <w:rPr>
          <w:rFonts w:hint="eastAsia"/>
          <w:color w:val="auto"/>
          <w:highlight w:val="none"/>
          <w:lang w:eastAsia="zh-CN"/>
        </w:rPr>
        <w:t>板材应减少拼接。矩形风管底边宽度小于或等于</w:t>
      </w:r>
      <w:r>
        <w:rPr>
          <w:color w:val="auto"/>
          <w:highlight w:val="none"/>
          <w:lang w:eastAsia="zh-CN"/>
        </w:rPr>
        <w:t>900mm</w:t>
      </w:r>
      <w:r>
        <w:rPr>
          <w:rFonts w:hint="eastAsia"/>
          <w:color w:val="auto"/>
          <w:highlight w:val="none"/>
          <w:lang w:eastAsia="zh-CN"/>
        </w:rPr>
        <w:t>时，不应有拼接缝；大于</w:t>
      </w:r>
      <w:r>
        <w:rPr>
          <w:color w:val="auto"/>
          <w:highlight w:val="none"/>
          <w:lang w:eastAsia="zh-CN"/>
        </w:rPr>
        <w:t>900mm</w:t>
      </w:r>
      <w:r>
        <w:rPr>
          <w:rFonts w:hint="eastAsia"/>
          <w:color w:val="auto"/>
          <w:highlight w:val="none"/>
          <w:lang w:eastAsia="zh-CN"/>
        </w:rPr>
        <w:t>时，应减少纵向接缝，且不得有横向拼接缝。</w:t>
      </w:r>
    </w:p>
    <w:p>
      <w:pPr>
        <w:spacing w:line="360" w:lineRule="auto"/>
        <w:rPr>
          <w:color w:val="auto"/>
          <w:highlight w:val="none"/>
          <w:lang w:eastAsia="zh-CN"/>
        </w:rPr>
      </w:pPr>
      <w:r>
        <w:rPr>
          <w:rFonts w:hint="eastAsia"/>
          <w:color w:val="auto"/>
          <w:highlight w:val="none"/>
          <w:lang w:eastAsia="zh-CN"/>
        </w:rPr>
        <w:t>风管所用的螺钉、螺母、垫圈和铆钉均应采用镀锌或其它防腐措施，并不得采用抽芯铆钉。</w:t>
      </w:r>
    </w:p>
    <w:p>
      <w:pPr>
        <w:spacing w:line="360" w:lineRule="auto"/>
        <w:rPr>
          <w:color w:val="auto"/>
          <w:highlight w:val="none"/>
          <w:lang w:eastAsia="zh-CN"/>
        </w:rPr>
      </w:pPr>
      <w:r>
        <w:rPr>
          <w:rFonts w:hint="eastAsia"/>
          <w:color w:val="auto"/>
          <w:highlight w:val="none"/>
          <w:lang w:eastAsia="zh-CN"/>
        </w:rPr>
        <w:t>不得采用楞筋方法加固，加固框或加固筋不得设在风管内。</w:t>
      </w:r>
    </w:p>
    <w:p>
      <w:pPr>
        <w:spacing w:line="360" w:lineRule="auto"/>
        <w:rPr>
          <w:color w:val="auto"/>
          <w:highlight w:val="none"/>
          <w:lang w:eastAsia="zh-CN"/>
        </w:rPr>
      </w:pPr>
      <w:r>
        <w:rPr>
          <w:rFonts w:hint="eastAsia"/>
          <w:color w:val="auto"/>
          <w:highlight w:val="none"/>
          <w:lang w:eastAsia="zh-CN"/>
        </w:rPr>
        <w:t>风管应按洁净等级或设计要求，在咬口缝、铆钉缝以及法兰翻边四角等缝隙处采取密封措施。</w:t>
      </w:r>
    </w:p>
    <w:p>
      <w:pPr>
        <w:spacing w:line="360" w:lineRule="auto"/>
        <w:rPr>
          <w:color w:val="auto"/>
          <w:highlight w:val="none"/>
          <w:lang w:eastAsia="zh-CN"/>
        </w:rPr>
      </w:pPr>
      <w:r>
        <w:rPr>
          <w:rFonts w:hint="eastAsia"/>
          <w:color w:val="auto"/>
          <w:highlight w:val="none"/>
          <w:lang w:eastAsia="zh-CN"/>
        </w:rPr>
        <w:t>空气洁净度等级</w:t>
      </w:r>
      <w:r>
        <w:rPr>
          <w:color w:val="auto"/>
          <w:highlight w:val="none"/>
          <w:lang w:eastAsia="zh-CN"/>
        </w:rPr>
        <w:t>1</w:t>
      </w:r>
      <w:r>
        <w:rPr>
          <w:rFonts w:hint="eastAsia"/>
          <w:color w:val="auto"/>
          <w:highlight w:val="none"/>
          <w:lang w:eastAsia="zh-CN"/>
        </w:rPr>
        <w:t>～</w:t>
      </w:r>
      <w:r>
        <w:rPr>
          <w:color w:val="auto"/>
          <w:highlight w:val="none"/>
          <w:lang w:eastAsia="zh-CN"/>
        </w:rPr>
        <w:t>5</w:t>
      </w:r>
      <w:r>
        <w:rPr>
          <w:rFonts w:hint="eastAsia"/>
          <w:color w:val="auto"/>
          <w:highlight w:val="none"/>
          <w:lang w:eastAsia="zh-CN"/>
        </w:rPr>
        <w:t>级的净化空调系统风管不得采用按扣式咬口。</w:t>
      </w:r>
    </w:p>
    <w:p>
      <w:pPr>
        <w:spacing w:line="360" w:lineRule="auto"/>
        <w:rPr>
          <w:color w:val="auto"/>
          <w:highlight w:val="none"/>
          <w:lang w:eastAsia="zh-CN"/>
        </w:rPr>
      </w:pPr>
      <w:r>
        <w:rPr>
          <w:rFonts w:hint="eastAsia"/>
          <w:color w:val="auto"/>
          <w:highlight w:val="none"/>
          <w:lang w:eastAsia="zh-CN"/>
        </w:rPr>
        <w:t>风管加工完毕，经检验合格，封闭管口，运至工地，待安装。</w:t>
      </w:r>
    </w:p>
    <w:p>
      <w:pPr>
        <w:spacing w:line="360" w:lineRule="auto"/>
        <w:rPr>
          <w:color w:val="auto"/>
          <w:highlight w:val="none"/>
          <w:lang w:eastAsia="zh-CN"/>
        </w:rPr>
      </w:pPr>
    </w:p>
    <w:p>
      <w:pPr>
        <w:spacing w:line="360" w:lineRule="auto"/>
        <w:rPr>
          <w:color w:val="auto"/>
          <w:highlight w:val="none"/>
          <w:lang w:eastAsia="zh-CN"/>
        </w:rPr>
      </w:pPr>
      <w:r>
        <w:rPr>
          <w:rFonts w:hint="eastAsia"/>
          <w:color w:val="auto"/>
          <w:highlight w:val="none"/>
          <w:lang w:eastAsia="zh-CN"/>
        </w:rPr>
        <w:t>风管安装</w:t>
      </w:r>
    </w:p>
    <w:p>
      <w:pPr>
        <w:spacing w:line="360" w:lineRule="auto"/>
        <w:rPr>
          <w:color w:val="auto"/>
          <w:highlight w:val="none"/>
          <w:lang w:eastAsia="zh-CN"/>
        </w:rPr>
      </w:pPr>
      <w:r>
        <w:rPr>
          <w:rFonts w:hint="eastAsia"/>
          <w:color w:val="auto"/>
          <w:highlight w:val="none"/>
          <w:lang w:eastAsia="zh-CN"/>
        </w:rPr>
        <w:t>风管启封安装前必须做到对所安装的风管走向测位，放线，在安装吊架时，不允许边安装边敲打，避免灰尘进入风管。</w:t>
      </w:r>
    </w:p>
    <w:p>
      <w:pPr>
        <w:spacing w:line="360" w:lineRule="auto"/>
        <w:rPr>
          <w:color w:val="auto"/>
          <w:highlight w:val="none"/>
          <w:lang w:eastAsia="zh-CN"/>
        </w:rPr>
      </w:pPr>
      <w:r>
        <w:rPr>
          <w:rFonts w:hint="eastAsia"/>
          <w:color w:val="auto"/>
          <w:highlight w:val="none"/>
          <w:lang w:eastAsia="zh-CN"/>
        </w:rPr>
        <w:t>风管支吊架不得设在风口处，吊架不得直接吊在法兰上，风管与支、吊托架接触处应垫木块，宽度与支吊架角钢相同，高度比保温材料厚度大</w:t>
      </w:r>
      <w:r>
        <w:rPr>
          <w:color w:val="auto"/>
          <w:highlight w:val="none"/>
          <w:lang w:eastAsia="zh-CN"/>
        </w:rPr>
        <w:t>5mm</w:t>
      </w:r>
      <w:r>
        <w:rPr>
          <w:rFonts w:hint="eastAsia"/>
          <w:color w:val="auto"/>
          <w:highlight w:val="none"/>
          <w:lang w:eastAsia="zh-CN"/>
        </w:rPr>
        <w:t>。支吊架上的卡箍螺栓应待法兰盘拴紧后再拧紧。</w:t>
      </w:r>
    </w:p>
    <w:p>
      <w:pPr>
        <w:spacing w:line="360" w:lineRule="auto"/>
        <w:rPr>
          <w:color w:val="auto"/>
          <w:highlight w:val="none"/>
          <w:lang w:eastAsia="zh-CN"/>
        </w:rPr>
      </w:pPr>
      <w:r>
        <w:rPr>
          <w:rFonts w:hint="eastAsia"/>
          <w:color w:val="auto"/>
          <w:highlight w:val="none"/>
          <w:lang w:eastAsia="zh-CN"/>
        </w:rPr>
        <w:t>风管安装前应做清理现场，排除障碍，并检查所需的安装工具，检查脚手架是否牢靠，并检查风管组对管件接口的严密性和管段的平直度，风管水平度应用水平尺检验，水平偏差应该在</w:t>
      </w:r>
      <w:r>
        <w:rPr>
          <w:color w:val="auto"/>
          <w:highlight w:val="none"/>
          <w:lang w:eastAsia="zh-CN"/>
        </w:rPr>
        <w:t>2mm/m</w:t>
      </w:r>
      <w:r>
        <w:rPr>
          <w:rFonts w:hint="eastAsia"/>
          <w:color w:val="auto"/>
          <w:highlight w:val="none"/>
          <w:lang w:eastAsia="zh-CN"/>
        </w:rPr>
        <w:t>，总偏差在</w:t>
      </w:r>
      <w:r>
        <w:rPr>
          <w:color w:val="auto"/>
          <w:highlight w:val="none"/>
          <w:lang w:eastAsia="zh-CN"/>
        </w:rPr>
        <w:t>15mm</w:t>
      </w:r>
      <w:r>
        <w:rPr>
          <w:rFonts w:hint="eastAsia"/>
          <w:color w:val="auto"/>
          <w:highlight w:val="none"/>
          <w:lang w:eastAsia="zh-CN"/>
        </w:rPr>
        <w:t>以内，风管支、吊、托架及法兰的角钢，圆钢应涂二遍防锈漆进行防腐。</w:t>
      </w:r>
    </w:p>
    <w:p>
      <w:pPr>
        <w:spacing w:line="360" w:lineRule="auto"/>
        <w:rPr>
          <w:color w:val="auto"/>
          <w:highlight w:val="none"/>
          <w:lang w:eastAsia="zh-CN"/>
        </w:rPr>
      </w:pPr>
      <w:r>
        <w:rPr>
          <w:rFonts w:hint="eastAsia"/>
          <w:color w:val="auto"/>
          <w:highlight w:val="none"/>
          <w:lang w:eastAsia="zh-CN"/>
        </w:rPr>
        <w:t>风管按设计要求的连接方式。法兰之间衬以</w:t>
      </w:r>
      <w:r>
        <w:rPr>
          <w:rFonts w:hint="eastAsia"/>
          <w:color w:val="auto"/>
          <w:highlight w:val="none"/>
        </w:rPr>
        <w:t>δ</w:t>
      </w:r>
      <w:r>
        <w:rPr>
          <w:color w:val="auto"/>
          <w:highlight w:val="none"/>
          <w:lang w:eastAsia="zh-CN"/>
        </w:rPr>
        <w:t>=5mm</w:t>
      </w:r>
      <w:r>
        <w:rPr>
          <w:rFonts w:hint="eastAsia"/>
          <w:color w:val="auto"/>
          <w:highlight w:val="none"/>
          <w:lang w:eastAsia="zh-CN"/>
        </w:rPr>
        <w:t>厚闭孔橡胶板作密闭垫圈，防火阀的法兰垫圈采用</w:t>
      </w:r>
      <w:r>
        <w:rPr>
          <w:color w:val="auto"/>
          <w:highlight w:val="none"/>
          <w:lang w:eastAsia="zh-CN"/>
        </w:rPr>
        <w:t>3-5mm</w:t>
      </w:r>
      <w:r>
        <w:rPr>
          <w:rFonts w:hint="eastAsia"/>
          <w:color w:val="auto"/>
          <w:highlight w:val="none"/>
          <w:lang w:eastAsia="zh-CN"/>
        </w:rPr>
        <w:t>厚的石棉橡胶板，法兰接头应避免装在墙内或楼梯中。</w:t>
      </w:r>
    </w:p>
    <w:p>
      <w:pPr>
        <w:spacing w:line="360" w:lineRule="auto"/>
        <w:rPr>
          <w:color w:val="auto"/>
          <w:highlight w:val="none"/>
          <w:lang w:eastAsia="zh-CN"/>
        </w:rPr>
      </w:pPr>
      <w:r>
        <w:rPr>
          <w:rFonts w:hint="eastAsia"/>
          <w:color w:val="auto"/>
          <w:highlight w:val="none"/>
          <w:lang w:eastAsia="zh-CN"/>
        </w:rPr>
        <w:t>风机进出口，空调机进出口所用软管采用双层晴纶帆布，外涂自熄性隔气涂料。风管直角弯头内设导流叶片。</w:t>
      </w:r>
      <w:r>
        <w:rPr>
          <w:color w:val="auto"/>
          <w:highlight w:val="none"/>
          <w:lang w:eastAsia="zh-CN"/>
        </w:rPr>
        <w:t xml:space="preserve"> </w:t>
      </w:r>
    </w:p>
    <w:p>
      <w:pPr>
        <w:spacing w:line="360" w:lineRule="auto"/>
        <w:rPr>
          <w:color w:val="auto"/>
          <w:highlight w:val="none"/>
          <w:lang w:eastAsia="zh-CN"/>
        </w:rPr>
      </w:pPr>
      <w:r>
        <w:rPr>
          <w:rFonts w:hint="eastAsia"/>
          <w:color w:val="auto"/>
          <w:highlight w:val="none"/>
          <w:lang w:eastAsia="zh-CN"/>
        </w:rPr>
        <w:t>所有水平或垂直的风管，必须设置必要的支吊架或托架，其构造形式要确保牢固、可靠，当风管的周长小于等于</w:t>
      </w:r>
      <w:r>
        <w:rPr>
          <w:color w:val="auto"/>
          <w:highlight w:val="none"/>
          <w:lang w:eastAsia="zh-CN"/>
        </w:rPr>
        <w:t>400mm</w:t>
      </w:r>
      <w:r>
        <w:rPr>
          <w:rFonts w:hint="eastAsia"/>
          <w:color w:val="auto"/>
          <w:highlight w:val="none"/>
          <w:lang w:eastAsia="zh-CN"/>
        </w:rPr>
        <w:t>时，不大于</w:t>
      </w:r>
      <w:r>
        <w:rPr>
          <w:color w:val="auto"/>
          <w:highlight w:val="none"/>
          <w:lang w:eastAsia="zh-CN"/>
        </w:rPr>
        <w:t>4</w:t>
      </w:r>
      <w:r>
        <w:rPr>
          <w:rFonts w:hint="eastAsia"/>
          <w:color w:val="auto"/>
          <w:highlight w:val="none"/>
          <w:lang w:eastAsia="zh-CN"/>
        </w:rPr>
        <w:t>米，当风管的周长大于</w:t>
      </w:r>
      <w:r>
        <w:rPr>
          <w:color w:val="auto"/>
          <w:highlight w:val="none"/>
          <w:lang w:eastAsia="zh-CN"/>
        </w:rPr>
        <w:t>400mm</w:t>
      </w:r>
      <w:r>
        <w:rPr>
          <w:rFonts w:hint="eastAsia"/>
          <w:color w:val="auto"/>
          <w:highlight w:val="none"/>
          <w:lang w:eastAsia="zh-CN"/>
        </w:rPr>
        <w:t>时，不大于</w:t>
      </w:r>
      <w:r>
        <w:rPr>
          <w:color w:val="auto"/>
          <w:highlight w:val="none"/>
          <w:lang w:eastAsia="zh-CN"/>
        </w:rPr>
        <w:t>3</w:t>
      </w:r>
      <w:r>
        <w:rPr>
          <w:rFonts w:hint="eastAsia"/>
          <w:color w:val="auto"/>
          <w:highlight w:val="none"/>
          <w:lang w:eastAsia="zh-CN"/>
        </w:rPr>
        <w:t>米。风管弯头的弯曲率半径，不小于风管的高度或宽度。</w:t>
      </w:r>
    </w:p>
    <w:p>
      <w:pPr>
        <w:spacing w:line="360" w:lineRule="auto"/>
        <w:rPr>
          <w:color w:val="auto"/>
          <w:highlight w:val="none"/>
          <w:lang w:eastAsia="zh-CN"/>
        </w:rPr>
      </w:pPr>
      <w:r>
        <w:rPr>
          <w:rFonts w:hint="eastAsia"/>
          <w:color w:val="auto"/>
          <w:highlight w:val="none"/>
          <w:lang w:eastAsia="zh-CN"/>
        </w:rPr>
        <w:t>风管支吊架或托架应设置与保温层的外部，并在支吊架与风管间镶以填木，同时应避免在法兰、防火阀、调节阀等处设置单独支吊、托架。</w:t>
      </w:r>
    </w:p>
    <w:p>
      <w:pPr>
        <w:spacing w:line="360" w:lineRule="auto"/>
        <w:rPr>
          <w:color w:val="auto"/>
          <w:highlight w:val="none"/>
          <w:lang w:eastAsia="zh-CN"/>
        </w:rPr>
      </w:pPr>
      <w:r>
        <w:rPr>
          <w:rFonts w:hint="eastAsia"/>
          <w:color w:val="auto"/>
          <w:highlight w:val="none"/>
          <w:lang w:eastAsia="zh-CN"/>
        </w:rPr>
        <w:t>风管穿越楼板处做向上的翻口。宜在翻口处设风管支座，其风管结合预留孔封板一起施工。</w:t>
      </w:r>
    </w:p>
    <w:p>
      <w:pPr>
        <w:spacing w:line="360" w:lineRule="auto"/>
        <w:rPr>
          <w:color w:val="auto"/>
          <w:highlight w:val="none"/>
          <w:lang w:eastAsia="zh-CN"/>
        </w:rPr>
      </w:pPr>
      <w:r>
        <w:rPr>
          <w:rFonts w:hint="eastAsia"/>
          <w:color w:val="auto"/>
          <w:highlight w:val="none"/>
          <w:lang w:eastAsia="zh-CN"/>
        </w:rPr>
        <w:t>保温风管穿越墙体、楼板时，应采用厚度不小于</w:t>
      </w:r>
      <w:r>
        <w:rPr>
          <w:color w:val="auto"/>
          <w:highlight w:val="none"/>
          <w:lang w:eastAsia="zh-CN"/>
        </w:rPr>
        <w:t>0.75</w:t>
      </w:r>
      <w:r>
        <w:rPr>
          <w:rFonts w:hint="eastAsia"/>
          <w:color w:val="auto"/>
          <w:highlight w:val="none"/>
          <w:lang w:eastAsia="zh-CN"/>
        </w:rPr>
        <w:t>毫米的镀锌钢板做保护壳，保护壳端面应与墙面或楼板底面平齐，但应比楼板面高</w:t>
      </w:r>
      <w:r>
        <w:rPr>
          <w:color w:val="auto"/>
          <w:highlight w:val="none"/>
          <w:lang w:eastAsia="zh-CN"/>
        </w:rPr>
        <w:t>30</w:t>
      </w:r>
      <w:r>
        <w:rPr>
          <w:rFonts w:hint="eastAsia"/>
          <w:color w:val="auto"/>
          <w:highlight w:val="none"/>
          <w:lang w:eastAsia="zh-CN"/>
        </w:rPr>
        <w:t>毫米。</w:t>
      </w:r>
    </w:p>
    <w:p>
      <w:pPr>
        <w:spacing w:line="360" w:lineRule="auto"/>
        <w:rPr>
          <w:color w:val="auto"/>
          <w:highlight w:val="none"/>
          <w:lang w:eastAsia="zh-CN"/>
        </w:rPr>
      </w:pPr>
    </w:p>
    <w:p>
      <w:pPr>
        <w:spacing w:line="360" w:lineRule="auto"/>
        <w:rPr>
          <w:color w:val="auto"/>
          <w:highlight w:val="none"/>
          <w:lang w:eastAsia="zh-CN"/>
        </w:rPr>
      </w:pPr>
      <w:r>
        <w:rPr>
          <w:rFonts w:hint="eastAsia"/>
          <w:color w:val="auto"/>
          <w:highlight w:val="none"/>
          <w:lang w:eastAsia="zh-CN"/>
        </w:rPr>
        <w:t>部件及配件安装</w:t>
      </w:r>
    </w:p>
    <w:p>
      <w:pPr>
        <w:spacing w:line="360" w:lineRule="auto"/>
        <w:rPr>
          <w:color w:val="auto"/>
          <w:highlight w:val="none"/>
          <w:lang w:eastAsia="zh-CN"/>
        </w:rPr>
      </w:pPr>
      <w:r>
        <w:rPr>
          <w:rFonts w:hint="eastAsia"/>
          <w:color w:val="auto"/>
          <w:highlight w:val="none"/>
          <w:lang w:eastAsia="zh-CN"/>
        </w:rPr>
        <w:t>风阀、消声器等部件安装时必须消除内表面的油污和尘土。</w:t>
      </w:r>
    </w:p>
    <w:p>
      <w:pPr>
        <w:spacing w:line="360" w:lineRule="auto"/>
        <w:rPr>
          <w:color w:val="auto"/>
          <w:highlight w:val="none"/>
          <w:lang w:eastAsia="zh-CN"/>
        </w:rPr>
      </w:pPr>
      <w:r>
        <w:rPr>
          <w:color w:val="auto"/>
          <w:highlight w:val="none"/>
          <w:lang w:eastAsia="zh-CN"/>
        </w:rPr>
        <w:t xml:space="preserve"> </w:t>
      </w:r>
      <w:r>
        <w:rPr>
          <w:rFonts w:hint="eastAsia"/>
          <w:color w:val="auto"/>
          <w:highlight w:val="none"/>
          <w:lang w:eastAsia="zh-CN"/>
        </w:rPr>
        <w:t>风阀阀体与轴应同心，轴和阀体连接处缝隙应有密封措施，阀的各部分（包括外框、活动件、固定件及连接螺栓、螺帽、垫片等）表面应做镀锌、镀铬或喷塑处理，叶片及密封件表面应平整、光滑，叶片开启角度应有明显标志。</w:t>
      </w:r>
    </w:p>
    <w:p>
      <w:pPr>
        <w:spacing w:line="360" w:lineRule="auto"/>
        <w:rPr>
          <w:color w:val="auto"/>
          <w:highlight w:val="none"/>
          <w:lang w:eastAsia="zh-CN"/>
        </w:rPr>
      </w:pPr>
      <w:r>
        <w:rPr>
          <w:rFonts w:hint="eastAsia"/>
          <w:color w:val="auto"/>
          <w:highlight w:val="none"/>
          <w:lang w:eastAsia="zh-CN"/>
        </w:rPr>
        <w:t>定风量阀安装处的管内压力应大于阀的启动压力。入口前后直管长度应不小于该定风量阀产品要求的安装长度，一般宜有不小于</w:t>
      </w:r>
      <w:r>
        <w:rPr>
          <w:color w:val="auto"/>
          <w:highlight w:val="none"/>
          <w:lang w:eastAsia="zh-CN"/>
        </w:rPr>
        <w:t>1.5</w:t>
      </w:r>
      <w:r>
        <w:rPr>
          <w:rFonts w:hint="eastAsia"/>
          <w:color w:val="auto"/>
          <w:highlight w:val="none"/>
          <w:lang w:eastAsia="zh-CN"/>
        </w:rPr>
        <w:t>倍阀长或</w:t>
      </w:r>
      <w:r>
        <w:rPr>
          <w:color w:val="auto"/>
          <w:highlight w:val="none"/>
          <w:lang w:eastAsia="zh-CN"/>
        </w:rPr>
        <w:t>1.5</w:t>
      </w:r>
      <w:r>
        <w:rPr>
          <w:rFonts w:hint="eastAsia"/>
          <w:color w:val="auto"/>
          <w:highlight w:val="none"/>
          <w:lang w:eastAsia="zh-CN"/>
        </w:rPr>
        <w:t>倍阀径的直管段。安装方向与指示相同。</w:t>
      </w:r>
    </w:p>
    <w:p>
      <w:pPr>
        <w:spacing w:line="360" w:lineRule="auto"/>
        <w:rPr>
          <w:color w:val="auto"/>
          <w:highlight w:val="none"/>
          <w:lang w:eastAsia="zh-CN"/>
        </w:rPr>
      </w:pPr>
      <w:r>
        <w:rPr>
          <w:rFonts w:hint="eastAsia"/>
          <w:color w:val="auto"/>
          <w:highlight w:val="none"/>
          <w:lang w:eastAsia="zh-CN"/>
        </w:rPr>
        <w:t>防火阀的阀门调节装置应设置在便于操作及检修的部位，其中易熔件应在各项安装工作完毕后再安装。阀门在吊顶内安装时，应在易检查阀门开闭状态和进行手动复位的位置开检查口。</w:t>
      </w:r>
    </w:p>
    <w:p>
      <w:pPr>
        <w:spacing w:line="360" w:lineRule="auto"/>
        <w:rPr>
          <w:color w:val="auto"/>
          <w:highlight w:val="none"/>
          <w:lang w:eastAsia="zh-CN"/>
        </w:rPr>
      </w:pPr>
      <w:r>
        <w:rPr>
          <w:rFonts w:hint="eastAsia"/>
          <w:color w:val="auto"/>
          <w:highlight w:val="none"/>
          <w:lang w:eastAsia="zh-CN"/>
        </w:rPr>
        <w:t>消声器、消声弯头在安装时应单独设支、吊架。</w:t>
      </w:r>
    </w:p>
    <w:p>
      <w:pPr>
        <w:spacing w:line="360" w:lineRule="auto"/>
        <w:rPr>
          <w:color w:val="auto"/>
          <w:highlight w:val="none"/>
          <w:lang w:eastAsia="zh-CN"/>
        </w:rPr>
      </w:pPr>
      <w:r>
        <w:rPr>
          <w:rFonts w:hint="eastAsia"/>
          <w:color w:val="auto"/>
          <w:highlight w:val="none"/>
          <w:lang w:eastAsia="zh-CN"/>
        </w:rPr>
        <w:t>对有恒温要求的净化空调系统，消声器外壳应与风管同样作绝热处理。</w:t>
      </w:r>
    </w:p>
    <w:p>
      <w:pPr>
        <w:spacing w:line="360" w:lineRule="auto"/>
        <w:rPr>
          <w:color w:val="auto"/>
          <w:highlight w:val="none"/>
          <w:lang w:eastAsia="zh-CN"/>
        </w:rPr>
      </w:pPr>
      <w:r>
        <w:rPr>
          <w:rFonts w:hint="eastAsia"/>
          <w:color w:val="auto"/>
          <w:highlight w:val="none"/>
          <w:lang w:eastAsia="zh-CN"/>
        </w:rPr>
        <w:t>穿孔板消声器孔口毛刺必须锉平。</w:t>
      </w:r>
    </w:p>
    <w:p>
      <w:pPr>
        <w:spacing w:line="360" w:lineRule="auto"/>
        <w:rPr>
          <w:color w:val="auto"/>
          <w:highlight w:val="none"/>
          <w:lang w:eastAsia="zh-CN"/>
        </w:rPr>
      </w:pPr>
      <w:r>
        <w:rPr>
          <w:rFonts w:hint="eastAsia"/>
          <w:color w:val="auto"/>
          <w:highlight w:val="none"/>
          <w:lang w:eastAsia="zh-CN"/>
        </w:rPr>
        <w:t>消声器内充填的消声材料应不产尘、不掉渣（纤维）、不吸潮、无污染，不得用松散材料，纤维材料应为毡式材料，外覆可以防止纤维穿透的包材（如尼龙绸）。不应采用泡沫塑料和离心玻璃棉。</w:t>
      </w:r>
    </w:p>
    <w:p>
      <w:pPr>
        <w:spacing w:line="360" w:lineRule="auto"/>
        <w:rPr>
          <w:color w:val="auto"/>
          <w:highlight w:val="none"/>
          <w:lang w:eastAsia="zh-CN"/>
        </w:rPr>
      </w:pPr>
      <w:r>
        <w:rPr>
          <w:rFonts w:hint="eastAsia"/>
          <w:color w:val="auto"/>
          <w:highlight w:val="none"/>
          <w:lang w:eastAsia="zh-CN"/>
        </w:rPr>
        <w:t>消声器应安在气流平稳的直管段上。</w:t>
      </w:r>
    </w:p>
    <w:p>
      <w:pPr>
        <w:spacing w:line="360" w:lineRule="auto"/>
        <w:rPr>
          <w:color w:val="auto"/>
          <w:highlight w:val="none"/>
          <w:lang w:eastAsia="zh-CN"/>
        </w:rPr>
      </w:pPr>
      <w:r>
        <w:rPr>
          <w:rFonts w:hint="eastAsia"/>
          <w:color w:val="auto"/>
          <w:highlight w:val="none"/>
          <w:lang w:eastAsia="zh-CN"/>
        </w:rPr>
        <w:t>净化空调系统绝热工程施工应在系统严密性检验合格后进行。</w:t>
      </w:r>
    </w:p>
    <w:p>
      <w:pPr>
        <w:spacing w:line="360" w:lineRule="auto"/>
        <w:rPr>
          <w:color w:val="auto"/>
          <w:highlight w:val="none"/>
          <w:lang w:eastAsia="zh-CN"/>
        </w:rPr>
      </w:pPr>
      <w:r>
        <w:rPr>
          <w:rFonts w:hint="eastAsia"/>
          <w:color w:val="auto"/>
          <w:highlight w:val="none"/>
          <w:lang w:eastAsia="zh-CN"/>
        </w:rPr>
        <w:t>风管绝热材料应采用有检验合格证明的不燃或难燃材料，宜用板材粘贴形式，必要时加防潮层。</w:t>
      </w:r>
    </w:p>
    <w:p>
      <w:pPr>
        <w:spacing w:line="360" w:lineRule="auto"/>
        <w:rPr>
          <w:color w:val="auto"/>
          <w:highlight w:val="none"/>
          <w:lang w:eastAsia="zh-CN"/>
        </w:rPr>
      </w:pPr>
      <w:r>
        <w:rPr>
          <w:rFonts w:hint="eastAsia"/>
          <w:color w:val="auto"/>
          <w:highlight w:val="none"/>
          <w:lang w:eastAsia="zh-CN"/>
        </w:rPr>
        <w:t>有开孔的风管，应在绝热后再安装，并在开孔处独立绝热。风管绝热后，禁止在绝热层上开洞和上螺栓。风阀和清扫孔的绝热措施不应妨碍阀和门的开关。</w:t>
      </w:r>
    </w:p>
    <w:p>
      <w:pPr>
        <w:spacing w:line="360" w:lineRule="auto"/>
        <w:rPr>
          <w:color w:val="auto"/>
          <w:highlight w:val="none"/>
          <w:lang w:eastAsia="zh-CN"/>
        </w:rPr>
      </w:pPr>
      <w:r>
        <w:rPr>
          <w:color w:val="auto"/>
          <w:highlight w:val="none"/>
          <w:lang w:eastAsia="zh-CN"/>
        </w:rPr>
        <w:t xml:space="preserve"> </w:t>
      </w:r>
      <w:r>
        <w:rPr>
          <w:rFonts w:hint="eastAsia"/>
          <w:color w:val="auto"/>
          <w:highlight w:val="none"/>
          <w:lang w:eastAsia="zh-CN"/>
        </w:rPr>
        <w:t>电阻式电加热器如安在风管上，加热器及其前后各</w:t>
      </w:r>
      <w:r>
        <w:rPr>
          <w:color w:val="auto"/>
          <w:highlight w:val="none"/>
          <w:lang w:eastAsia="zh-CN"/>
        </w:rPr>
        <w:t>800mm</w:t>
      </w:r>
      <w:r>
        <w:rPr>
          <w:rFonts w:hint="eastAsia"/>
          <w:color w:val="auto"/>
          <w:highlight w:val="none"/>
          <w:lang w:eastAsia="zh-CN"/>
        </w:rPr>
        <w:t>的风管绝热材料，必须为耐高温不燃材料。</w:t>
      </w:r>
    </w:p>
    <w:p>
      <w:pPr>
        <w:spacing w:line="360" w:lineRule="auto"/>
        <w:rPr>
          <w:color w:val="auto"/>
          <w:highlight w:val="none"/>
          <w:lang w:eastAsia="zh-CN"/>
        </w:rPr>
      </w:pPr>
      <w:r>
        <w:rPr>
          <w:rFonts w:hint="eastAsia"/>
          <w:color w:val="auto"/>
          <w:highlight w:val="none"/>
          <w:lang w:eastAsia="zh-CN"/>
        </w:rPr>
        <w:t>当绝热风管位于室外时，应在管外增设防晒、防雨淋等保护壳。</w:t>
      </w:r>
    </w:p>
    <w:p>
      <w:pPr>
        <w:spacing w:line="360" w:lineRule="auto"/>
        <w:rPr>
          <w:color w:val="auto"/>
          <w:highlight w:val="none"/>
          <w:lang w:eastAsia="zh-CN"/>
        </w:rPr>
      </w:pPr>
    </w:p>
    <w:p>
      <w:pPr>
        <w:spacing w:line="360" w:lineRule="auto"/>
        <w:rPr>
          <w:color w:val="auto"/>
          <w:highlight w:val="none"/>
          <w:lang w:eastAsia="zh-CN"/>
        </w:rPr>
      </w:pPr>
      <w:r>
        <w:rPr>
          <w:rFonts w:hint="eastAsia"/>
          <w:color w:val="auto"/>
          <w:highlight w:val="none"/>
          <w:lang w:eastAsia="zh-CN"/>
        </w:rPr>
        <w:t>风口的安装</w:t>
      </w:r>
    </w:p>
    <w:p>
      <w:pPr>
        <w:spacing w:line="360" w:lineRule="auto"/>
        <w:rPr>
          <w:color w:val="auto"/>
          <w:highlight w:val="none"/>
          <w:lang w:eastAsia="zh-CN"/>
        </w:rPr>
      </w:pPr>
      <w:r>
        <w:rPr>
          <w:rFonts w:hint="eastAsia"/>
          <w:color w:val="auto"/>
          <w:highlight w:val="none"/>
          <w:lang w:eastAsia="zh-CN"/>
        </w:rPr>
        <w:t>系统新风口与排风口距离应在</w:t>
      </w:r>
      <w:r>
        <w:rPr>
          <w:color w:val="auto"/>
          <w:highlight w:val="none"/>
          <w:lang w:eastAsia="zh-CN"/>
        </w:rPr>
        <w:t>8m</w:t>
      </w:r>
      <w:r>
        <w:rPr>
          <w:rFonts w:hint="eastAsia"/>
          <w:color w:val="auto"/>
          <w:highlight w:val="none"/>
          <w:lang w:eastAsia="zh-CN"/>
        </w:rPr>
        <w:t>以上，并处于排风口下方和上风向。入口处必须有挡雨措施，通风面积应使通过风速不大于</w:t>
      </w:r>
      <w:r>
        <w:rPr>
          <w:color w:val="auto"/>
          <w:highlight w:val="none"/>
          <w:lang w:eastAsia="zh-CN"/>
        </w:rPr>
        <w:t>3m/s</w:t>
      </w:r>
      <w:r>
        <w:rPr>
          <w:rFonts w:hint="eastAsia"/>
          <w:color w:val="auto"/>
          <w:highlight w:val="none"/>
          <w:lang w:eastAsia="zh-CN"/>
        </w:rPr>
        <w:t>。</w:t>
      </w:r>
    </w:p>
    <w:p>
      <w:pPr>
        <w:spacing w:line="360" w:lineRule="auto"/>
        <w:rPr>
          <w:color w:val="auto"/>
          <w:highlight w:val="none"/>
          <w:lang w:eastAsia="zh-CN"/>
        </w:rPr>
      </w:pPr>
      <w:r>
        <w:rPr>
          <w:rFonts w:hint="eastAsia"/>
          <w:color w:val="auto"/>
          <w:highlight w:val="none"/>
          <w:lang w:eastAsia="zh-CN"/>
        </w:rPr>
        <w:t>新风入口处最外端应有金属滤网，要便于清扫其上的积尘、积物。</w:t>
      </w:r>
    </w:p>
    <w:p>
      <w:pPr>
        <w:spacing w:line="360" w:lineRule="auto"/>
        <w:rPr>
          <w:color w:val="auto"/>
          <w:highlight w:val="none"/>
          <w:lang w:eastAsia="zh-CN"/>
        </w:rPr>
      </w:pPr>
      <w:r>
        <w:rPr>
          <w:rFonts w:hint="eastAsia"/>
          <w:color w:val="auto"/>
          <w:highlight w:val="none"/>
          <w:lang w:eastAsia="zh-CN"/>
        </w:rPr>
        <w:t>新风过滤装置的安装应使更换过滤器，检查压差显示或报警装置方便。</w:t>
      </w:r>
    </w:p>
    <w:p>
      <w:pPr>
        <w:spacing w:line="360" w:lineRule="auto"/>
        <w:rPr>
          <w:color w:val="auto"/>
          <w:highlight w:val="none"/>
          <w:lang w:eastAsia="zh-CN"/>
        </w:rPr>
      </w:pPr>
      <w:r>
        <w:rPr>
          <w:rFonts w:hint="eastAsia"/>
          <w:color w:val="auto"/>
          <w:highlight w:val="none"/>
          <w:lang w:eastAsia="zh-CN"/>
        </w:rPr>
        <w:t>回风口上的格栅必须是竖向的，宜为可调至关闭的，室内格栅通风面积应使通风速度不大于</w:t>
      </w:r>
      <w:r>
        <w:rPr>
          <w:color w:val="auto"/>
          <w:highlight w:val="none"/>
          <w:lang w:eastAsia="zh-CN"/>
        </w:rPr>
        <w:t>1.5m/s</w:t>
      </w:r>
      <w:r>
        <w:rPr>
          <w:rFonts w:hint="eastAsia"/>
          <w:color w:val="auto"/>
          <w:highlight w:val="none"/>
          <w:lang w:eastAsia="zh-CN"/>
        </w:rPr>
        <w:t>，走廊等场所不大于</w:t>
      </w:r>
      <w:r>
        <w:rPr>
          <w:color w:val="auto"/>
          <w:highlight w:val="none"/>
          <w:lang w:eastAsia="zh-CN"/>
        </w:rPr>
        <w:t>2m/s</w:t>
      </w:r>
      <w:r>
        <w:rPr>
          <w:rFonts w:hint="eastAsia"/>
          <w:color w:val="auto"/>
          <w:highlight w:val="none"/>
          <w:lang w:eastAsia="zh-CN"/>
        </w:rPr>
        <w:t>。</w:t>
      </w:r>
    </w:p>
    <w:p>
      <w:pPr>
        <w:spacing w:line="360" w:lineRule="auto"/>
        <w:rPr>
          <w:color w:val="auto"/>
          <w:highlight w:val="none"/>
          <w:lang w:eastAsia="zh-CN"/>
        </w:rPr>
      </w:pPr>
      <w:r>
        <w:rPr>
          <w:color w:val="auto"/>
          <w:highlight w:val="none"/>
          <w:lang w:eastAsia="zh-CN"/>
        </w:rPr>
        <w:t xml:space="preserve"> </w:t>
      </w:r>
      <w:r>
        <w:rPr>
          <w:rFonts w:hint="eastAsia"/>
          <w:color w:val="auto"/>
          <w:highlight w:val="none"/>
          <w:lang w:eastAsia="zh-CN"/>
        </w:rPr>
        <w:t>回风口的安装应使在室内更换回风过滤器方便。</w:t>
      </w:r>
    </w:p>
    <w:p>
      <w:pPr>
        <w:spacing w:line="360" w:lineRule="auto"/>
        <w:rPr>
          <w:color w:val="auto"/>
          <w:highlight w:val="none"/>
          <w:lang w:eastAsia="zh-CN"/>
        </w:rPr>
      </w:pPr>
    </w:p>
    <w:p>
      <w:pPr>
        <w:spacing w:line="360" w:lineRule="auto"/>
        <w:rPr>
          <w:color w:val="auto"/>
          <w:highlight w:val="none"/>
          <w:lang w:eastAsia="zh-CN"/>
        </w:rPr>
      </w:pPr>
      <w:r>
        <w:rPr>
          <w:rFonts w:hint="eastAsia"/>
          <w:color w:val="auto"/>
          <w:highlight w:val="none"/>
          <w:lang w:eastAsia="zh-CN"/>
        </w:rPr>
        <w:t>风管漏风检验</w:t>
      </w:r>
    </w:p>
    <w:p>
      <w:pPr>
        <w:spacing w:line="360" w:lineRule="auto"/>
        <w:rPr>
          <w:color w:val="auto"/>
          <w:highlight w:val="none"/>
          <w:lang w:eastAsia="zh-CN"/>
        </w:rPr>
      </w:pPr>
      <w:r>
        <w:rPr>
          <w:rFonts w:hint="eastAsia"/>
          <w:color w:val="auto"/>
          <w:highlight w:val="none"/>
          <w:lang w:eastAsia="zh-CN"/>
        </w:rPr>
        <w:t>风管及部件安装完毕后，应按系统压力等级进行严密性检验。系统风管的严密性检验应符合漏光法检测和漏风量测试的规定。</w:t>
      </w:r>
    </w:p>
    <w:p>
      <w:pPr>
        <w:spacing w:line="360" w:lineRule="auto"/>
        <w:rPr>
          <w:color w:val="auto"/>
          <w:highlight w:val="none"/>
          <w:lang w:eastAsia="zh-CN"/>
        </w:rPr>
      </w:pPr>
      <w:r>
        <w:rPr>
          <w:rFonts w:hint="eastAsia"/>
          <w:color w:val="auto"/>
          <w:highlight w:val="none"/>
          <w:lang w:eastAsia="zh-CN"/>
        </w:rPr>
        <w:t>低压系统的严密性检验宜采用抽检，抽检率为</w:t>
      </w:r>
      <w:r>
        <w:rPr>
          <w:color w:val="auto"/>
          <w:highlight w:val="none"/>
          <w:lang w:eastAsia="zh-CN"/>
        </w:rPr>
        <w:t>5%</w:t>
      </w:r>
      <w:r>
        <w:rPr>
          <w:rFonts w:hint="eastAsia"/>
          <w:color w:val="auto"/>
          <w:highlight w:val="none"/>
          <w:lang w:eastAsia="zh-CN"/>
        </w:rPr>
        <w:t>，且抽检不得少于一人系统。在加工工艺及安装操作质量行到保证的前提下，采用漏光法检测。漏光检测不合格时，应按规定的抽检率，作漏风量测试。</w:t>
      </w:r>
    </w:p>
    <w:p>
      <w:pPr>
        <w:spacing w:line="360" w:lineRule="auto"/>
        <w:rPr>
          <w:color w:val="auto"/>
          <w:highlight w:val="none"/>
          <w:lang w:eastAsia="zh-CN"/>
        </w:rPr>
      </w:pPr>
      <w:r>
        <w:rPr>
          <w:rFonts w:hint="eastAsia"/>
          <w:color w:val="auto"/>
          <w:highlight w:val="none"/>
          <w:lang w:eastAsia="zh-CN"/>
        </w:rPr>
        <w:t>中压系统的严密性检验，应严格的漏光检测合格条件下，对系统风管漏风量测试抽检，抽检率为</w:t>
      </w:r>
      <w:r>
        <w:rPr>
          <w:color w:val="auto"/>
          <w:highlight w:val="none"/>
          <w:lang w:eastAsia="zh-CN"/>
        </w:rPr>
        <w:t>20%</w:t>
      </w:r>
      <w:r>
        <w:rPr>
          <w:rFonts w:hint="eastAsia"/>
          <w:color w:val="auto"/>
          <w:highlight w:val="none"/>
          <w:lang w:eastAsia="zh-CN"/>
        </w:rPr>
        <w:t>，且抽检不得少于一个系统。</w:t>
      </w:r>
    </w:p>
    <w:p>
      <w:pPr>
        <w:spacing w:line="360" w:lineRule="auto"/>
        <w:rPr>
          <w:color w:val="auto"/>
          <w:highlight w:val="none"/>
          <w:lang w:eastAsia="zh-CN"/>
        </w:rPr>
      </w:pPr>
      <w:r>
        <w:rPr>
          <w:rFonts w:hint="eastAsia"/>
          <w:color w:val="auto"/>
          <w:highlight w:val="none"/>
          <w:lang w:eastAsia="zh-CN"/>
        </w:rPr>
        <w:t>高压系统应全数进行漏风量测试。</w:t>
      </w:r>
    </w:p>
    <w:p>
      <w:pPr>
        <w:spacing w:line="360" w:lineRule="auto"/>
        <w:rPr>
          <w:color w:val="auto"/>
          <w:highlight w:val="none"/>
          <w:lang w:eastAsia="zh-CN"/>
        </w:rPr>
      </w:pPr>
      <w:r>
        <w:rPr>
          <w:rFonts w:hint="eastAsia"/>
          <w:color w:val="auto"/>
          <w:highlight w:val="none"/>
          <w:lang w:eastAsia="zh-CN"/>
        </w:rPr>
        <w:t>系统风管漏风量测试被抽检系统应全数合格。如有不合格时，应加倍抽检直至全数合格。</w:t>
      </w:r>
    </w:p>
    <w:p>
      <w:pPr>
        <w:spacing w:line="360" w:lineRule="auto"/>
        <w:rPr>
          <w:color w:val="auto"/>
          <w:highlight w:val="none"/>
          <w:lang w:eastAsia="zh-CN"/>
        </w:rPr>
      </w:pPr>
    </w:p>
    <w:p>
      <w:pPr>
        <w:spacing w:line="360" w:lineRule="auto"/>
        <w:rPr>
          <w:color w:val="auto"/>
          <w:highlight w:val="none"/>
          <w:lang w:eastAsia="zh-CN"/>
        </w:rPr>
      </w:pPr>
      <w:r>
        <w:rPr>
          <w:rFonts w:hint="eastAsia"/>
          <w:color w:val="auto"/>
          <w:highlight w:val="none"/>
          <w:lang w:eastAsia="zh-CN"/>
        </w:rPr>
        <w:t>质量检验与工程验收</w:t>
      </w:r>
    </w:p>
    <w:p>
      <w:pPr>
        <w:spacing w:line="360" w:lineRule="auto"/>
        <w:rPr>
          <w:color w:val="auto"/>
          <w:highlight w:val="none"/>
          <w:lang w:eastAsia="zh-CN"/>
        </w:rPr>
      </w:pPr>
      <w:r>
        <w:rPr>
          <w:rFonts w:hint="eastAsia"/>
          <w:color w:val="auto"/>
          <w:highlight w:val="none"/>
          <w:lang w:eastAsia="zh-CN"/>
        </w:rPr>
        <w:t>金属风管及配件制作质量要求应符合《通风与空调工程施工质量验收规范》</w:t>
      </w:r>
      <w:r>
        <w:rPr>
          <w:color w:val="auto"/>
          <w:highlight w:val="none"/>
          <w:lang w:eastAsia="zh-CN"/>
        </w:rPr>
        <w:t>(GB50243-2002)</w:t>
      </w:r>
      <w:r>
        <w:rPr>
          <w:rFonts w:hint="eastAsia"/>
          <w:color w:val="auto"/>
          <w:highlight w:val="none"/>
          <w:lang w:eastAsia="zh-CN"/>
        </w:rPr>
        <w:t>的规定。</w:t>
      </w:r>
    </w:p>
    <w:tbl>
      <w:tblPr>
        <w:tblStyle w:val="85"/>
        <w:tblW w:w="8336" w:type="dxa"/>
        <w:tblCellSpacing w:w="0" w:type="dxa"/>
        <w:tblInd w:w="15" w:type="dxa"/>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fixed"/>
        <w:tblCellMar>
          <w:top w:w="0" w:type="dxa"/>
          <w:left w:w="0" w:type="dxa"/>
          <w:bottom w:w="0" w:type="dxa"/>
          <w:right w:w="0" w:type="dxa"/>
        </w:tblCellMar>
      </w:tblPr>
      <w:tblGrid>
        <w:gridCol w:w="458"/>
        <w:gridCol w:w="531"/>
        <w:gridCol w:w="3864"/>
        <w:gridCol w:w="3483"/>
      </w:tblGrid>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blCellSpacing w:w="0" w:type="dxa"/>
        </w:trPr>
        <w:tc>
          <w:tcPr>
            <w:tcW w:w="458" w:type="dxa"/>
            <w:tcBorders>
              <w:top w:val="outset" w:color="auto" w:sz="6" w:space="0"/>
              <w:bottom w:val="outset" w:color="auto" w:sz="6" w:space="0"/>
              <w:right w:val="outset" w:color="auto" w:sz="6" w:space="0"/>
            </w:tcBorders>
            <w:vAlign w:val="center"/>
          </w:tcPr>
          <w:p>
            <w:pPr>
              <w:rPr>
                <w:color w:val="auto"/>
                <w:highlight w:val="none"/>
              </w:rPr>
            </w:pPr>
            <w:r>
              <w:rPr>
                <w:rFonts w:hint="eastAsia"/>
                <w:color w:val="auto"/>
                <w:highlight w:val="none"/>
              </w:rPr>
              <w:t>项</w:t>
            </w:r>
          </w:p>
        </w:tc>
        <w:tc>
          <w:tcPr>
            <w:tcW w:w="531" w:type="dxa"/>
            <w:tcBorders>
              <w:top w:val="outset" w:color="auto" w:sz="6" w:space="0"/>
              <w:left w:val="outset" w:color="auto" w:sz="6" w:space="0"/>
              <w:bottom w:val="outset" w:color="auto" w:sz="6" w:space="0"/>
              <w:right w:val="outset" w:color="auto" w:sz="6" w:space="0"/>
            </w:tcBorders>
            <w:vAlign w:val="center"/>
          </w:tcPr>
          <w:p>
            <w:pPr>
              <w:rPr>
                <w:color w:val="auto"/>
                <w:highlight w:val="none"/>
              </w:rPr>
            </w:pPr>
            <w:r>
              <w:rPr>
                <w:rFonts w:hint="eastAsia"/>
                <w:color w:val="auto"/>
                <w:highlight w:val="none"/>
              </w:rPr>
              <w:t>序</w:t>
            </w:r>
          </w:p>
        </w:tc>
        <w:tc>
          <w:tcPr>
            <w:tcW w:w="3864" w:type="dxa"/>
            <w:tcBorders>
              <w:top w:val="outset" w:color="auto" w:sz="6" w:space="0"/>
              <w:left w:val="outset" w:color="auto" w:sz="6" w:space="0"/>
              <w:bottom w:val="outset" w:color="auto" w:sz="6" w:space="0"/>
              <w:right w:val="outset" w:color="auto" w:sz="6" w:space="0"/>
            </w:tcBorders>
            <w:vAlign w:val="center"/>
          </w:tcPr>
          <w:p>
            <w:pPr>
              <w:rPr>
                <w:color w:val="auto"/>
                <w:highlight w:val="none"/>
              </w:rPr>
            </w:pPr>
            <w:r>
              <w:rPr>
                <w:rFonts w:hint="eastAsia"/>
                <w:color w:val="auto"/>
                <w:highlight w:val="none"/>
              </w:rPr>
              <w:t>检查项目</w:t>
            </w:r>
          </w:p>
        </w:tc>
        <w:tc>
          <w:tcPr>
            <w:tcW w:w="3483" w:type="dxa"/>
            <w:tcBorders>
              <w:top w:val="outset" w:color="auto" w:sz="6" w:space="0"/>
              <w:left w:val="outset" w:color="auto" w:sz="6" w:space="0"/>
              <w:bottom w:val="outset" w:color="auto" w:sz="6" w:space="0"/>
            </w:tcBorders>
            <w:vAlign w:val="center"/>
          </w:tcPr>
          <w:p>
            <w:pPr>
              <w:rPr>
                <w:color w:val="auto"/>
                <w:highlight w:val="none"/>
              </w:rPr>
            </w:pPr>
            <w:r>
              <w:rPr>
                <w:rFonts w:hint="eastAsia"/>
                <w:color w:val="auto"/>
                <w:highlight w:val="none"/>
              </w:rPr>
              <w:t>允许偏差或允许值</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blCellSpacing w:w="0" w:type="dxa"/>
        </w:trPr>
        <w:tc>
          <w:tcPr>
            <w:tcW w:w="458" w:type="dxa"/>
            <w:vMerge w:val="restart"/>
            <w:tcBorders>
              <w:top w:val="outset" w:color="auto" w:sz="6" w:space="0"/>
              <w:bottom w:val="outset" w:color="auto" w:sz="6" w:space="0"/>
              <w:right w:val="outset" w:color="auto" w:sz="6" w:space="0"/>
            </w:tcBorders>
            <w:vAlign w:val="center"/>
          </w:tcPr>
          <w:p>
            <w:pPr>
              <w:rPr>
                <w:color w:val="auto"/>
                <w:highlight w:val="none"/>
              </w:rPr>
            </w:pPr>
            <w:r>
              <w:rPr>
                <w:rFonts w:hint="eastAsia"/>
                <w:color w:val="auto"/>
                <w:highlight w:val="none"/>
              </w:rPr>
              <w:t>主控项目</w:t>
            </w:r>
          </w:p>
        </w:tc>
        <w:tc>
          <w:tcPr>
            <w:tcW w:w="531" w:type="dxa"/>
            <w:tcBorders>
              <w:top w:val="outset" w:color="auto" w:sz="6" w:space="0"/>
              <w:left w:val="outset" w:color="auto" w:sz="6" w:space="0"/>
              <w:bottom w:val="outset" w:color="auto" w:sz="6" w:space="0"/>
              <w:right w:val="outset" w:color="auto" w:sz="6" w:space="0"/>
            </w:tcBorders>
            <w:vAlign w:val="center"/>
          </w:tcPr>
          <w:p>
            <w:pPr>
              <w:rPr>
                <w:color w:val="auto"/>
                <w:highlight w:val="none"/>
              </w:rPr>
            </w:pPr>
            <w:r>
              <w:rPr>
                <w:color w:val="auto"/>
                <w:highlight w:val="none"/>
              </w:rPr>
              <w:t>1</w:t>
            </w:r>
          </w:p>
        </w:tc>
        <w:tc>
          <w:tcPr>
            <w:tcW w:w="3864" w:type="dxa"/>
            <w:tcBorders>
              <w:top w:val="outset" w:color="auto" w:sz="6" w:space="0"/>
              <w:left w:val="outset" w:color="auto" w:sz="6" w:space="0"/>
              <w:bottom w:val="outset" w:color="auto" w:sz="6" w:space="0"/>
              <w:right w:val="outset" w:color="auto" w:sz="6" w:space="0"/>
            </w:tcBorders>
            <w:vAlign w:val="center"/>
          </w:tcPr>
          <w:p>
            <w:pPr>
              <w:rPr>
                <w:color w:val="auto"/>
                <w:highlight w:val="none"/>
                <w:lang w:eastAsia="zh-CN"/>
              </w:rPr>
            </w:pPr>
            <w:r>
              <w:rPr>
                <w:rFonts w:hint="eastAsia"/>
                <w:color w:val="auto"/>
                <w:highlight w:val="none"/>
                <w:lang w:eastAsia="zh-CN"/>
              </w:rPr>
              <w:t>材料种类、性能及厚度</w:t>
            </w:r>
          </w:p>
        </w:tc>
        <w:tc>
          <w:tcPr>
            <w:tcW w:w="3483" w:type="dxa"/>
            <w:tcBorders>
              <w:top w:val="outset" w:color="auto" w:sz="6" w:space="0"/>
              <w:left w:val="outset" w:color="auto" w:sz="6" w:space="0"/>
              <w:bottom w:val="outset" w:color="auto" w:sz="6" w:space="0"/>
            </w:tcBorders>
            <w:vAlign w:val="center"/>
          </w:tcPr>
          <w:p>
            <w:pPr>
              <w:rPr>
                <w:color w:val="auto"/>
                <w:highlight w:val="none"/>
              </w:rPr>
            </w:pPr>
            <w:r>
              <w:rPr>
                <w:rFonts w:hint="eastAsia"/>
                <w:color w:val="auto"/>
                <w:highlight w:val="none"/>
              </w:rPr>
              <w:t>第</w:t>
            </w:r>
            <w:r>
              <w:rPr>
                <w:color w:val="auto"/>
                <w:highlight w:val="none"/>
              </w:rPr>
              <w:t>4.2.1</w:t>
            </w:r>
            <w:r>
              <w:rPr>
                <w:rFonts w:hint="eastAsia"/>
                <w:color w:val="auto"/>
                <w:highlight w:val="none"/>
              </w:rPr>
              <w:t>条</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blCellSpacing w:w="0" w:type="dxa"/>
        </w:trPr>
        <w:tc>
          <w:tcPr>
            <w:tcW w:w="458" w:type="dxa"/>
            <w:vMerge w:val="continue"/>
            <w:tcBorders>
              <w:top w:val="outset" w:color="auto" w:sz="6" w:space="0"/>
              <w:bottom w:val="outset" w:color="auto" w:sz="6" w:space="0"/>
              <w:right w:val="outset" w:color="auto" w:sz="6" w:space="0"/>
            </w:tcBorders>
            <w:vAlign w:val="center"/>
          </w:tcPr>
          <w:p>
            <w:pPr>
              <w:rPr>
                <w:color w:val="auto"/>
                <w:highlight w:val="none"/>
              </w:rPr>
            </w:pPr>
          </w:p>
        </w:tc>
        <w:tc>
          <w:tcPr>
            <w:tcW w:w="531" w:type="dxa"/>
            <w:tcBorders>
              <w:top w:val="outset" w:color="auto" w:sz="6" w:space="0"/>
              <w:left w:val="outset" w:color="auto" w:sz="6" w:space="0"/>
              <w:bottom w:val="outset" w:color="auto" w:sz="6" w:space="0"/>
              <w:right w:val="outset" w:color="auto" w:sz="6" w:space="0"/>
            </w:tcBorders>
            <w:vAlign w:val="center"/>
          </w:tcPr>
          <w:p>
            <w:pPr>
              <w:rPr>
                <w:color w:val="auto"/>
                <w:highlight w:val="none"/>
              </w:rPr>
            </w:pPr>
            <w:r>
              <w:rPr>
                <w:color w:val="auto"/>
                <w:highlight w:val="none"/>
              </w:rPr>
              <w:t>2</w:t>
            </w:r>
          </w:p>
        </w:tc>
        <w:tc>
          <w:tcPr>
            <w:tcW w:w="3864" w:type="dxa"/>
            <w:tcBorders>
              <w:top w:val="outset" w:color="auto" w:sz="6" w:space="0"/>
              <w:left w:val="outset" w:color="auto" w:sz="6" w:space="0"/>
              <w:bottom w:val="outset" w:color="auto" w:sz="6" w:space="0"/>
              <w:right w:val="outset" w:color="auto" w:sz="6" w:space="0"/>
            </w:tcBorders>
            <w:vAlign w:val="center"/>
          </w:tcPr>
          <w:p>
            <w:pPr>
              <w:rPr>
                <w:color w:val="auto"/>
                <w:highlight w:val="none"/>
                <w:lang w:eastAsia="zh-CN"/>
              </w:rPr>
            </w:pPr>
            <w:r>
              <w:rPr>
                <w:rFonts w:hint="eastAsia"/>
                <w:color w:val="auto"/>
                <w:highlight w:val="none"/>
                <w:lang w:eastAsia="zh-CN"/>
              </w:rPr>
              <w:t>防火风管材料及密封垫料</w:t>
            </w:r>
          </w:p>
        </w:tc>
        <w:tc>
          <w:tcPr>
            <w:tcW w:w="3483" w:type="dxa"/>
            <w:tcBorders>
              <w:top w:val="outset" w:color="auto" w:sz="6" w:space="0"/>
              <w:left w:val="outset" w:color="auto" w:sz="6" w:space="0"/>
              <w:bottom w:val="outset" w:color="auto" w:sz="6" w:space="0"/>
            </w:tcBorders>
            <w:vAlign w:val="center"/>
          </w:tcPr>
          <w:p>
            <w:pPr>
              <w:rPr>
                <w:color w:val="auto"/>
                <w:highlight w:val="none"/>
              </w:rPr>
            </w:pPr>
            <w:r>
              <w:rPr>
                <w:rFonts w:hint="eastAsia"/>
                <w:color w:val="auto"/>
                <w:highlight w:val="none"/>
              </w:rPr>
              <w:t>第</w:t>
            </w:r>
            <w:r>
              <w:rPr>
                <w:color w:val="auto"/>
                <w:highlight w:val="none"/>
              </w:rPr>
              <w:t>4.2.3</w:t>
            </w:r>
            <w:r>
              <w:rPr>
                <w:rFonts w:hint="eastAsia"/>
                <w:color w:val="auto"/>
                <w:highlight w:val="none"/>
              </w:rPr>
              <w:t>条</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blCellSpacing w:w="0" w:type="dxa"/>
        </w:trPr>
        <w:tc>
          <w:tcPr>
            <w:tcW w:w="458" w:type="dxa"/>
            <w:vMerge w:val="continue"/>
            <w:tcBorders>
              <w:top w:val="outset" w:color="auto" w:sz="6" w:space="0"/>
              <w:bottom w:val="outset" w:color="auto" w:sz="6" w:space="0"/>
              <w:right w:val="outset" w:color="auto" w:sz="6" w:space="0"/>
            </w:tcBorders>
            <w:vAlign w:val="center"/>
          </w:tcPr>
          <w:p>
            <w:pPr>
              <w:rPr>
                <w:color w:val="auto"/>
                <w:highlight w:val="none"/>
              </w:rPr>
            </w:pPr>
          </w:p>
        </w:tc>
        <w:tc>
          <w:tcPr>
            <w:tcW w:w="531" w:type="dxa"/>
            <w:tcBorders>
              <w:top w:val="outset" w:color="auto" w:sz="6" w:space="0"/>
              <w:left w:val="outset" w:color="auto" w:sz="6" w:space="0"/>
              <w:bottom w:val="outset" w:color="auto" w:sz="6" w:space="0"/>
              <w:right w:val="outset" w:color="auto" w:sz="6" w:space="0"/>
            </w:tcBorders>
            <w:vAlign w:val="center"/>
          </w:tcPr>
          <w:p>
            <w:pPr>
              <w:rPr>
                <w:color w:val="auto"/>
                <w:highlight w:val="none"/>
              </w:rPr>
            </w:pPr>
            <w:r>
              <w:rPr>
                <w:color w:val="auto"/>
                <w:highlight w:val="none"/>
              </w:rPr>
              <w:t>3</w:t>
            </w:r>
          </w:p>
        </w:tc>
        <w:tc>
          <w:tcPr>
            <w:tcW w:w="3864" w:type="dxa"/>
            <w:tcBorders>
              <w:top w:val="outset" w:color="auto" w:sz="6" w:space="0"/>
              <w:left w:val="outset" w:color="auto" w:sz="6" w:space="0"/>
              <w:bottom w:val="outset" w:color="auto" w:sz="6" w:space="0"/>
              <w:right w:val="outset" w:color="auto" w:sz="6" w:space="0"/>
            </w:tcBorders>
            <w:vAlign w:val="center"/>
          </w:tcPr>
          <w:p>
            <w:pPr>
              <w:rPr>
                <w:color w:val="auto"/>
                <w:highlight w:val="none"/>
                <w:lang w:eastAsia="zh-CN"/>
              </w:rPr>
            </w:pPr>
            <w:r>
              <w:rPr>
                <w:rFonts w:hint="eastAsia"/>
                <w:color w:val="auto"/>
                <w:highlight w:val="none"/>
                <w:lang w:eastAsia="zh-CN"/>
              </w:rPr>
              <w:t>风管强度及严密性、工艺性检测</w:t>
            </w:r>
          </w:p>
        </w:tc>
        <w:tc>
          <w:tcPr>
            <w:tcW w:w="3483" w:type="dxa"/>
            <w:tcBorders>
              <w:top w:val="outset" w:color="auto" w:sz="6" w:space="0"/>
              <w:left w:val="outset" w:color="auto" w:sz="6" w:space="0"/>
              <w:bottom w:val="outset" w:color="auto" w:sz="6" w:space="0"/>
            </w:tcBorders>
            <w:vAlign w:val="center"/>
          </w:tcPr>
          <w:p>
            <w:pPr>
              <w:rPr>
                <w:color w:val="auto"/>
                <w:highlight w:val="none"/>
              </w:rPr>
            </w:pPr>
            <w:r>
              <w:rPr>
                <w:rFonts w:hint="eastAsia"/>
                <w:color w:val="auto"/>
                <w:highlight w:val="none"/>
              </w:rPr>
              <w:t>第</w:t>
            </w:r>
            <w:r>
              <w:rPr>
                <w:color w:val="auto"/>
                <w:highlight w:val="none"/>
              </w:rPr>
              <w:t>4.2.5</w:t>
            </w:r>
            <w:r>
              <w:rPr>
                <w:rFonts w:hint="eastAsia"/>
                <w:color w:val="auto"/>
                <w:highlight w:val="none"/>
              </w:rPr>
              <w:t>条</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blCellSpacing w:w="0" w:type="dxa"/>
        </w:trPr>
        <w:tc>
          <w:tcPr>
            <w:tcW w:w="458" w:type="dxa"/>
            <w:vMerge w:val="continue"/>
            <w:tcBorders>
              <w:top w:val="outset" w:color="auto" w:sz="6" w:space="0"/>
              <w:bottom w:val="outset" w:color="auto" w:sz="6" w:space="0"/>
              <w:right w:val="outset" w:color="auto" w:sz="6" w:space="0"/>
            </w:tcBorders>
            <w:vAlign w:val="center"/>
          </w:tcPr>
          <w:p>
            <w:pPr>
              <w:rPr>
                <w:color w:val="auto"/>
                <w:highlight w:val="none"/>
              </w:rPr>
            </w:pPr>
          </w:p>
        </w:tc>
        <w:tc>
          <w:tcPr>
            <w:tcW w:w="531" w:type="dxa"/>
            <w:tcBorders>
              <w:top w:val="outset" w:color="auto" w:sz="6" w:space="0"/>
              <w:left w:val="outset" w:color="auto" w:sz="6" w:space="0"/>
              <w:bottom w:val="outset" w:color="auto" w:sz="6" w:space="0"/>
              <w:right w:val="outset" w:color="auto" w:sz="6" w:space="0"/>
            </w:tcBorders>
            <w:vAlign w:val="center"/>
          </w:tcPr>
          <w:p>
            <w:pPr>
              <w:rPr>
                <w:color w:val="auto"/>
                <w:highlight w:val="none"/>
              </w:rPr>
            </w:pPr>
            <w:r>
              <w:rPr>
                <w:color w:val="auto"/>
                <w:highlight w:val="none"/>
              </w:rPr>
              <w:t>4</w:t>
            </w:r>
          </w:p>
        </w:tc>
        <w:tc>
          <w:tcPr>
            <w:tcW w:w="3864" w:type="dxa"/>
            <w:tcBorders>
              <w:top w:val="outset" w:color="auto" w:sz="6" w:space="0"/>
              <w:left w:val="outset" w:color="auto" w:sz="6" w:space="0"/>
              <w:bottom w:val="outset" w:color="auto" w:sz="6" w:space="0"/>
              <w:right w:val="outset" w:color="auto" w:sz="6" w:space="0"/>
            </w:tcBorders>
            <w:vAlign w:val="center"/>
          </w:tcPr>
          <w:p>
            <w:pPr>
              <w:rPr>
                <w:color w:val="auto"/>
                <w:highlight w:val="none"/>
              </w:rPr>
            </w:pPr>
            <w:r>
              <w:rPr>
                <w:rFonts w:hint="eastAsia"/>
                <w:color w:val="auto"/>
                <w:highlight w:val="none"/>
              </w:rPr>
              <w:t>风管的连接</w:t>
            </w:r>
          </w:p>
        </w:tc>
        <w:tc>
          <w:tcPr>
            <w:tcW w:w="3483" w:type="dxa"/>
            <w:tcBorders>
              <w:top w:val="outset" w:color="auto" w:sz="6" w:space="0"/>
              <w:left w:val="outset" w:color="auto" w:sz="6" w:space="0"/>
              <w:bottom w:val="outset" w:color="auto" w:sz="6" w:space="0"/>
            </w:tcBorders>
            <w:vAlign w:val="center"/>
          </w:tcPr>
          <w:p>
            <w:pPr>
              <w:rPr>
                <w:color w:val="auto"/>
                <w:highlight w:val="none"/>
              </w:rPr>
            </w:pPr>
            <w:r>
              <w:rPr>
                <w:rFonts w:hint="eastAsia"/>
                <w:color w:val="auto"/>
                <w:highlight w:val="none"/>
              </w:rPr>
              <w:t>第</w:t>
            </w:r>
            <w:r>
              <w:rPr>
                <w:color w:val="auto"/>
                <w:highlight w:val="none"/>
              </w:rPr>
              <w:t>4.2.6</w:t>
            </w:r>
            <w:r>
              <w:rPr>
                <w:rFonts w:hint="eastAsia"/>
                <w:color w:val="auto"/>
                <w:highlight w:val="none"/>
              </w:rPr>
              <w:t>条</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blCellSpacing w:w="0" w:type="dxa"/>
        </w:trPr>
        <w:tc>
          <w:tcPr>
            <w:tcW w:w="458" w:type="dxa"/>
            <w:vMerge w:val="continue"/>
            <w:tcBorders>
              <w:top w:val="outset" w:color="auto" w:sz="6" w:space="0"/>
              <w:bottom w:val="outset" w:color="auto" w:sz="6" w:space="0"/>
              <w:right w:val="outset" w:color="auto" w:sz="6" w:space="0"/>
            </w:tcBorders>
            <w:vAlign w:val="center"/>
          </w:tcPr>
          <w:p>
            <w:pPr>
              <w:rPr>
                <w:color w:val="auto"/>
                <w:highlight w:val="none"/>
              </w:rPr>
            </w:pPr>
          </w:p>
        </w:tc>
        <w:tc>
          <w:tcPr>
            <w:tcW w:w="531" w:type="dxa"/>
            <w:tcBorders>
              <w:top w:val="outset" w:color="auto" w:sz="6" w:space="0"/>
              <w:left w:val="outset" w:color="auto" w:sz="6" w:space="0"/>
              <w:bottom w:val="outset" w:color="auto" w:sz="6" w:space="0"/>
              <w:right w:val="outset" w:color="auto" w:sz="6" w:space="0"/>
            </w:tcBorders>
            <w:vAlign w:val="center"/>
          </w:tcPr>
          <w:p>
            <w:pPr>
              <w:rPr>
                <w:color w:val="auto"/>
                <w:highlight w:val="none"/>
              </w:rPr>
            </w:pPr>
            <w:r>
              <w:rPr>
                <w:color w:val="auto"/>
                <w:highlight w:val="none"/>
              </w:rPr>
              <w:t>5</w:t>
            </w:r>
          </w:p>
        </w:tc>
        <w:tc>
          <w:tcPr>
            <w:tcW w:w="3864" w:type="dxa"/>
            <w:tcBorders>
              <w:top w:val="outset" w:color="auto" w:sz="6" w:space="0"/>
              <w:left w:val="outset" w:color="auto" w:sz="6" w:space="0"/>
              <w:bottom w:val="outset" w:color="auto" w:sz="6" w:space="0"/>
              <w:right w:val="outset" w:color="auto" w:sz="6" w:space="0"/>
            </w:tcBorders>
            <w:vAlign w:val="center"/>
          </w:tcPr>
          <w:p>
            <w:pPr>
              <w:rPr>
                <w:color w:val="auto"/>
                <w:highlight w:val="none"/>
              </w:rPr>
            </w:pPr>
            <w:r>
              <w:rPr>
                <w:rFonts w:hint="eastAsia"/>
                <w:color w:val="auto"/>
                <w:highlight w:val="none"/>
              </w:rPr>
              <w:t>风管的加固</w:t>
            </w:r>
          </w:p>
        </w:tc>
        <w:tc>
          <w:tcPr>
            <w:tcW w:w="3483" w:type="dxa"/>
            <w:tcBorders>
              <w:top w:val="outset" w:color="auto" w:sz="6" w:space="0"/>
              <w:left w:val="outset" w:color="auto" w:sz="6" w:space="0"/>
              <w:bottom w:val="outset" w:color="auto" w:sz="6" w:space="0"/>
            </w:tcBorders>
            <w:vAlign w:val="center"/>
          </w:tcPr>
          <w:p>
            <w:pPr>
              <w:rPr>
                <w:color w:val="auto"/>
                <w:highlight w:val="none"/>
              </w:rPr>
            </w:pPr>
            <w:r>
              <w:rPr>
                <w:rFonts w:hint="eastAsia"/>
                <w:color w:val="auto"/>
                <w:highlight w:val="none"/>
              </w:rPr>
              <w:t>第</w:t>
            </w:r>
            <w:r>
              <w:rPr>
                <w:color w:val="auto"/>
                <w:highlight w:val="none"/>
              </w:rPr>
              <w:t>4.2.10</w:t>
            </w:r>
            <w:r>
              <w:rPr>
                <w:rFonts w:hint="eastAsia"/>
                <w:color w:val="auto"/>
                <w:highlight w:val="none"/>
              </w:rPr>
              <w:t>条</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blCellSpacing w:w="0" w:type="dxa"/>
        </w:trPr>
        <w:tc>
          <w:tcPr>
            <w:tcW w:w="458" w:type="dxa"/>
            <w:vMerge w:val="continue"/>
            <w:tcBorders>
              <w:top w:val="outset" w:color="auto" w:sz="6" w:space="0"/>
              <w:bottom w:val="outset" w:color="auto" w:sz="6" w:space="0"/>
              <w:right w:val="outset" w:color="auto" w:sz="6" w:space="0"/>
            </w:tcBorders>
            <w:vAlign w:val="center"/>
          </w:tcPr>
          <w:p>
            <w:pPr>
              <w:rPr>
                <w:color w:val="auto"/>
                <w:highlight w:val="none"/>
              </w:rPr>
            </w:pPr>
          </w:p>
        </w:tc>
        <w:tc>
          <w:tcPr>
            <w:tcW w:w="531" w:type="dxa"/>
            <w:tcBorders>
              <w:top w:val="outset" w:color="auto" w:sz="6" w:space="0"/>
              <w:left w:val="outset" w:color="auto" w:sz="6" w:space="0"/>
              <w:bottom w:val="outset" w:color="auto" w:sz="6" w:space="0"/>
              <w:right w:val="outset" w:color="auto" w:sz="6" w:space="0"/>
            </w:tcBorders>
            <w:vAlign w:val="center"/>
          </w:tcPr>
          <w:p>
            <w:pPr>
              <w:rPr>
                <w:color w:val="auto"/>
                <w:highlight w:val="none"/>
              </w:rPr>
            </w:pPr>
            <w:r>
              <w:rPr>
                <w:color w:val="auto"/>
                <w:highlight w:val="none"/>
              </w:rPr>
              <w:t>6</w:t>
            </w:r>
          </w:p>
        </w:tc>
        <w:tc>
          <w:tcPr>
            <w:tcW w:w="3864" w:type="dxa"/>
            <w:tcBorders>
              <w:top w:val="outset" w:color="auto" w:sz="6" w:space="0"/>
              <w:left w:val="outset" w:color="auto" w:sz="6" w:space="0"/>
              <w:bottom w:val="outset" w:color="auto" w:sz="6" w:space="0"/>
              <w:right w:val="outset" w:color="auto" w:sz="6" w:space="0"/>
            </w:tcBorders>
            <w:vAlign w:val="center"/>
          </w:tcPr>
          <w:p>
            <w:pPr>
              <w:rPr>
                <w:color w:val="auto"/>
                <w:highlight w:val="none"/>
                <w:lang w:eastAsia="zh-CN"/>
              </w:rPr>
            </w:pPr>
            <w:r>
              <w:rPr>
                <w:rFonts w:hint="eastAsia"/>
                <w:color w:val="auto"/>
                <w:highlight w:val="none"/>
                <w:lang w:eastAsia="zh-CN"/>
              </w:rPr>
              <w:t>矩形弯管制作及导流片</w:t>
            </w:r>
          </w:p>
        </w:tc>
        <w:tc>
          <w:tcPr>
            <w:tcW w:w="3483" w:type="dxa"/>
            <w:tcBorders>
              <w:top w:val="outset" w:color="auto" w:sz="6" w:space="0"/>
              <w:left w:val="outset" w:color="auto" w:sz="6" w:space="0"/>
              <w:bottom w:val="outset" w:color="auto" w:sz="6" w:space="0"/>
            </w:tcBorders>
            <w:vAlign w:val="center"/>
          </w:tcPr>
          <w:p>
            <w:pPr>
              <w:rPr>
                <w:color w:val="auto"/>
                <w:highlight w:val="none"/>
              </w:rPr>
            </w:pPr>
            <w:r>
              <w:rPr>
                <w:rFonts w:hint="eastAsia"/>
                <w:color w:val="auto"/>
                <w:highlight w:val="none"/>
              </w:rPr>
              <w:t>第</w:t>
            </w:r>
            <w:r>
              <w:rPr>
                <w:color w:val="auto"/>
                <w:highlight w:val="none"/>
              </w:rPr>
              <w:t>4.2.12</w:t>
            </w:r>
            <w:r>
              <w:rPr>
                <w:rFonts w:hint="eastAsia"/>
                <w:color w:val="auto"/>
                <w:highlight w:val="none"/>
              </w:rPr>
              <w:t>条</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blCellSpacing w:w="0" w:type="dxa"/>
        </w:trPr>
        <w:tc>
          <w:tcPr>
            <w:tcW w:w="458" w:type="dxa"/>
            <w:vMerge w:val="continue"/>
            <w:tcBorders>
              <w:top w:val="outset" w:color="auto" w:sz="6" w:space="0"/>
              <w:bottom w:val="outset" w:color="auto" w:sz="6" w:space="0"/>
              <w:right w:val="outset" w:color="auto" w:sz="6" w:space="0"/>
            </w:tcBorders>
            <w:vAlign w:val="center"/>
          </w:tcPr>
          <w:p>
            <w:pPr>
              <w:rPr>
                <w:color w:val="auto"/>
                <w:highlight w:val="none"/>
              </w:rPr>
            </w:pPr>
          </w:p>
        </w:tc>
        <w:tc>
          <w:tcPr>
            <w:tcW w:w="531" w:type="dxa"/>
            <w:tcBorders>
              <w:top w:val="outset" w:color="auto" w:sz="6" w:space="0"/>
              <w:left w:val="outset" w:color="auto" w:sz="6" w:space="0"/>
              <w:bottom w:val="outset" w:color="auto" w:sz="6" w:space="0"/>
              <w:right w:val="outset" w:color="auto" w:sz="6" w:space="0"/>
            </w:tcBorders>
            <w:vAlign w:val="center"/>
          </w:tcPr>
          <w:p>
            <w:pPr>
              <w:rPr>
                <w:color w:val="auto"/>
                <w:highlight w:val="none"/>
              </w:rPr>
            </w:pPr>
            <w:r>
              <w:rPr>
                <w:color w:val="auto"/>
                <w:highlight w:val="none"/>
              </w:rPr>
              <w:t>7</w:t>
            </w:r>
          </w:p>
        </w:tc>
        <w:tc>
          <w:tcPr>
            <w:tcW w:w="3864" w:type="dxa"/>
            <w:tcBorders>
              <w:top w:val="outset" w:color="auto" w:sz="6" w:space="0"/>
              <w:left w:val="outset" w:color="auto" w:sz="6" w:space="0"/>
              <w:bottom w:val="outset" w:color="auto" w:sz="6" w:space="0"/>
              <w:right w:val="outset" w:color="auto" w:sz="6" w:space="0"/>
            </w:tcBorders>
            <w:vAlign w:val="center"/>
          </w:tcPr>
          <w:p>
            <w:pPr>
              <w:rPr>
                <w:color w:val="auto"/>
                <w:highlight w:val="none"/>
              </w:rPr>
            </w:pPr>
            <w:r>
              <w:rPr>
                <w:rFonts w:hint="eastAsia"/>
                <w:color w:val="auto"/>
                <w:highlight w:val="none"/>
              </w:rPr>
              <w:t>净化空调风管</w:t>
            </w:r>
          </w:p>
        </w:tc>
        <w:tc>
          <w:tcPr>
            <w:tcW w:w="3483" w:type="dxa"/>
            <w:tcBorders>
              <w:top w:val="outset" w:color="auto" w:sz="6" w:space="0"/>
              <w:left w:val="outset" w:color="auto" w:sz="6" w:space="0"/>
              <w:bottom w:val="outset" w:color="auto" w:sz="6" w:space="0"/>
            </w:tcBorders>
            <w:vAlign w:val="center"/>
          </w:tcPr>
          <w:p>
            <w:pPr>
              <w:rPr>
                <w:color w:val="auto"/>
                <w:highlight w:val="none"/>
              </w:rPr>
            </w:pPr>
            <w:r>
              <w:rPr>
                <w:rFonts w:hint="eastAsia"/>
                <w:color w:val="auto"/>
                <w:highlight w:val="none"/>
              </w:rPr>
              <w:t>第</w:t>
            </w:r>
            <w:r>
              <w:rPr>
                <w:color w:val="auto"/>
                <w:highlight w:val="none"/>
              </w:rPr>
              <w:t>4.2.13</w:t>
            </w:r>
            <w:r>
              <w:rPr>
                <w:rFonts w:hint="eastAsia"/>
                <w:color w:val="auto"/>
                <w:highlight w:val="none"/>
              </w:rPr>
              <w:t>条</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blCellSpacing w:w="0" w:type="dxa"/>
        </w:trPr>
        <w:tc>
          <w:tcPr>
            <w:tcW w:w="458" w:type="dxa"/>
            <w:vMerge w:val="restart"/>
            <w:tcBorders>
              <w:top w:val="outset" w:color="auto" w:sz="6" w:space="0"/>
              <w:bottom w:val="outset" w:color="auto" w:sz="6" w:space="0"/>
              <w:right w:val="outset" w:color="auto" w:sz="6" w:space="0"/>
            </w:tcBorders>
            <w:vAlign w:val="center"/>
          </w:tcPr>
          <w:p>
            <w:pPr>
              <w:rPr>
                <w:color w:val="auto"/>
                <w:highlight w:val="none"/>
              </w:rPr>
            </w:pPr>
            <w:r>
              <w:rPr>
                <w:rFonts w:hint="eastAsia"/>
                <w:color w:val="auto"/>
                <w:highlight w:val="none"/>
              </w:rPr>
              <w:t>一般项目</w:t>
            </w:r>
          </w:p>
        </w:tc>
        <w:tc>
          <w:tcPr>
            <w:tcW w:w="531" w:type="dxa"/>
            <w:tcBorders>
              <w:top w:val="outset" w:color="auto" w:sz="6" w:space="0"/>
              <w:left w:val="outset" w:color="auto" w:sz="6" w:space="0"/>
              <w:bottom w:val="outset" w:color="auto" w:sz="6" w:space="0"/>
              <w:right w:val="outset" w:color="auto" w:sz="6" w:space="0"/>
            </w:tcBorders>
            <w:vAlign w:val="center"/>
          </w:tcPr>
          <w:p>
            <w:pPr>
              <w:rPr>
                <w:color w:val="auto"/>
                <w:highlight w:val="none"/>
              </w:rPr>
            </w:pPr>
            <w:r>
              <w:rPr>
                <w:color w:val="auto"/>
                <w:highlight w:val="none"/>
              </w:rPr>
              <w:t>1</w:t>
            </w:r>
          </w:p>
        </w:tc>
        <w:tc>
          <w:tcPr>
            <w:tcW w:w="3864" w:type="dxa"/>
            <w:tcBorders>
              <w:top w:val="outset" w:color="auto" w:sz="6" w:space="0"/>
              <w:left w:val="outset" w:color="auto" w:sz="6" w:space="0"/>
              <w:bottom w:val="outset" w:color="auto" w:sz="6" w:space="0"/>
              <w:right w:val="outset" w:color="auto" w:sz="6" w:space="0"/>
            </w:tcBorders>
            <w:vAlign w:val="center"/>
          </w:tcPr>
          <w:p>
            <w:pPr>
              <w:rPr>
                <w:color w:val="auto"/>
                <w:highlight w:val="none"/>
              </w:rPr>
            </w:pPr>
            <w:r>
              <w:rPr>
                <w:rFonts w:hint="eastAsia"/>
                <w:color w:val="auto"/>
                <w:highlight w:val="none"/>
              </w:rPr>
              <w:t>圆形弯管制作</w:t>
            </w:r>
          </w:p>
        </w:tc>
        <w:tc>
          <w:tcPr>
            <w:tcW w:w="3483" w:type="dxa"/>
            <w:tcBorders>
              <w:top w:val="outset" w:color="auto" w:sz="6" w:space="0"/>
              <w:left w:val="outset" w:color="auto" w:sz="6" w:space="0"/>
              <w:bottom w:val="outset" w:color="auto" w:sz="6" w:space="0"/>
            </w:tcBorders>
            <w:vAlign w:val="center"/>
          </w:tcPr>
          <w:p>
            <w:pPr>
              <w:rPr>
                <w:color w:val="auto"/>
                <w:highlight w:val="none"/>
              </w:rPr>
            </w:pPr>
            <w:r>
              <w:rPr>
                <w:rFonts w:hint="eastAsia"/>
                <w:color w:val="auto"/>
                <w:highlight w:val="none"/>
              </w:rPr>
              <w:t>第</w:t>
            </w:r>
            <w:r>
              <w:rPr>
                <w:color w:val="auto"/>
                <w:highlight w:val="none"/>
              </w:rPr>
              <w:t>4.3.1-1</w:t>
            </w:r>
            <w:r>
              <w:rPr>
                <w:rFonts w:hint="eastAsia"/>
                <w:color w:val="auto"/>
                <w:highlight w:val="none"/>
              </w:rPr>
              <w:t>条</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blCellSpacing w:w="0" w:type="dxa"/>
        </w:trPr>
        <w:tc>
          <w:tcPr>
            <w:tcW w:w="458" w:type="dxa"/>
            <w:vMerge w:val="continue"/>
            <w:tcBorders>
              <w:top w:val="outset" w:color="auto" w:sz="6" w:space="0"/>
              <w:bottom w:val="outset" w:color="auto" w:sz="6" w:space="0"/>
              <w:right w:val="outset" w:color="auto" w:sz="6" w:space="0"/>
            </w:tcBorders>
            <w:vAlign w:val="center"/>
          </w:tcPr>
          <w:p>
            <w:pPr>
              <w:rPr>
                <w:color w:val="auto"/>
                <w:highlight w:val="none"/>
              </w:rPr>
            </w:pPr>
          </w:p>
        </w:tc>
        <w:tc>
          <w:tcPr>
            <w:tcW w:w="531" w:type="dxa"/>
            <w:tcBorders>
              <w:top w:val="outset" w:color="auto" w:sz="6" w:space="0"/>
              <w:left w:val="outset" w:color="auto" w:sz="6" w:space="0"/>
              <w:bottom w:val="outset" w:color="auto" w:sz="6" w:space="0"/>
              <w:right w:val="outset" w:color="auto" w:sz="6" w:space="0"/>
            </w:tcBorders>
            <w:vAlign w:val="center"/>
          </w:tcPr>
          <w:p>
            <w:pPr>
              <w:rPr>
                <w:color w:val="auto"/>
                <w:highlight w:val="none"/>
              </w:rPr>
            </w:pPr>
            <w:r>
              <w:rPr>
                <w:color w:val="auto"/>
                <w:highlight w:val="none"/>
              </w:rPr>
              <w:t>2</w:t>
            </w:r>
          </w:p>
        </w:tc>
        <w:tc>
          <w:tcPr>
            <w:tcW w:w="3864" w:type="dxa"/>
            <w:tcBorders>
              <w:top w:val="outset" w:color="auto" w:sz="6" w:space="0"/>
              <w:left w:val="outset" w:color="auto" w:sz="6" w:space="0"/>
              <w:bottom w:val="outset" w:color="auto" w:sz="6" w:space="0"/>
              <w:right w:val="outset" w:color="auto" w:sz="6" w:space="0"/>
            </w:tcBorders>
            <w:vAlign w:val="center"/>
          </w:tcPr>
          <w:p>
            <w:pPr>
              <w:rPr>
                <w:color w:val="auto"/>
                <w:highlight w:val="none"/>
                <w:lang w:eastAsia="zh-CN"/>
              </w:rPr>
            </w:pPr>
            <w:r>
              <w:rPr>
                <w:rFonts w:hint="eastAsia"/>
                <w:color w:val="auto"/>
                <w:highlight w:val="none"/>
                <w:lang w:eastAsia="zh-CN"/>
              </w:rPr>
              <w:t>风管外观质量和外形尺寸</w:t>
            </w:r>
          </w:p>
        </w:tc>
        <w:tc>
          <w:tcPr>
            <w:tcW w:w="3483" w:type="dxa"/>
            <w:tcBorders>
              <w:top w:val="outset" w:color="auto" w:sz="6" w:space="0"/>
              <w:left w:val="outset" w:color="auto" w:sz="6" w:space="0"/>
              <w:bottom w:val="outset" w:color="auto" w:sz="6" w:space="0"/>
            </w:tcBorders>
            <w:vAlign w:val="center"/>
          </w:tcPr>
          <w:p>
            <w:pPr>
              <w:rPr>
                <w:color w:val="auto"/>
                <w:highlight w:val="none"/>
              </w:rPr>
            </w:pPr>
            <w:r>
              <w:rPr>
                <w:rFonts w:hint="eastAsia"/>
                <w:color w:val="auto"/>
                <w:highlight w:val="none"/>
              </w:rPr>
              <w:t>第</w:t>
            </w:r>
            <w:r>
              <w:rPr>
                <w:color w:val="auto"/>
                <w:highlight w:val="none"/>
              </w:rPr>
              <w:t>4.3.1-2.3</w:t>
            </w:r>
            <w:r>
              <w:rPr>
                <w:rFonts w:hint="eastAsia"/>
                <w:color w:val="auto"/>
                <w:highlight w:val="none"/>
              </w:rPr>
              <w:t>条</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blCellSpacing w:w="0" w:type="dxa"/>
        </w:trPr>
        <w:tc>
          <w:tcPr>
            <w:tcW w:w="458" w:type="dxa"/>
            <w:vMerge w:val="continue"/>
            <w:tcBorders>
              <w:top w:val="outset" w:color="auto" w:sz="6" w:space="0"/>
              <w:bottom w:val="outset" w:color="auto" w:sz="6" w:space="0"/>
              <w:right w:val="outset" w:color="auto" w:sz="6" w:space="0"/>
            </w:tcBorders>
            <w:vAlign w:val="center"/>
          </w:tcPr>
          <w:p>
            <w:pPr>
              <w:rPr>
                <w:color w:val="auto"/>
                <w:highlight w:val="none"/>
              </w:rPr>
            </w:pPr>
          </w:p>
        </w:tc>
        <w:tc>
          <w:tcPr>
            <w:tcW w:w="531" w:type="dxa"/>
            <w:tcBorders>
              <w:top w:val="outset" w:color="auto" w:sz="6" w:space="0"/>
              <w:left w:val="outset" w:color="auto" w:sz="6" w:space="0"/>
              <w:bottom w:val="outset" w:color="auto" w:sz="6" w:space="0"/>
              <w:right w:val="outset" w:color="auto" w:sz="6" w:space="0"/>
            </w:tcBorders>
            <w:vAlign w:val="center"/>
          </w:tcPr>
          <w:p>
            <w:pPr>
              <w:rPr>
                <w:color w:val="auto"/>
                <w:highlight w:val="none"/>
              </w:rPr>
            </w:pPr>
            <w:r>
              <w:rPr>
                <w:color w:val="auto"/>
                <w:highlight w:val="none"/>
              </w:rPr>
              <w:t>3</w:t>
            </w:r>
          </w:p>
        </w:tc>
        <w:tc>
          <w:tcPr>
            <w:tcW w:w="3864" w:type="dxa"/>
            <w:tcBorders>
              <w:top w:val="outset" w:color="auto" w:sz="6" w:space="0"/>
              <w:left w:val="outset" w:color="auto" w:sz="6" w:space="0"/>
              <w:bottom w:val="outset" w:color="auto" w:sz="6" w:space="0"/>
              <w:right w:val="outset" w:color="auto" w:sz="6" w:space="0"/>
            </w:tcBorders>
            <w:vAlign w:val="center"/>
          </w:tcPr>
          <w:p>
            <w:pPr>
              <w:rPr>
                <w:color w:val="auto"/>
                <w:highlight w:val="none"/>
              </w:rPr>
            </w:pPr>
            <w:r>
              <w:rPr>
                <w:rFonts w:hint="eastAsia"/>
                <w:color w:val="auto"/>
                <w:highlight w:val="none"/>
              </w:rPr>
              <w:t>焊接风管</w:t>
            </w:r>
          </w:p>
        </w:tc>
        <w:tc>
          <w:tcPr>
            <w:tcW w:w="3483" w:type="dxa"/>
            <w:tcBorders>
              <w:top w:val="outset" w:color="auto" w:sz="6" w:space="0"/>
              <w:left w:val="outset" w:color="auto" w:sz="6" w:space="0"/>
              <w:bottom w:val="outset" w:color="auto" w:sz="6" w:space="0"/>
            </w:tcBorders>
            <w:vAlign w:val="center"/>
          </w:tcPr>
          <w:p>
            <w:pPr>
              <w:rPr>
                <w:color w:val="auto"/>
                <w:highlight w:val="none"/>
              </w:rPr>
            </w:pPr>
            <w:r>
              <w:rPr>
                <w:rFonts w:hint="eastAsia"/>
                <w:color w:val="auto"/>
                <w:highlight w:val="none"/>
              </w:rPr>
              <w:t>第</w:t>
            </w:r>
            <w:r>
              <w:rPr>
                <w:color w:val="auto"/>
                <w:highlight w:val="none"/>
              </w:rPr>
              <w:t>4.3.1-4</w:t>
            </w:r>
            <w:r>
              <w:rPr>
                <w:rFonts w:hint="eastAsia"/>
                <w:color w:val="auto"/>
                <w:highlight w:val="none"/>
              </w:rPr>
              <w:t>条</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blCellSpacing w:w="0" w:type="dxa"/>
        </w:trPr>
        <w:tc>
          <w:tcPr>
            <w:tcW w:w="458" w:type="dxa"/>
            <w:vMerge w:val="continue"/>
            <w:tcBorders>
              <w:top w:val="outset" w:color="auto" w:sz="6" w:space="0"/>
              <w:bottom w:val="outset" w:color="auto" w:sz="6" w:space="0"/>
              <w:right w:val="outset" w:color="auto" w:sz="6" w:space="0"/>
            </w:tcBorders>
            <w:vAlign w:val="center"/>
          </w:tcPr>
          <w:p>
            <w:pPr>
              <w:rPr>
                <w:color w:val="auto"/>
                <w:highlight w:val="none"/>
              </w:rPr>
            </w:pPr>
          </w:p>
        </w:tc>
        <w:tc>
          <w:tcPr>
            <w:tcW w:w="531" w:type="dxa"/>
            <w:tcBorders>
              <w:top w:val="outset" w:color="auto" w:sz="6" w:space="0"/>
              <w:left w:val="outset" w:color="auto" w:sz="6" w:space="0"/>
              <w:bottom w:val="outset" w:color="auto" w:sz="6" w:space="0"/>
              <w:right w:val="outset" w:color="auto" w:sz="6" w:space="0"/>
            </w:tcBorders>
            <w:vAlign w:val="center"/>
          </w:tcPr>
          <w:p>
            <w:pPr>
              <w:rPr>
                <w:color w:val="auto"/>
                <w:highlight w:val="none"/>
              </w:rPr>
            </w:pPr>
            <w:r>
              <w:rPr>
                <w:color w:val="auto"/>
                <w:highlight w:val="none"/>
              </w:rPr>
              <w:t>4</w:t>
            </w:r>
          </w:p>
        </w:tc>
        <w:tc>
          <w:tcPr>
            <w:tcW w:w="3864" w:type="dxa"/>
            <w:tcBorders>
              <w:top w:val="outset" w:color="auto" w:sz="6" w:space="0"/>
              <w:left w:val="outset" w:color="auto" w:sz="6" w:space="0"/>
              <w:bottom w:val="outset" w:color="auto" w:sz="6" w:space="0"/>
              <w:right w:val="outset" w:color="auto" w:sz="6" w:space="0"/>
            </w:tcBorders>
            <w:vAlign w:val="center"/>
          </w:tcPr>
          <w:p>
            <w:pPr>
              <w:rPr>
                <w:color w:val="auto"/>
                <w:highlight w:val="none"/>
              </w:rPr>
            </w:pPr>
            <w:r>
              <w:rPr>
                <w:rFonts w:hint="eastAsia"/>
                <w:color w:val="auto"/>
                <w:highlight w:val="none"/>
              </w:rPr>
              <w:t>法兰风管制作</w:t>
            </w:r>
          </w:p>
        </w:tc>
        <w:tc>
          <w:tcPr>
            <w:tcW w:w="3483" w:type="dxa"/>
            <w:tcBorders>
              <w:top w:val="outset" w:color="auto" w:sz="6" w:space="0"/>
              <w:left w:val="outset" w:color="auto" w:sz="6" w:space="0"/>
              <w:bottom w:val="outset" w:color="auto" w:sz="6" w:space="0"/>
            </w:tcBorders>
            <w:vAlign w:val="center"/>
          </w:tcPr>
          <w:p>
            <w:pPr>
              <w:rPr>
                <w:color w:val="auto"/>
                <w:highlight w:val="none"/>
              </w:rPr>
            </w:pPr>
            <w:r>
              <w:rPr>
                <w:rFonts w:hint="eastAsia"/>
                <w:color w:val="auto"/>
                <w:highlight w:val="none"/>
              </w:rPr>
              <w:t>第</w:t>
            </w:r>
            <w:r>
              <w:rPr>
                <w:color w:val="auto"/>
                <w:highlight w:val="none"/>
              </w:rPr>
              <w:t>4.3.2</w:t>
            </w:r>
            <w:r>
              <w:rPr>
                <w:rFonts w:hint="eastAsia"/>
                <w:color w:val="auto"/>
                <w:highlight w:val="none"/>
              </w:rPr>
              <w:t>条</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blCellSpacing w:w="0" w:type="dxa"/>
        </w:trPr>
        <w:tc>
          <w:tcPr>
            <w:tcW w:w="458" w:type="dxa"/>
            <w:vMerge w:val="continue"/>
            <w:tcBorders>
              <w:top w:val="outset" w:color="auto" w:sz="6" w:space="0"/>
              <w:bottom w:val="outset" w:color="auto" w:sz="6" w:space="0"/>
              <w:right w:val="outset" w:color="auto" w:sz="6" w:space="0"/>
            </w:tcBorders>
            <w:vAlign w:val="center"/>
          </w:tcPr>
          <w:p>
            <w:pPr>
              <w:rPr>
                <w:color w:val="auto"/>
                <w:highlight w:val="none"/>
              </w:rPr>
            </w:pPr>
          </w:p>
        </w:tc>
        <w:tc>
          <w:tcPr>
            <w:tcW w:w="531" w:type="dxa"/>
            <w:tcBorders>
              <w:top w:val="outset" w:color="auto" w:sz="6" w:space="0"/>
              <w:left w:val="outset" w:color="auto" w:sz="6" w:space="0"/>
              <w:bottom w:val="outset" w:color="auto" w:sz="6" w:space="0"/>
              <w:right w:val="outset" w:color="auto" w:sz="6" w:space="0"/>
            </w:tcBorders>
            <w:vAlign w:val="center"/>
          </w:tcPr>
          <w:p>
            <w:pPr>
              <w:rPr>
                <w:color w:val="auto"/>
                <w:highlight w:val="none"/>
              </w:rPr>
            </w:pPr>
            <w:r>
              <w:rPr>
                <w:color w:val="auto"/>
                <w:highlight w:val="none"/>
              </w:rPr>
              <w:t>5</w:t>
            </w:r>
          </w:p>
        </w:tc>
        <w:tc>
          <w:tcPr>
            <w:tcW w:w="3864" w:type="dxa"/>
            <w:tcBorders>
              <w:top w:val="outset" w:color="auto" w:sz="6" w:space="0"/>
              <w:left w:val="outset" w:color="auto" w:sz="6" w:space="0"/>
              <w:bottom w:val="outset" w:color="auto" w:sz="6" w:space="0"/>
              <w:right w:val="outset" w:color="auto" w:sz="6" w:space="0"/>
            </w:tcBorders>
            <w:vAlign w:val="center"/>
          </w:tcPr>
          <w:p>
            <w:pPr>
              <w:rPr>
                <w:color w:val="auto"/>
                <w:highlight w:val="none"/>
              </w:rPr>
            </w:pPr>
            <w:r>
              <w:rPr>
                <w:rFonts w:hint="eastAsia"/>
                <w:color w:val="auto"/>
                <w:highlight w:val="none"/>
              </w:rPr>
              <w:t>铝板或不锈钢板风管</w:t>
            </w:r>
          </w:p>
        </w:tc>
        <w:tc>
          <w:tcPr>
            <w:tcW w:w="3483" w:type="dxa"/>
            <w:tcBorders>
              <w:top w:val="outset" w:color="auto" w:sz="6" w:space="0"/>
              <w:left w:val="outset" w:color="auto" w:sz="6" w:space="0"/>
              <w:bottom w:val="outset" w:color="auto" w:sz="6" w:space="0"/>
            </w:tcBorders>
            <w:vAlign w:val="center"/>
          </w:tcPr>
          <w:p>
            <w:pPr>
              <w:rPr>
                <w:color w:val="auto"/>
                <w:highlight w:val="none"/>
              </w:rPr>
            </w:pPr>
            <w:r>
              <w:rPr>
                <w:rFonts w:hint="eastAsia"/>
                <w:color w:val="auto"/>
                <w:highlight w:val="none"/>
              </w:rPr>
              <w:t>第</w:t>
            </w:r>
            <w:r>
              <w:rPr>
                <w:color w:val="auto"/>
                <w:highlight w:val="none"/>
              </w:rPr>
              <w:t>4.3.2-4</w:t>
            </w:r>
            <w:r>
              <w:rPr>
                <w:rFonts w:hint="eastAsia"/>
                <w:color w:val="auto"/>
                <w:highlight w:val="none"/>
              </w:rPr>
              <w:t>条</w:t>
            </w:r>
          </w:p>
        </w:tc>
      </w:tr>
    </w:tbl>
    <w:p>
      <w:pPr>
        <w:rPr>
          <w:color w:val="auto"/>
          <w:highlight w:val="none"/>
          <w:lang w:eastAsia="zh-CN"/>
        </w:rPr>
      </w:pPr>
    </w:p>
    <w:p>
      <w:pPr>
        <w:rPr>
          <w:color w:val="auto"/>
          <w:highlight w:val="none"/>
          <w:lang w:eastAsia="zh-CN"/>
        </w:rPr>
      </w:pPr>
      <w:r>
        <w:rPr>
          <w:color w:val="auto"/>
          <w:highlight w:val="none"/>
          <w:lang w:eastAsia="zh-CN"/>
        </w:rPr>
        <w:t>2</w:t>
      </w:r>
      <w:r>
        <w:rPr>
          <w:rFonts w:hint="eastAsia"/>
          <w:color w:val="auto"/>
          <w:highlight w:val="none"/>
          <w:lang w:eastAsia="zh-CN"/>
        </w:rPr>
        <w:t>、亚高效、高效过滤器安装</w:t>
      </w:r>
    </w:p>
    <w:p>
      <w:pPr>
        <w:rPr>
          <w:color w:val="auto"/>
          <w:highlight w:val="none"/>
          <w:lang w:eastAsia="zh-CN"/>
        </w:rPr>
      </w:pPr>
      <w:r>
        <w:rPr>
          <w:rFonts w:hint="eastAsia"/>
          <w:color w:val="auto"/>
          <w:highlight w:val="none"/>
          <w:lang w:eastAsia="zh-CN"/>
        </w:rPr>
        <w:t>施工程序：系统空吹→室内清扫→过滤器安装</w:t>
      </w:r>
    </w:p>
    <w:p>
      <w:pPr>
        <w:rPr>
          <w:color w:val="auto"/>
          <w:highlight w:val="none"/>
          <w:lang w:eastAsia="zh-CN"/>
        </w:rPr>
      </w:pPr>
    </w:p>
    <w:p>
      <w:pPr>
        <w:rPr>
          <w:color w:val="auto"/>
          <w:highlight w:val="none"/>
          <w:lang w:eastAsia="zh-CN"/>
        </w:rPr>
      </w:pPr>
      <w:r>
        <w:rPr>
          <w:rFonts w:hint="eastAsia"/>
          <w:color w:val="auto"/>
          <w:highlight w:val="none"/>
          <w:lang w:eastAsia="zh-CN"/>
        </w:rPr>
        <w:t>施工工艺</w:t>
      </w:r>
    </w:p>
    <w:p>
      <w:pPr>
        <w:rPr>
          <w:color w:val="auto"/>
          <w:highlight w:val="none"/>
          <w:lang w:eastAsia="zh-CN"/>
        </w:rPr>
      </w:pPr>
      <w:r>
        <w:rPr>
          <w:rFonts w:hint="eastAsia"/>
          <w:color w:val="auto"/>
          <w:highlight w:val="none"/>
          <w:lang w:eastAsia="zh-CN"/>
        </w:rPr>
        <w:t>安装高效过滤器的框架应平整，框架的平整度允许偏差不大于</w:t>
      </w:r>
      <w:r>
        <w:rPr>
          <w:color w:val="auto"/>
          <w:highlight w:val="none"/>
          <w:lang w:eastAsia="zh-CN"/>
        </w:rPr>
        <w:t>1mm</w:t>
      </w:r>
      <w:r>
        <w:rPr>
          <w:rFonts w:hint="eastAsia"/>
          <w:color w:val="auto"/>
          <w:highlight w:val="none"/>
          <w:lang w:eastAsia="zh-CN"/>
        </w:rPr>
        <w:t>；</w:t>
      </w:r>
    </w:p>
    <w:p>
      <w:pPr>
        <w:rPr>
          <w:color w:val="auto"/>
          <w:highlight w:val="none"/>
          <w:lang w:eastAsia="zh-CN"/>
        </w:rPr>
      </w:pPr>
      <w:r>
        <w:rPr>
          <w:rFonts w:hint="eastAsia"/>
          <w:color w:val="auto"/>
          <w:highlight w:val="none"/>
          <w:lang w:eastAsia="zh-CN"/>
        </w:rPr>
        <w:t>安装前清洁：高效过滤器单体或送风末端安装前系统新风过滤器与系统内中效过滤器均应安装好并可运行。必须对洁净室空调设备内部和风管进行全面、彻底清洁，对风管空吹</w:t>
      </w:r>
      <w:r>
        <w:rPr>
          <w:color w:val="auto"/>
          <w:highlight w:val="none"/>
          <w:lang w:eastAsia="zh-CN"/>
        </w:rPr>
        <w:t>24h</w:t>
      </w:r>
      <w:r>
        <w:rPr>
          <w:rFonts w:hint="eastAsia"/>
          <w:color w:val="auto"/>
          <w:highlight w:val="none"/>
          <w:lang w:eastAsia="zh-CN"/>
        </w:rPr>
        <w:t>以上。如在技术夹层或吊顶内安装则技术夹层或吊顶也应进行全面清扫、擦净。</w:t>
      </w:r>
    </w:p>
    <w:p>
      <w:pPr>
        <w:rPr>
          <w:color w:val="auto"/>
          <w:highlight w:val="none"/>
          <w:lang w:eastAsia="zh-CN"/>
        </w:rPr>
      </w:pPr>
      <w:r>
        <w:rPr>
          <w:rFonts w:hint="eastAsia"/>
          <w:color w:val="auto"/>
          <w:highlight w:val="none"/>
          <w:lang w:eastAsia="zh-CN"/>
        </w:rPr>
        <w:t>拆包：高效过滤器的安装应在系统风管和空调机组内灰尘擦洗干净并运转后，而且洁净室内彻底打扫干净，方可开箱。只能在安装现场、安装时刻现拆高效过滤器包装。取出之后应作外观检查，并要每一台有性能指标的具体检测数据。</w:t>
      </w:r>
    </w:p>
    <w:p>
      <w:pPr>
        <w:rPr>
          <w:color w:val="auto"/>
          <w:highlight w:val="none"/>
          <w:lang w:eastAsia="zh-CN"/>
        </w:rPr>
      </w:pPr>
      <w:r>
        <w:rPr>
          <w:rFonts w:hint="eastAsia"/>
          <w:color w:val="auto"/>
          <w:highlight w:val="none"/>
          <w:lang w:eastAsia="zh-CN"/>
        </w:rPr>
        <w:t>安装高效过滤器或其送风末端前，应再次检查风口尺寸，风口尺寸只允许小于高效过滤器或其送风末端的边框内净尺寸。安装高效过滤器时，外框上箭头和气流方向应一致，当其垂直安装（包括码放）时，滤纸折痕缝应垂直于地面。</w:t>
      </w:r>
    </w:p>
    <w:p>
      <w:pPr>
        <w:rPr>
          <w:color w:val="auto"/>
          <w:highlight w:val="none"/>
          <w:lang w:eastAsia="zh-CN"/>
        </w:rPr>
      </w:pPr>
      <w:r>
        <w:rPr>
          <w:rFonts w:hint="eastAsia"/>
          <w:color w:val="auto"/>
          <w:highlight w:val="none"/>
          <w:lang w:eastAsia="zh-CN"/>
        </w:rPr>
        <w:t>检漏：对安装好的过滤器作检漏，检漏的重点是过滤器边框密封质量。并在安装前检查其上密封胶有无开裂，滤纸局部有无损坏。高效过滤器安装后，对安装的严密性和高效过滤器本体有无损坏，采用尘埃粒子计数器进行检漏。</w:t>
      </w:r>
    </w:p>
    <w:p>
      <w:pPr>
        <w:rPr>
          <w:color w:val="auto"/>
          <w:highlight w:val="none"/>
          <w:lang w:eastAsia="zh-CN"/>
        </w:rPr>
      </w:pPr>
      <w:r>
        <w:rPr>
          <w:rFonts w:hint="eastAsia"/>
          <w:color w:val="auto"/>
          <w:highlight w:val="none"/>
          <w:lang w:eastAsia="zh-CN"/>
        </w:rPr>
        <w:t>高效和亚高效过滤器安装过程中，室内不得进行带尘、产尘作业，安装完后应用薄膜将出风面封住，不上扩散板等装饰件。</w:t>
      </w:r>
    </w:p>
    <w:p>
      <w:pPr>
        <w:rPr>
          <w:color w:val="auto"/>
          <w:highlight w:val="none"/>
          <w:lang w:eastAsia="zh-CN"/>
        </w:rPr>
      </w:pPr>
    </w:p>
    <w:p>
      <w:pPr>
        <w:rPr>
          <w:color w:val="auto"/>
          <w:highlight w:val="none"/>
          <w:lang w:eastAsia="zh-CN"/>
        </w:rPr>
      </w:pPr>
      <w:r>
        <w:rPr>
          <w:color w:val="auto"/>
          <w:highlight w:val="none"/>
          <w:lang w:eastAsia="zh-CN"/>
        </w:rPr>
        <w:t>3</w:t>
      </w:r>
      <w:r>
        <w:rPr>
          <w:rFonts w:hint="eastAsia"/>
          <w:color w:val="auto"/>
          <w:highlight w:val="none"/>
          <w:lang w:eastAsia="zh-CN"/>
        </w:rPr>
        <w:t>、空气处理机组安装</w:t>
      </w:r>
    </w:p>
    <w:p>
      <w:pPr>
        <w:rPr>
          <w:color w:val="auto"/>
          <w:highlight w:val="none"/>
          <w:lang w:eastAsia="zh-CN"/>
        </w:rPr>
      </w:pPr>
      <w:r>
        <w:rPr>
          <w:rFonts w:hint="eastAsia"/>
          <w:color w:val="auto"/>
          <w:highlight w:val="none"/>
          <w:lang w:eastAsia="zh-CN"/>
        </w:rPr>
        <w:t>空气处理机应平整、牢固、各功能段连接严密，机组检修侧预留足够的维修空间；</w:t>
      </w:r>
    </w:p>
    <w:p>
      <w:pPr>
        <w:rPr>
          <w:color w:val="auto"/>
          <w:highlight w:val="none"/>
          <w:lang w:eastAsia="zh-CN"/>
        </w:rPr>
      </w:pPr>
      <w:r>
        <w:rPr>
          <w:rFonts w:hint="eastAsia"/>
          <w:color w:val="auto"/>
          <w:highlight w:val="none"/>
          <w:lang w:eastAsia="zh-CN"/>
        </w:rPr>
        <w:t>水管与机组连接宜采用橡胶软接头或不锈钢软管；</w:t>
      </w:r>
    </w:p>
    <w:p>
      <w:pPr>
        <w:rPr>
          <w:color w:val="auto"/>
          <w:highlight w:val="none"/>
          <w:lang w:eastAsia="zh-CN"/>
        </w:rPr>
      </w:pPr>
      <w:r>
        <w:rPr>
          <w:rFonts w:hint="eastAsia"/>
          <w:color w:val="auto"/>
          <w:highlight w:val="none"/>
          <w:lang w:eastAsia="zh-CN"/>
        </w:rPr>
        <w:t>自动放气阀要高位设置；</w:t>
      </w:r>
    </w:p>
    <w:p>
      <w:pPr>
        <w:rPr>
          <w:color w:val="auto"/>
          <w:highlight w:val="none"/>
          <w:lang w:eastAsia="zh-CN"/>
        </w:rPr>
      </w:pPr>
      <w:r>
        <w:rPr>
          <w:rFonts w:hint="eastAsia"/>
          <w:color w:val="auto"/>
          <w:highlight w:val="none"/>
          <w:lang w:eastAsia="zh-CN"/>
        </w:rPr>
        <w:t>凝水管设置存水弯；</w:t>
      </w:r>
    </w:p>
    <w:p>
      <w:pPr>
        <w:rPr>
          <w:color w:val="auto"/>
          <w:highlight w:val="none"/>
          <w:lang w:eastAsia="zh-CN"/>
        </w:rPr>
      </w:pPr>
      <w:r>
        <w:rPr>
          <w:rFonts w:hint="eastAsia"/>
          <w:color w:val="auto"/>
          <w:highlight w:val="none"/>
          <w:lang w:eastAsia="zh-CN"/>
        </w:rPr>
        <w:t>供水管设置</w:t>
      </w:r>
      <w:r>
        <w:rPr>
          <w:color w:val="auto"/>
          <w:highlight w:val="none"/>
          <w:lang w:eastAsia="zh-CN"/>
        </w:rPr>
        <w:t>Y</w:t>
      </w:r>
      <w:r>
        <w:rPr>
          <w:rFonts w:hint="eastAsia"/>
          <w:color w:val="auto"/>
          <w:highlight w:val="none"/>
          <w:lang w:eastAsia="zh-CN"/>
        </w:rPr>
        <w:t>型过滤器；</w:t>
      </w:r>
    </w:p>
    <w:p>
      <w:pPr>
        <w:rPr>
          <w:color w:val="auto"/>
          <w:highlight w:val="none"/>
          <w:lang w:eastAsia="zh-CN"/>
        </w:rPr>
      </w:pPr>
      <w:r>
        <w:rPr>
          <w:rFonts w:hint="eastAsia"/>
          <w:color w:val="auto"/>
          <w:highlight w:val="none"/>
          <w:lang w:eastAsia="zh-CN"/>
        </w:rPr>
        <w:t>供回水管均需安装压力表温度计；</w:t>
      </w:r>
    </w:p>
    <w:p>
      <w:pPr>
        <w:rPr>
          <w:color w:val="auto"/>
          <w:highlight w:val="none"/>
          <w:lang w:eastAsia="zh-CN"/>
        </w:rPr>
      </w:pPr>
      <w:r>
        <w:rPr>
          <w:rFonts w:hint="eastAsia"/>
          <w:color w:val="auto"/>
          <w:highlight w:val="none"/>
          <w:lang w:eastAsia="zh-CN"/>
        </w:rPr>
        <w:t>蒸汽管采用无缝钢管或不锈钢管；</w:t>
      </w:r>
    </w:p>
    <w:p>
      <w:pPr>
        <w:rPr>
          <w:color w:val="auto"/>
          <w:highlight w:val="none"/>
          <w:lang w:eastAsia="zh-CN"/>
        </w:rPr>
      </w:pPr>
      <w:r>
        <w:rPr>
          <w:rFonts w:hint="eastAsia"/>
          <w:color w:val="auto"/>
          <w:highlight w:val="none"/>
          <w:lang w:eastAsia="zh-CN"/>
        </w:rPr>
        <w:t>空气处理机组用弹性减震垫安装；</w:t>
      </w:r>
    </w:p>
    <w:p>
      <w:pPr>
        <w:rPr>
          <w:color w:val="auto"/>
          <w:highlight w:val="none"/>
          <w:lang w:eastAsia="zh-CN"/>
        </w:rPr>
      </w:pPr>
      <w:r>
        <w:rPr>
          <w:rFonts w:hint="eastAsia"/>
          <w:color w:val="auto"/>
          <w:highlight w:val="none"/>
          <w:lang w:eastAsia="zh-CN"/>
        </w:rPr>
        <w:t>风管与机组连接宜采用软接，空气处理机组现场拆装后做好密封处理，防止漏风。</w:t>
      </w:r>
    </w:p>
    <w:p>
      <w:pPr>
        <w:rPr>
          <w:color w:val="auto"/>
          <w:highlight w:val="none"/>
          <w:lang w:eastAsia="zh-CN"/>
        </w:rPr>
      </w:pPr>
    </w:p>
    <w:p>
      <w:pPr>
        <w:rPr>
          <w:color w:val="auto"/>
          <w:highlight w:val="none"/>
          <w:lang w:eastAsia="zh-CN"/>
        </w:rPr>
      </w:pPr>
      <w:r>
        <w:rPr>
          <w:color w:val="auto"/>
          <w:highlight w:val="none"/>
          <w:lang w:eastAsia="zh-CN"/>
        </w:rPr>
        <w:t>4</w:t>
      </w:r>
      <w:r>
        <w:rPr>
          <w:rFonts w:hint="eastAsia"/>
          <w:color w:val="auto"/>
          <w:highlight w:val="none"/>
          <w:lang w:eastAsia="zh-CN"/>
        </w:rPr>
        <w:t>、风机盘管安装</w:t>
      </w:r>
    </w:p>
    <w:p>
      <w:pPr>
        <w:rPr>
          <w:color w:val="auto"/>
          <w:highlight w:val="none"/>
          <w:lang w:eastAsia="zh-CN"/>
        </w:rPr>
      </w:pPr>
      <w:r>
        <w:rPr>
          <w:rFonts w:hint="eastAsia"/>
          <w:color w:val="auto"/>
          <w:highlight w:val="none"/>
          <w:lang w:eastAsia="zh-CN"/>
        </w:rPr>
        <w:t>风机盘管由支吊架固定，便于拆卸和维修；</w:t>
      </w:r>
    </w:p>
    <w:p>
      <w:pPr>
        <w:rPr>
          <w:color w:val="auto"/>
          <w:highlight w:val="none"/>
          <w:lang w:eastAsia="zh-CN"/>
        </w:rPr>
      </w:pPr>
      <w:r>
        <w:rPr>
          <w:rFonts w:hint="eastAsia"/>
          <w:color w:val="auto"/>
          <w:highlight w:val="none"/>
          <w:lang w:eastAsia="zh-CN"/>
        </w:rPr>
        <w:t>水管与风机盘管连接采用软接，接管应平直，严禁渗漏；</w:t>
      </w:r>
    </w:p>
    <w:p>
      <w:pPr>
        <w:rPr>
          <w:color w:val="auto"/>
          <w:highlight w:val="none"/>
          <w:lang w:eastAsia="zh-CN"/>
        </w:rPr>
      </w:pPr>
      <w:r>
        <w:rPr>
          <w:rFonts w:hint="eastAsia"/>
          <w:color w:val="auto"/>
          <w:highlight w:val="none"/>
          <w:lang w:eastAsia="zh-CN"/>
        </w:rPr>
        <w:t>水管截止阀、电动两通阀安装位置应便于检修；</w:t>
      </w:r>
    </w:p>
    <w:p>
      <w:pPr>
        <w:rPr>
          <w:color w:val="auto"/>
          <w:highlight w:val="none"/>
          <w:lang w:eastAsia="zh-CN"/>
        </w:rPr>
      </w:pPr>
      <w:r>
        <w:rPr>
          <w:rFonts w:hint="eastAsia"/>
          <w:color w:val="auto"/>
          <w:highlight w:val="none"/>
          <w:lang w:eastAsia="zh-CN"/>
        </w:rPr>
        <w:t>凝结水管道坡度不小于</w:t>
      </w:r>
      <w:r>
        <w:rPr>
          <w:color w:val="auto"/>
          <w:highlight w:val="none"/>
          <w:lang w:eastAsia="zh-CN"/>
        </w:rPr>
        <w:t>0.003</w:t>
      </w:r>
      <w:r>
        <w:rPr>
          <w:rFonts w:hint="eastAsia"/>
          <w:color w:val="auto"/>
          <w:highlight w:val="none"/>
          <w:lang w:eastAsia="zh-CN"/>
        </w:rPr>
        <w:t>；</w:t>
      </w:r>
    </w:p>
    <w:p>
      <w:pPr>
        <w:rPr>
          <w:color w:val="auto"/>
          <w:highlight w:val="none"/>
          <w:lang w:eastAsia="zh-CN"/>
        </w:rPr>
      </w:pPr>
    </w:p>
    <w:p>
      <w:pPr>
        <w:rPr>
          <w:color w:val="auto"/>
          <w:highlight w:val="none"/>
          <w:lang w:eastAsia="zh-CN"/>
        </w:rPr>
      </w:pPr>
      <w:r>
        <w:rPr>
          <w:color w:val="auto"/>
          <w:highlight w:val="none"/>
          <w:lang w:eastAsia="zh-CN"/>
        </w:rPr>
        <w:t>5</w:t>
      </w:r>
      <w:r>
        <w:rPr>
          <w:rFonts w:hint="eastAsia"/>
          <w:color w:val="auto"/>
          <w:highlight w:val="none"/>
          <w:lang w:eastAsia="zh-CN"/>
        </w:rPr>
        <w:t>、排风机安装</w:t>
      </w:r>
    </w:p>
    <w:p>
      <w:pPr>
        <w:rPr>
          <w:color w:val="auto"/>
          <w:highlight w:val="none"/>
          <w:lang w:eastAsia="zh-CN"/>
        </w:rPr>
      </w:pPr>
      <w:r>
        <w:rPr>
          <w:rFonts w:hint="eastAsia"/>
          <w:color w:val="auto"/>
          <w:highlight w:val="none"/>
          <w:lang w:eastAsia="zh-CN"/>
        </w:rPr>
        <w:t>使用专用吊杆安装，机组保持水平，找平、找正；</w:t>
      </w:r>
    </w:p>
    <w:p>
      <w:pPr>
        <w:rPr>
          <w:color w:val="auto"/>
          <w:highlight w:val="none"/>
          <w:lang w:eastAsia="zh-CN"/>
        </w:rPr>
      </w:pPr>
      <w:r>
        <w:rPr>
          <w:rFonts w:hint="eastAsia"/>
          <w:color w:val="auto"/>
          <w:highlight w:val="none"/>
          <w:lang w:eastAsia="zh-CN"/>
        </w:rPr>
        <w:t>风管与机组连接采用软接，若排风量较大噪音较大时须安装弹簧吊杆；</w:t>
      </w:r>
    </w:p>
    <w:p>
      <w:pPr>
        <w:rPr>
          <w:color w:val="auto"/>
          <w:highlight w:val="none"/>
          <w:lang w:eastAsia="zh-CN"/>
        </w:rPr>
      </w:pPr>
      <w:r>
        <w:rPr>
          <w:rFonts w:hint="eastAsia"/>
          <w:color w:val="auto"/>
          <w:highlight w:val="none"/>
          <w:lang w:eastAsia="zh-CN"/>
        </w:rPr>
        <w:t>安装排风机时注意控制气流方向。</w:t>
      </w:r>
    </w:p>
    <w:p>
      <w:pPr>
        <w:rPr>
          <w:color w:val="auto"/>
          <w:highlight w:val="none"/>
          <w:lang w:eastAsia="zh-CN"/>
        </w:rPr>
      </w:pPr>
    </w:p>
    <w:p>
      <w:pPr>
        <w:rPr>
          <w:color w:val="auto"/>
          <w:highlight w:val="none"/>
          <w:lang w:eastAsia="zh-CN"/>
        </w:rPr>
      </w:pPr>
      <w:r>
        <w:rPr>
          <w:color w:val="auto"/>
          <w:highlight w:val="none"/>
          <w:lang w:eastAsia="zh-CN"/>
        </w:rPr>
        <w:t>6</w:t>
      </w:r>
      <w:r>
        <w:rPr>
          <w:rFonts w:hint="eastAsia"/>
          <w:color w:val="auto"/>
          <w:highlight w:val="none"/>
          <w:lang w:eastAsia="zh-CN"/>
        </w:rPr>
        <w:t>、空调水管道安装</w:t>
      </w:r>
    </w:p>
    <w:p>
      <w:pPr>
        <w:rPr>
          <w:color w:val="auto"/>
          <w:highlight w:val="none"/>
          <w:lang w:eastAsia="zh-CN"/>
        </w:rPr>
      </w:pPr>
    </w:p>
    <w:p>
      <w:pPr>
        <w:rPr>
          <w:color w:val="auto"/>
          <w:highlight w:val="none"/>
          <w:lang w:eastAsia="zh-CN"/>
        </w:rPr>
      </w:pPr>
      <w:r>
        <w:rPr>
          <w:rFonts w:hint="eastAsia"/>
          <w:color w:val="auto"/>
          <w:highlight w:val="none"/>
          <w:lang w:eastAsia="zh-CN"/>
        </w:rPr>
        <w:t>材料要求</w:t>
      </w:r>
    </w:p>
    <w:p>
      <w:pPr>
        <w:rPr>
          <w:color w:val="auto"/>
          <w:highlight w:val="none"/>
          <w:lang w:eastAsia="zh-CN"/>
        </w:rPr>
      </w:pPr>
      <w:r>
        <w:rPr>
          <w:rFonts w:hint="eastAsia"/>
          <w:color w:val="auto"/>
          <w:highlight w:val="none"/>
          <w:lang w:eastAsia="zh-CN"/>
        </w:rPr>
        <w:t>空调供回水管DN100及以上管径的采用无缝钢管，DN100以下管径的采用镀锌钢管，冷凝水管采用镀锌钢管，空调加湿用水管采用镀锌钢管，蒸汽管采用无缝钢管。镀锌钢管采用丝扣，无缝钢管采用焊接。当无缝管的壁厚均≤</w:t>
      </w:r>
      <w:r>
        <w:rPr>
          <w:color w:val="auto"/>
          <w:highlight w:val="none"/>
          <w:lang w:eastAsia="zh-CN"/>
        </w:rPr>
        <w:t>4mm</w:t>
      </w:r>
      <w:r>
        <w:rPr>
          <w:rFonts w:hint="eastAsia"/>
          <w:color w:val="auto"/>
          <w:highlight w:val="none"/>
          <w:lang w:eastAsia="zh-CN"/>
        </w:rPr>
        <w:t>，可采用无坡口对口焊，但焊缝要焊透，焊缝加强厚度及焊缝宽度应符合以下规范，管壁厚度</w:t>
      </w:r>
      <w:r>
        <w:rPr>
          <w:color w:val="auto"/>
          <w:highlight w:val="none"/>
          <w:lang w:eastAsia="zh-CN"/>
        </w:rPr>
        <w:t>2-3mm</w:t>
      </w:r>
      <w:r>
        <w:rPr>
          <w:rFonts w:hint="eastAsia"/>
          <w:color w:val="auto"/>
          <w:highlight w:val="none"/>
          <w:lang w:eastAsia="zh-CN"/>
        </w:rPr>
        <w:t>，焊缝加强高度应在</w:t>
      </w:r>
      <w:r>
        <w:rPr>
          <w:color w:val="auto"/>
          <w:highlight w:val="none"/>
          <w:lang w:eastAsia="zh-CN"/>
        </w:rPr>
        <w:t>1-1.5mm</w:t>
      </w:r>
      <w:r>
        <w:rPr>
          <w:rFonts w:hint="eastAsia"/>
          <w:color w:val="auto"/>
          <w:highlight w:val="none"/>
          <w:lang w:eastAsia="zh-CN"/>
        </w:rPr>
        <w:t>之内，焊接宽度</w:t>
      </w:r>
      <w:r>
        <w:rPr>
          <w:color w:val="auto"/>
          <w:highlight w:val="none"/>
          <w:lang w:eastAsia="zh-CN"/>
        </w:rPr>
        <w:t>5-6mm</w:t>
      </w:r>
      <w:r>
        <w:rPr>
          <w:rFonts w:hint="eastAsia"/>
          <w:color w:val="auto"/>
          <w:highlight w:val="none"/>
          <w:lang w:eastAsia="zh-CN"/>
        </w:rPr>
        <w:t>；管壁厚度</w:t>
      </w:r>
      <w:r>
        <w:rPr>
          <w:color w:val="auto"/>
          <w:highlight w:val="none"/>
          <w:lang w:eastAsia="zh-CN"/>
        </w:rPr>
        <w:t>4-6mm</w:t>
      </w:r>
      <w:r>
        <w:rPr>
          <w:rFonts w:hint="eastAsia"/>
          <w:color w:val="auto"/>
          <w:highlight w:val="none"/>
          <w:lang w:eastAsia="zh-CN"/>
        </w:rPr>
        <w:t>，焊缝加强高度应在</w:t>
      </w:r>
      <w:r>
        <w:rPr>
          <w:color w:val="auto"/>
          <w:highlight w:val="none"/>
          <w:lang w:eastAsia="zh-CN"/>
        </w:rPr>
        <w:t>1.5-2mm</w:t>
      </w:r>
      <w:r>
        <w:rPr>
          <w:rFonts w:hint="eastAsia"/>
          <w:color w:val="auto"/>
          <w:highlight w:val="none"/>
          <w:lang w:eastAsia="zh-CN"/>
        </w:rPr>
        <w:t>之内，焊缝宽度</w:t>
      </w:r>
      <w:r>
        <w:rPr>
          <w:color w:val="auto"/>
          <w:highlight w:val="none"/>
          <w:lang w:eastAsia="zh-CN"/>
        </w:rPr>
        <w:t>7-9mm</w:t>
      </w:r>
      <w:r>
        <w:rPr>
          <w:rFonts w:hint="eastAsia"/>
          <w:color w:val="auto"/>
          <w:highlight w:val="none"/>
          <w:lang w:eastAsia="zh-CN"/>
        </w:rPr>
        <w:t>。</w:t>
      </w:r>
      <w:r>
        <w:rPr>
          <w:color w:val="auto"/>
          <w:highlight w:val="none"/>
          <w:lang w:eastAsia="zh-CN"/>
        </w:rPr>
        <w:t>DN70</w:t>
      </w:r>
      <w:r>
        <w:rPr>
          <w:rFonts w:hint="eastAsia"/>
          <w:color w:val="auto"/>
          <w:highlight w:val="none"/>
          <w:lang w:eastAsia="zh-CN"/>
        </w:rPr>
        <w:t>的采用坡口对焊，管道变径时，应采用冲压异径管，并做冷底子油一遍，防锈漆二遍处理。丝接管道管件质量一定要保证。不得使用补心，管子套丝长度应符合规范。</w:t>
      </w:r>
    </w:p>
    <w:p>
      <w:pPr>
        <w:rPr>
          <w:color w:val="auto"/>
          <w:highlight w:val="none"/>
          <w:lang w:eastAsia="zh-CN"/>
        </w:rPr>
      </w:pPr>
    </w:p>
    <w:p>
      <w:pPr>
        <w:rPr>
          <w:color w:val="auto"/>
          <w:highlight w:val="none"/>
          <w:lang w:eastAsia="zh-CN"/>
        </w:rPr>
      </w:pPr>
      <w:r>
        <w:rPr>
          <w:rFonts w:hint="eastAsia"/>
          <w:color w:val="auto"/>
          <w:highlight w:val="none"/>
          <w:lang w:eastAsia="zh-CN"/>
        </w:rPr>
        <w:t>安装工艺</w:t>
      </w:r>
    </w:p>
    <w:p>
      <w:pPr>
        <w:rPr>
          <w:color w:val="auto"/>
          <w:highlight w:val="none"/>
          <w:lang w:eastAsia="zh-CN"/>
        </w:rPr>
      </w:pPr>
      <w:r>
        <w:rPr>
          <w:rFonts w:hint="eastAsia"/>
          <w:color w:val="auto"/>
          <w:highlight w:val="none"/>
          <w:lang w:eastAsia="zh-CN"/>
        </w:rPr>
        <w:t>管道井中的支架每层设一个，管道与支架接触处用木哈夫隔热，凝结水管与支架接触处用</w:t>
      </w:r>
      <w:r>
        <w:rPr>
          <w:color w:val="auto"/>
          <w:highlight w:val="none"/>
          <w:lang w:eastAsia="zh-CN"/>
        </w:rPr>
        <w:t>3mm</w:t>
      </w:r>
      <w:r>
        <w:rPr>
          <w:rFonts w:hint="eastAsia"/>
          <w:color w:val="auto"/>
          <w:highlight w:val="none"/>
          <w:lang w:eastAsia="zh-CN"/>
        </w:rPr>
        <w:t>木块隔热以防产生凝结水。管道支架按规范要求设置（详见附表</w:t>
      </w:r>
      <w:r>
        <w:rPr>
          <w:color w:val="auto"/>
          <w:highlight w:val="none"/>
          <w:lang w:eastAsia="zh-CN"/>
        </w:rPr>
        <w:t>4</w:t>
      </w:r>
      <w:r>
        <w:rPr>
          <w:rFonts w:hint="eastAsia"/>
          <w:color w:val="auto"/>
          <w:highlight w:val="none"/>
          <w:lang w:eastAsia="zh-CN"/>
        </w:rPr>
        <w:t>）。</w:t>
      </w:r>
    </w:p>
    <w:p>
      <w:pPr>
        <w:rPr>
          <w:color w:val="auto"/>
          <w:highlight w:val="none"/>
          <w:lang w:eastAsia="zh-CN"/>
        </w:rPr>
      </w:pPr>
      <w:r>
        <w:rPr>
          <w:rFonts w:hint="eastAsia"/>
          <w:color w:val="auto"/>
          <w:highlight w:val="none"/>
          <w:lang w:eastAsia="zh-CN"/>
        </w:rPr>
        <w:t>管道安装前必须将管内的污物及锈蚀清除干净。安装停顿期间对管道开口应采用封闭保护措施，冷冻水管道系统在系统最高处，在便于操作的部位设置放气阀。最低点设排污泄水装置，与设备连接的支管上装法兰，以便拆卸。</w:t>
      </w:r>
    </w:p>
    <w:p>
      <w:pPr>
        <w:rPr>
          <w:color w:val="auto"/>
          <w:highlight w:val="none"/>
          <w:lang w:eastAsia="zh-CN"/>
        </w:rPr>
      </w:pPr>
      <w:r>
        <w:rPr>
          <w:rFonts w:hint="eastAsia"/>
          <w:color w:val="auto"/>
          <w:highlight w:val="none"/>
          <w:lang w:eastAsia="zh-CN"/>
        </w:rPr>
        <w:t>管道安装后应进行系统冲洗，系统冲洗后方能与冷热机组或空调设备连接。</w:t>
      </w:r>
    </w:p>
    <w:p>
      <w:pPr>
        <w:rPr>
          <w:color w:val="auto"/>
          <w:highlight w:val="none"/>
          <w:lang w:eastAsia="zh-CN"/>
        </w:rPr>
      </w:pPr>
      <w:r>
        <w:rPr>
          <w:rFonts w:hint="eastAsia"/>
          <w:color w:val="auto"/>
          <w:highlight w:val="none"/>
          <w:lang w:eastAsia="zh-CN"/>
        </w:rPr>
        <w:t>冷凝水的水平管应坡向排水口</w:t>
      </w:r>
      <w:r>
        <w:rPr>
          <w:color w:val="auto"/>
          <w:highlight w:val="none"/>
          <w:lang w:eastAsia="zh-CN"/>
        </w:rPr>
        <w:t xml:space="preserve"> </w:t>
      </w:r>
      <w:r>
        <w:rPr>
          <w:rFonts w:hint="eastAsia"/>
          <w:color w:val="auto"/>
          <w:highlight w:val="none"/>
          <w:lang w:eastAsia="zh-CN"/>
        </w:rPr>
        <w:t>，坡度应大于或等于</w:t>
      </w:r>
      <w:r>
        <w:rPr>
          <w:color w:val="auto"/>
          <w:highlight w:val="none"/>
          <w:lang w:eastAsia="zh-CN"/>
        </w:rPr>
        <w:t>8</w:t>
      </w:r>
      <w:r>
        <w:rPr>
          <w:rFonts w:hint="eastAsia"/>
          <w:color w:val="auto"/>
          <w:highlight w:val="none"/>
          <w:lang w:eastAsia="zh-CN"/>
        </w:rPr>
        <w:t>‰。</w:t>
      </w:r>
    </w:p>
    <w:p>
      <w:pPr>
        <w:rPr>
          <w:color w:val="auto"/>
          <w:highlight w:val="none"/>
          <w:lang w:eastAsia="zh-CN"/>
        </w:rPr>
      </w:pPr>
      <w:r>
        <w:rPr>
          <w:rFonts w:hint="eastAsia"/>
          <w:color w:val="auto"/>
          <w:highlight w:val="none"/>
          <w:lang w:eastAsia="zh-CN"/>
        </w:rPr>
        <w:t>冷冻水管、凝水管在穿墙、穿楼板时应设保护套管，套管应比管径加保温层厚度大</w:t>
      </w:r>
      <w:r>
        <w:rPr>
          <w:color w:val="auto"/>
          <w:highlight w:val="none"/>
          <w:lang w:eastAsia="zh-CN"/>
        </w:rPr>
        <w:t>1cm</w:t>
      </w:r>
      <w:r>
        <w:rPr>
          <w:rFonts w:hint="eastAsia"/>
          <w:color w:val="auto"/>
          <w:highlight w:val="none"/>
          <w:lang w:eastAsia="zh-CN"/>
        </w:rPr>
        <w:t>，套管应能保证管道及保温层自由伸缩。套管处不得有管道的接头焊缝，套管与保温层之间的空隙用石棉绳塞紧。</w:t>
      </w:r>
    </w:p>
    <w:p>
      <w:pPr>
        <w:rPr>
          <w:color w:val="auto"/>
          <w:highlight w:val="none"/>
          <w:lang w:eastAsia="zh-CN"/>
        </w:rPr>
      </w:pPr>
      <w:r>
        <w:rPr>
          <w:rFonts w:hint="eastAsia"/>
          <w:color w:val="auto"/>
          <w:highlight w:val="none"/>
          <w:lang w:eastAsia="zh-CN"/>
        </w:rPr>
        <w:t>管道与泵的连接采用弹性连接，并在管道处设置独立支架。</w:t>
      </w:r>
    </w:p>
    <w:p>
      <w:pPr>
        <w:rPr>
          <w:color w:val="auto"/>
          <w:highlight w:val="none"/>
          <w:lang w:eastAsia="zh-CN"/>
        </w:rPr>
      </w:pPr>
      <w:r>
        <w:rPr>
          <w:rFonts w:hint="eastAsia"/>
          <w:color w:val="auto"/>
          <w:highlight w:val="none"/>
          <w:lang w:eastAsia="zh-CN"/>
        </w:rPr>
        <w:t>本工程保温管道与支吊架之间采用木哈夫绝热，要做到其厚度与绝热层厚度相同，表面平整，接触面的空隙应填实。</w:t>
      </w:r>
    </w:p>
    <w:p>
      <w:pPr>
        <w:rPr>
          <w:color w:val="auto"/>
          <w:highlight w:val="none"/>
          <w:lang w:eastAsia="zh-CN"/>
        </w:rPr>
      </w:pPr>
      <w:r>
        <w:rPr>
          <w:rFonts w:hint="eastAsia"/>
          <w:color w:val="auto"/>
          <w:highlight w:val="none"/>
          <w:lang w:eastAsia="zh-CN"/>
        </w:rPr>
        <w:t>空调供回水管采用难燃型橡塑保温材料，保温厚度根据管径确定。凝结水管保温厚度22</w:t>
      </w:r>
      <w:r>
        <w:rPr>
          <w:color w:val="auto"/>
          <w:highlight w:val="none"/>
          <w:lang w:eastAsia="zh-CN"/>
        </w:rPr>
        <w:t>mm</w:t>
      </w:r>
      <w:r>
        <w:rPr>
          <w:rFonts w:hint="eastAsia"/>
          <w:color w:val="auto"/>
          <w:highlight w:val="none"/>
          <w:lang w:eastAsia="zh-CN"/>
        </w:rPr>
        <w:t>，室外管道采用厚度0.5mm的铝板做保护壳。搭接缝要顺坡设置。</w:t>
      </w:r>
    </w:p>
    <w:p>
      <w:pPr>
        <w:rPr>
          <w:color w:val="auto"/>
          <w:highlight w:val="none"/>
          <w:lang w:eastAsia="zh-CN"/>
        </w:rPr>
      </w:pPr>
      <w:r>
        <w:rPr>
          <w:rFonts w:hint="eastAsia"/>
          <w:color w:val="auto"/>
          <w:highlight w:val="none"/>
          <w:lang w:eastAsia="zh-CN"/>
        </w:rPr>
        <w:t>保温材料在储存、搬运及施工工程中，要加强防潮、防水措施，以保护材料的功能。</w:t>
      </w:r>
    </w:p>
    <w:p>
      <w:pPr>
        <w:rPr>
          <w:color w:val="auto"/>
          <w:highlight w:val="none"/>
          <w:lang w:eastAsia="zh-CN"/>
        </w:rPr>
      </w:pPr>
    </w:p>
    <w:p>
      <w:pPr>
        <w:rPr>
          <w:color w:val="auto"/>
          <w:highlight w:val="none"/>
          <w:lang w:eastAsia="zh-CN"/>
        </w:rPr>
      </w:pPr>
      <w:r>
        <w:rPr>
          <w:color w:val="auto"/>
          <w:highlight w:val="none"/>
          <w:lang w:eastAsia="zh-CN"/>
        </w:rPr>
        <w:t>7.</w:t>
      </w:r>
      <w:r>
        <w:rPr>
          <w:rFonts w:hint="eastAsia"/>
          <w:color w:val="auto"/>
          <w:highlight w:val="none"/>
          <w:lang w:eastAsia="zh-CN"/>
        </w:rPr>
        <w:t>防腐与绝热</w:t>
      </w:r>
    </w:p>
    <w:p>
      <w:pPr>
        <w:rPr>
          <w:color w:val="auto"/>
          <w:highlight w:val="none"/>
          <w:lang w:eastAsia="zh-CN"/>
        </w:rPr>
      </w:pPr>
      <w:r>
        <w:rPr>
          <w:rFonts w:hint="eastAsia"/>
          <w:color w:val="auto"/>
          <w:highlight w:val="none"/>
          <w:lang w:eastAsia="zh-CN"/>
        </w:rPr>
        <w:t>一、防腐</w:t>
      </w:r>
    </w:p>
    <w:p>
      <w:pPr>
        <w:rPr>
          <w:color w:val="auto"/>
          <w:highlight w:val="none"/>
          <w:lang w:eastAsia="zh-CN"/>
        </w:rPr>
      </w:pPr>
      <w:r>
        <w:rPr>
          <w:rFonts w:hint="eastAsia"/>
          <w:color w:val="auto"/>
          <w:highlight w:val="none"/>
          <w:lang w:eastAsia="zh-CN"/>
        </w:rPr>
        <w:t>本节说明有关通风与空调系统的设备、风管、水管和其他配件进行防腐油漆工程的相关技术要求。</w:t>
      </w:r>
    </w:p>
    <w:p>
      <w:pPr>
        <w:rPr>
          <w:color w:val="auto"/>
          <w:highlight w:val="none"/>
          <w:lang w:eastAsia="zh-CN"/>
        </w:rPr>
      </w:pPr>
    </w:p>
    <w:p>
      <w:pPr>
        <w:rPr>
          <w:color w:val="auto"/>
          <w:highlight w:val="none"/>
          <w:lang w:eastAsia="zh-CN"/>
        </w:rPr>
      </w:pPr>
      <w:r>
        <w:rPr>
          <w:rFonts w:hint="eastAsia"/>
          <w:color w:val="auto"/>
          <w:highlight w:val="none"/>
          <w:lang w:eastAsia="zh-CN"/>
        </w:rPr>
        <w:t>一般要求</w:t>
      </w:r>
    </w:p>
    <w:p>
      <w:pPr>
        <w:rPr>
          <w:color w:val="auto"/>
          <w:highlight w:val="none"/>
          <w:lang w:eastAsia="zh-CN"/>
        </w:rPr>
      </w:pPr>
      <w:r>
        <w:rPr>
          <w:rFonts w:hint="eastAsia"/>
          <w:color w:val="auto"/>
          <w:highlight w:val="none"/>
          <w:lang w:eastAsia="zh-CN"/>
        </w:rPr>
        <w:t>所有机电设备、风管和水管须按设计及本技术要求，提供所需的油漆防腐。</w:t>
      </w:r>
    </w:p>
    <w:p>
      <w:pPr>
        <w:rPr>
          <w:color w:val="auto"/>
          <w:highlight w:val="none"/>
          <w:lang w:eastAsia="zh-CN"/>
        </w:rPr>
      </w:pPr>
      <w:r>
        <w:rPr>
          <w:rFonts w:hint="eastAsia"/>
          <w:color w:val="auto"/>
          <w:highlight w:val="none"/>
          <w:lang w:eastAsia="zh-CN"/>
        </w:rPr>
        <w:t>所有由铁或钢的制成品（包括风管、水管、支吊架、结构钢架、检修门、设备基座等等）都须涂以油漆防腐。而所用的螺栓、螺母及垫片等须由防锈金属材料制成；</w:t>
      </w:r>
    </w:p>
    <w:p>
      <w:pPr>
        <w:rPr>
          <w:color w:val="auto"/>
          <w:highlight w:val="none"/>
          <w:lang w:eastAsia="zh-CN"/>
        </w:rPr>
      </w:pPr>
      <w:r>
        <w:rPr>
          <w:rFonts w:hint="eastAsia"/>
          <w:color w:val="auto"/>
          <w:highlight w:val="none"/>
          <w:lang w:eastAsia="zh-CN"/>
        </w:rPr>
        <w:t>须严格按照油漆生产厂家的要求进行涂漆工作。同时为确保各种油漆互相兼容，应采用同一厂家的油漆产品；</w:t>
      </w:r>
    </w:p>
    <w:p>
      <w:pPr>
        <w:rPr>
          <w:color w:val="auto"/>
          <w:highlight w:val="none"/>
          <w:lang w:eastAsia="zh-CN"/>
        </w:rPr>
      </w:pPr>
      <w:r>
        <w:rPr>
          <w:rFonts w:hint="eastAsia"/>
          <w:color w:val="auto"/>
          <w:highlight w:val="none"/>
          <w:lang w:eastAsia="zh-CN"/>
        </w:rPr>
        <w:t>所有油漆产品须符合当地消防局的要求；</w:t>
      </w:r>
    </w:p>
    <w:p>
      <w:pPr>
        <w:rPr>
          <w:color w:val="auto"/>
          <w:highlight w:val="none"/>
          <w:lang w:eastAsia="zh-CN"/>
        </w:rPr>
      </w:pPr>
      <w:r>
        <w:rPr>
          <w:rFonts w:hint="eastAsia"/>
          <w:color w:val="auto"/>
          <w:highlight w:val="none"/>
          <w:lang w:eastAsia="zh-CN"/>
        </w:rPr>
        <w:t>所有油漆产品的生产商必须具有不少于十年生产油漆产品的经验；</w:t>
      </w:r>
    </w:p>
    <w:p>
      <w:pPr>
        <w:rPr>
          <w:color w:val="auto"/>
          <w:highlight w:val="none"/>
          <w:lang w:eastAsia="zh-CN"/>
        </w:rPr>
      </w:pPr>
      <w:r>
        <w:rPr>
          <w:rFonts w:hint="eastAsia"/>
          <w:color w:val="auto"/>
          <w:highlight w:val="none"/>
          <w:lang w:eastAsia="zh-CN"/>
        </w:rPr>
        <w:t>所有油漆产品须有出厂合格证或质量保证书；</w:t>
      </w:r>
    </w:p>
    <w:p>
      <w:pPr>
        <w:rPr>
          <w:color w:val="auto"/>
          <w:highlight w:val="none"/>
          <w:lang w:eastAsia="zh-CN"/>
        </w:rPr>
      </w:pPr>
      <w:r>
        <w:rPr>
          <w:rFonts w:hint="eastAsia"/>
          <w:color w:val="auto"/>
          <w:highlight w:val="none"/>
          <w:lang w:eastAsia="zh-CN"/>
        </w:rPr>
        <w:t>须按照国标</w:t>
      </w:r>
      <w:r>
        <w:rPr>
          <w:color w:val="auto"/>
          <w:highlight w:val="none"/>
          <w:lang w:eastAsia="zh-CN"/>
        </w:rPr>
        <w:t>GB50243-2002</w:t>
      </w:r>
      <w:r>
        <w:rPr>
          <w:rFonts w:hint="eastAsia"/>
          <w:color w:val="auto"/>
          <w:highlight w:val="none"/>
          <w:lang w:eastAsia="zh-CN"/>
        </w:rPr>
        <w:t>的规定进行有关油漆施工工作。</w:t>
      </w:r>
    </w:p>
    <w:p>
      <w:pPr>
        <w:rPr>
          <w:color w:val="auto"/>
          <w:highlight w:val="none"/>
          <w:lang w:eastAsia="zh-CN"/>
        </w:rPr>
      </w:pPr>
      <w:r>
        <w:rPr>
          <w:rFonts w:hint="eastAsia"/>
          <w:color w:val="auto"/>
          <w:highlight w:val="none"/>
          <w:lang w:eastAsia="zh-CN"/>
        </w:rPr>
        <w:t>在运送、储存和防腐施工期间，应采取正确的保护措施，以确保产品在任何情况下不受破损；</w:t>
      </w:r>
    </w:p>
    <w:p>
      <w:pPr>
        <w:rPr>
          <w:color w:val="auto"/>
          <w:highlight w:val="none"/>
          <w:lang w:eastAsia="zh-CN"/>
        </w:rPr>
      </w:pPr>
      <w:r>
        <w:rPr>
          <w:rFonts w:hint="eastAsia"/>
          <w:color w:val="auto"/>
          <w:highlight w:val="none"/>
          <w:lang w:eastAsia="zh-CN"/>
        </w:rPr>
        <w:t>要提交所有油漆的样本。</w:t>
      </w:r>
    </w:p>
    <w:p>
      <w:pPr>
        <w:rPr>
          <w:color w:val="auto"/>
          <w:highlight w:val="none"/>
          <w:lang w:eastAsia="zh-CN"/>
        </w:rPr>
      </w:pPr>
    </w:p>
    <w:p>
      <w:pPr>
        <w:rPr>
          <w:color w:val="auto"/>
          <w:highlight w:val="none"/>
          <w:lang w:eastAsia="zh-CN"/>
        </w:rPr>
      </w:pPr>
      <w:r>
        <w:rPr>
          <w:rFonts w:hint="eastAsia"/>
          <w:color w:val="auto"/>
          <w:highlight w:val="none"/>
          <w:lang w:eastAsia="zh-CN"/>
        </w:rPr>
        <w:t>产品</w:t>
      </w:r>
    </w:p>
    <w:p>
      <w:pPr>
        <w:rPr>
          <w:color w:val="auto"/>
          <w:highlight w:val="none"/>
          <w:lang w:eastAsia="zh-CN"/>
        </w:rPr>
      </w:pPr>
      <w:r>
        <w:rPr>
          <w:rFonts w:hint="eastAsia"/>
          <w:color w:val="auto"/>
          <w:highlight w:val="none"/>
          <w:lang w:eastAsia="zh-CN"/>
        </w:rPr>
        <w:t>所有油漆须是有效保质期限内的合格产品；所有盛装油漆材料的容器必须清楚印上商标、产品编号和产家名称。</w:t>
      </w:r>
    </w:p>
    <w:p>
      <w:pPr>
        <w:rPr>
          <w:color w:val="auto"/>
          <w:highlight w:val="none"/>
          <w:lang w:eastAsia="zh-CN"/>
        </w:rPr>
      </w:pPr>
      <w:r>
        <w:rPr>
          <w:rFonts w:hint="eastAsia"/>
          <w:color w:val="auto"/>
          <w:highlight w:val="none"/>
          <w:lang w:eastAsia="zh-CN"/>
        </w:rPr>
        <w:t>防腐油漆和涂料，必须是有效保质期限内的合格产品。</w:t>
      </w:r>
    </w:p>
    <w:p>
      <w:pPr>
        <w:rPr>
          <w:color w:val="auto"/>
          <w:highlight w:val="none"/>
          <w:lang w:eastAsia="zh-CN"/>
        </w:rPr>
      </w:pPr>
      <w:r>
        <w:rPr>
          <w:rFonts w:hint="eastAsia"/>
          <w:color w:val="auto"/>
          <w:highlight w:val="none"/>
          <w:lang w:eastAsia="zh-CN"/>
        </w:rPr>
        <w:t>空调冷冻水、冷却水管须在除锈后刷防锈漆两道。</w:t>
      </w:r>
    </w:p>
    <w:p>
      <w:pPr>
        <w:rPr>
          <w:color w:val="auto"/>
          <w:highlight w:val="none"/>
          <w:lang w:eastAsia="zh-CN"/>
        </w:rPr>
      </w:pPr>
    </w:p>
    <w:p>
      <w:pPr>
        <w:rPr>
          <w:color w:val="auto"/>
          <w:highlight w:val="none"/>
          <w:lang w:eastAsia="zh-CN"/>
        </w:rPr>
      </w:pPr>
      <w:r>
        <w:rPr>
          <w:rFonts w:hint="eastAsia"/>
          <w:color w:val="auto"/>
          <w:highlight w:val="none"/>
          <w:lang w:eastAsia="zh-CN"/>
        </w:rPr>
        <w:t>施工</w:t>
      </w:r>
    </w:p>
    <w:p>
      <w:pPr>
        <w:rPr>
          <w:color w:val="auto"/>
          <w:highlight w:val="none"/>
          <w:lang w:eastAsia="zh-CN"/>
        </w:rPr>
      </w:pPr>
      <w:r>
        <w:rPr>
          <w:rFonts w:hint="eastAsia"/>
          <w:color w:val="auto"/>
          <w:highlight w:val="none"/>
          <w:lang w:eastAsia="zh-CN"/>
        </w:rPr>
        <w:t>喷涂油漆的施工环境</w:t>
      </w:r>
    </w:p>
    <w:p>
      <w:pPr>
        <w:rPr>
          <w:color w:val="auto"/>
          <w:highlight w:val="none"/>
          <w:lang w:eastAsia="zh-CN"/>
        </w:rPr>
      </w:pPr>
      <w:r>
        <w:rPr>
          <w:rFonts w:hint="eastAsia"/>
          <w:color w:val="auto"/>
          <w:highlight w:val="none"/>
          <w:lang w:eastAsia="zh-CN"/>
        </w:rPr>
        <w:t>除特别注明或经业主</w:t>
      </w:r>
      <w:r>
        <w:rPr>
          <w:color w:val="auto"/>
          <w:highlight w:val="none"/>
          <w:lang w:eastAsia="zh-CN"/>
        </w:rPr>
        <w:t>/</w:t>
      </w:r>
      <w:r>
        <w:rPr>
          <w:rFonts w:hint="eastAsia"/>
          <w:color w:val="auto"/>
          <w:highlight w:val="none"/>
          <w:lang w:eastAsia="zh-CN"/>
        </w:rPr>
        <w:t>监理工程师许可外，所有油漆工作须在一个清洁及干燥的环境里进行。在气温低于</w:t>
      </w:r>
      <w:r>
        <w:rPr>
          <w:color w:val="auto"/>
          <w:highlight w:val="none"/>
          <w:lang w:eastAsia="zh-CN"/>
        </w:rPr>
        <w:t>4</w:t>
      </w:r>
      <w:r>
        <w:rPr>
          <w:rFonts w:hint="eastAsia"/>
          <w:color w:val="auto"/>
          <w:highlight w:val="none"/>
          <w:lang w:eastAsia="zh-CN"/>
        </w:rPr>
        <w:t>℃或相对湿度高于</w:t>
      </w:r>
      <w:r>
        <w:rPr>
          <w:color w:val="auto"/>
          <w:highlight w:val="none"/>
          <w:lang w:eastAsia="zh-CN"/>
        </w:rPr>
        <w:t>90%</w:t>
      </w:r>
      <w:r>
        <w:rPr>
          <w:rFonts w:hint="eastAsia"/>
          <w:color w:val="auto"/>
          <w:highlight w:val="none"/>
          <w:lang w:eastAsia="zh-CN"/>
        </w:rPr>
        <w:t>的环境下不能进行任何油漆工作。</w:t>
      </w:r>
    </w:p>
    <w:p>
      <w:pPr>
        <w:rPr>
          <w:color w:val="auto"/>
          <w:highlight w:val="none"/>
          <w:lang w:eastAsia="zh-CN"/>
        </w:rPr>
      </w:pPr>
    </w:p>
    <w:p>
      <w:pPr>
        <w:rPr>
          <w:color w:val="auto"/>
          <w:highlight w:val="none"/>
          <w:lang w:eastAsia="zh-CN"/>
        </w:rPr>
      </w:pPr>
      <w:r>
        <w:rPr>
          <w:rFonts w:hint="eastAsia"/>
          <w:color w:val="auto"/>
          <w:highlight w:val="none"/>
          <w:lang w:eastAsia="zh-CN"/>
        </w:rPr>
        <w:t>除锈</w:t>
      </w:r>
    </w:p>
    <w:p>
      <w:pPr>
        <w:rPr>
          <w:color w:val="auto"/>
          <w:highlight w:val="none"/>
          <w:lang w:eastAsia="zh-CN"/>
        </w:rPr>
      </w:pPr>
      <w:r>
        <w:rPr>
          <w:rFonts w:hint="eastAsia"/>
          <w:color w:val="auto"/>
          <w:highlight w:val="none"/>
          <w:lang w:eastAsia="zh-CN"/>
        </w:rPr>
        <w:t>风管、部件、设备及水管道在涂刷底漆前应作好表面处理，清除金属表面的氧化物、铁锈、灰尘、污垢等，露出金属光泽。一般用手工或机械除锈，亦可采用化学试剂除锈，不得使用损伤物件表面或使之变形的工具或措施。表面处理后应在规定的时间内（一般不超过</w:t>
      </w:r>
      <w:r>
        <w:rPr>
          <w:color w:val="auto"/>
          <w:highlight w:val="none"/>
          <w:lang w:eastAsia="zh-CN"/>
        </w:rPr>
        <w:t>4</w:t>
      </w:r>
      <w:r>
        <w:rPr>
          <w:rFonts w:hint="eastAsia"/>
          <w:color w:val="auto"/>
          <w:highlight w:val="none"/>
          <w:lang w:eastAsia="zh-CN"/>
        </w:rPr>
        <w:t>小时）喷涂底漆，以免表面处理失效。</w:t>
      </w:r>
    </w:p>
    <w:p>
      <w:pPr>
        <w:rPr>
          <w:color w:val="auto"/>
          <w:highlight w:val="none"/>
          <w:lang w:eastAsia="zh-CN"/>
        </w:rPr>
      </w:pPr>
    </w:p>
    <w:p>
      <w:pPr>
        <w:rPr>
          <w:color w:val="auto"/>
          <w:highlight w:val="none"/>
          <w:lang w:eastAsia="zh-CN"/>
        </w:rPr>
      </w:pPr>
      <w:r>
        <w:rPr>
          <w:rFonts w:hint="eastAsia"/>
          <w:color w:val="auto"/>
          <w:highlight w:val="none"/>
          <w:lang w:eastAsia="zh-CN"/>
        </w:rPr>
        <w:t>喷涂油漆</w:t>
      </w:r>
    </w:p>
    <w:p>
      <w:pPr>
        <w:rPr>
          <w:color w:val="auto"/>
          <w:highlight w:val="none"/>
          <w:lang w:eastAsia="zh-CN"/>
        </w:rPr>
      </w:pPr>
      <w:r>
        <w:rPr>
          <w:rFonts w:hint="eastAsia"/>
          <w:color w:val="auto"/>
          <w:highlight w:val="none"/>
          <w:lang w:eastAsia="zh-CN"/>
        </w:rPr>
        <w:t>所有经过清理干净的、干燥金属表面，必须尽快提交监理工程师检查合格后，按已认可的程序进行油漆保护，以免清理干净的表面再锈蚀；</w:t>
      </w:r>
    </w:p>
    <w:p>
      <w:pPr>
        <w:rPr>
          <w:color w:val="auto"/>
          <w:highlight w:val="none"/>
          <w:lang w:eastAsia="zh-CN"/>
        </w:rPr>
      </w:pPr>
      <w:r>
        <w:rPr>
          <w:rFonts w:hint="eastAsia"/>
          <w:color w:val="auto"/>
          <w:highlight w:val="none"/>
          <w:lang w:eastAsia="zh-CN"/>
        </w:rPr>
        <w:t>必须严格按照生产商推荐的油漆程序进行油漆工作，同时各有关人员在处理、储存和使用油漆材料时须严格遵守有关的安全守则、当地法规和油漆供应商所列的注意事项等，以提供一个安全、健康的工作环境；</w:t>
      </w:r>
    </w:p>
    <w:p>
      <w:pPr>
        <w:rPr>
          <w:color w:val="auto"/>
          <w:highlight w:val="none"/>
          <w:lang w:eastAsia="zh-CN"/>
        </w:rPr>
      </w:pPr>
      <w:r>
        <w:rPr>
          <w:rFonts w:hint="eastAsia"/>
          <w:color w:val="auto"/>
          <w:highlight w:val="none"/>
          <w:lang w:eastAsia="zh-CN"/>
        </w:rPr>
        <w:t>进行油漆工作时，所有不需油漆的而可能受到影响的表面须加以覆盖保护以免受污染。油漆工作结束后，须将其工作环境清理妥当；</w:t>
      </w:r>
    </w:p>
    <w:p>
      <w:pPr>
        <w:rPr>
          <w:color w:val="auto"/>
          <w:highlight w:val="none"/>
          <w:lang w:eastAsia="zh-CN"/>
        </w:rPr>
      </w:pPr>
      <w:r>
        <w:rPr>
          <w:rFonts w:hint="eastAsia"/>
          <w:color w:val="auto"/>
          <w:highlight w:val="none"/>
          <w:lang w:eastAsia="zh-CN"/>
        </w:rPr>
        <w:t>所有油漆工作须由熟练的油漆工担任，以保证各层涂漆能均匀及光滑地覆盖。每一层涂层必须完全干透才可进行下一步涂漆；每层涂漆的最小干膜厚度须符合油漆厂家的建议。</w:t>
      </w:r>
    </w:p>
    <w:p>
      <w:pPr>
        <w:rPr>
          <w:color w:val="auto"/>
          <w:highlight w:val="none"/>
          <w:lang w:eastAsia="zh-CN"/>
        </w:rPr>
      </w:pPr>
      <w:r>
        <w:rPr>
          <w:rFonts w:hint="eastAsia"/>
          <w:color w:val="auto"/>
          <w:highlight w:val="none"/>
          <w:lang w:eastAsia="zh-CN"/>
        </w:rPr>
        <w:t>所有钢制预埋件，当局部埋在结构内时，必须在结构混凝土凝固及模板拆除后，对所有外露部分尤其是与结构接合处加以涂漆作保护；</w:t>
      </w:r>
    </w:p>
    <w:p>
      <w:pPr>
        <w:rPr>
          <w:color w:val="auto"/>
          <w:highlight w:val="none"/>
          <w:lang w:eastAsia="zh-CN"/>
        </w:rPr>
      </w:pPr>
      <w:r>
        <w:rPr>
          <w:rFonts w:hint="eastAsia"/>
          <w:color w:val="auto"/>
          <w:highlight w:val="none"/>
          <w:lang w:eastAsia="zh-CN"/>
        </w:rPr>
        <w:t>每公升的油漆所能涂刷的表面面积必须不能超越由油漆生产商所定的标准。</w:t>
      </w:r>
    </w:p>
    <w:p>
      <w:pPr>
        <w:rPr>
          <w:color w:val="auto"/>
          <w:highlight w:val="none"/>
          <w:lang w:eastAsia="zh-CN"/>
        </w:rPr>
      </w:pPr>
      <w:r>
        <w:rPr>
          <w:rFonts w:hint="eastAsia"/>
          <w:color w:val="auto"/>
          <w:highlight w:val="none"/>
          <w:lang w:eastAsia="zh-CN"/>
        </w:rPr>
        <w:t>喷涂油漆的漆膜应附着牢固、光滑均匀，无漏涂、剥落、起泡、透锈等缺陷。</w:t>
      </w:r>
    </w:p>
    <w:p>
      <w:pPr>
        <w:rPr>
          <w:color w:val="auto"/>
          <w:highlight w:val="none"/>
          <w:lang w:eastAsia="zh-CN"/>
        </w:rPr>
      </w:pPr>
      <w:r>
        <w:rPr>
          <w:rFonts w:hint="eastAsia"/>
          <w:color w:val="auto"/>
          <w:highlight w:val="none"/>
          <w:lang w:eastAsia="zh-CN"/>
        </w:rPr>
        <w:t>带有调节、关闭和转动要求的风口类及阀门类部件油漆，涂刷油漆后应开启灵活、调节角度准确、关闭严密。</w:t>
      </w:r>
    </w:p>
    <w:p>
      <w:pPr>
        <w:rPr>
          <w:color w:val="auto"/>
          <w:highlight w:val="none"/>
          <w:lang w:eastAsia="zh-CN"/>
        </w:rPr>
      </w:pPr>
      <w:r>
        <w:rPr>
          <w:rFonts w:hint="eastAsia"/>
          <w:color w:val="auto"/>
          <w:highlight w:val="none"/>
          <w:lang w:eastAsia="zh-CN"/>
        </w:rPr>
        <w:t>支吊架的防腐油漆应与风管或管道相一致，其明装部分必须涂面漆。</w:t>
      </w:r>
    </w:p>
    <w:p>
      <w:pPr>
        <w:rPr>
          <w:color w:val="auto"/>
          <w:highlight w:val="none"/>
          <w:lang w:eastAsia="zh-CN"/>
        </w:rPr>
      </w:pPr>
      <w:r>
        <w:rPr>
          <w:rFonts w:hint="eastAsia"/>
          <w:color w:val="auto"/>
          <w:highlight w:val="none"/>
          <w:lang w:eastAsia="zh-CN"/>
        </w:rPr>
        <w:t>空调制冷各系统管道的外表面，应按设计规定作色标。</w:t>
      </w:r>
    </w:p>
    <w:p>
      <w:pPr>
        <w:rPr>
          <w:color w:val="auto"/>
          <w:highlight w:val="none"/>
          <w:lang w:eastAsia="zh-CN"/>
        </w:rPr>
      </w:pPr>
    </w:p>
    <w:p>
      <w:pPr>
        <w:rPr>
          <w:color w:val="auto"/>
          <w:highlight w:val="none"/>
          <w:lang w:eastAsia="zh-CN"/>
        </w:rPr>
      </w:pPr>
      <w:r>
        <w:rPr>
          <w:rFonts w:hint="eastAsia"/>
          <w:color w:val="auto"/>
          <w:highlight w:val="none"/>
          <w:lang w:eastAsia="zh-CN"/>
        </w:rPr>
        <w:t>二、绝热</w:t>
      </w:r>
    </w:p>
    <w:p>
      <w:pPr>
        <w:rPr>
          <w:color w:val="auto"/>
          <w:highlight w:val="none"/>
          <w:lang w:eastAsia="zh-CN"/>
        </w:rPr>
      </w:pPr>
      <w:r>
        <w:rPr>
          <w:color w:val="auto"/>
          <w:highlight w:val="none"/>
          <w:lang w:eastAsia="zh-CN"/>
        </w:rPr>
        <w:t>1</w:t>
      </w:r>
      <w:r>
        <w:rPr>
          <w:rFonts w:hint="eastAsia"/>
          <w:color w:val="auto"/>
          <w:highlight w:val="none"/>
          <w:lang w:eastAsia="zh-CN"/>
        </w:rPr>
        <w:t>、本节说明有关保温材料的制造及安装技术要求。</w:t>
      </w:r>
    </w:p>
    <w:p>
      <w:pPr>
        <w:rPr>
          <w:color w:val="auto"/>
          <w:highlight w:val="none"/>
          <w:lang w:eastAsia="zh-CN"/>
        </w:rPr>
      </w:pPr>
    </w:p>
    <w:p>
      <w:pPr>
        <w:rPr>
          <w:color w:val="auto"/>
          <w:highlight w:val="none"/>
          <w:lang w:eastAsia="zh-CN"/>
        </w:rPr>
      </w:pPr>
      <w:r>
        <w:rPr>
          <w:rFonts w:hint="eastAsia"/>
          <w:color w:val="auto"/>
          <w:highlight w:val="none"/>
          <w:lang w:eastAsia="zh-CN"/>
        </w:rPr>
        <w:t>一般要求</w:t>
      </w:r>
    </w:p>
    <w:p>
      <w:pPr>
        <w:rPr>
          <w:color w:val="auto"/>
          <w:highlight w:val="none"/>
          <w:lang w:eastAsia="zh-CN"/>
        </w:rPr>
      </w:pPr>
      <w:r>
        <w:rPr>
          <w:rFonts w:hint="eastAsia"/>
          <w:color w:val="auto"/>
          <w:highlight w:val="none"/>
          <w:lang w:eastAsia="zh-CN"/>
        </w:rPr>
        <w:t>在运送、储存和安装保温材料期间，应采取正确的保护措施，以确保在任何情况下不受破损；</w:t>
      </w:r>
    </w:p>
    <w:p>
      <w:pPr>
        <w:rPr>
          <w:color w:val="auto"/>
          <w:highlight w:val="none"/>
          <w:lang w:eastAsia="zh-CN"/>
        </w:rPr>
      </w:pPr>
      <w:r>
        <w:rPr>
          <w:rFonts w:hint="eastAsia"/>
          <w:color w:val="auto"/>
          <w:highlight w:val="none"/>
          <w:lang w:eastAsia="zh-CN"/>
        </w:rPr>
        <w:t>生产保温材料的制造商至少具有五年或以上的生产制造经验；</w:t>
      </w:r>
    </w:p>
    <w:p>
      <w:pPr>
        <w:rPr>
          <w:color w:val="auto"/>
          <w:highlight w:val="none"/>
          <w:lang w:eastAsia="zh-CN"/>
        </w:rPr>
      </w:pPr>
      <w:r>
        <w:rPr>
          <w:rFonts w:hint="eastAsia"/>
          <w:color w:val="auto"/>
          <w:highlight w:val="none"/>
          <w:lang w:eastAsia="zh-CN"/>
        </w:rPr>
        <w:t>所有保温材料应符合国家产品标准和遵从当地消防局的规定；</w:t>
      </w:r>
    </w:p>
    <w:p>
      <w:pPr>
        <w:rPr>
          <w:color w:val="auto"/>
          <w:highlight w:val="none"/>
          <w:lang w:eastAsia="zh-CN"/>
        </w:rPr>
      </w:pPr>
      <w:r>
        <w:rPr>
          <w:rFonts w:hint="eastAsia"/>
          <w:color w:val="auto"/>
          <w:highlight w:val="none"/>
          <w:lang w:eastAsia="zh-CN"/>
        </w:rPr>
        <w:t>保温施工应符合</w:t>
      </w:r>
      <w:r>
        <w:rPr>
          <w:color w:val="auto"/>
          <w:highlight w:val="none"/>
          <w:lang w:eastAsia="zh-CN"/>
        </w:rPr>
        <w:t>GB50243-2002</w:t>
      </w:r>
      <w:r>
        <w:rPr>
          <w:rFonts w:hint="eastAsia"/>
          <w:color w:val="auto"/>
          <w:highlight w:val="none"/>
          <w:lang w:eastAsia="zh-CN"/>
        </w:rPr>
        <w:t>施工验收规范。</w:t>
      </w:r>
    </w:p>
    <w:p>
      <w:pPr>
        <w:rPr>
          <w:color w:val="auto"/>
          <w:highlight w:val="none"/>
          <w:lang w:eastAsia="zh-CN"/>
        </w:rPr>
      </w:pPr>
      <w:r>
        <w:rPr>
          <w:rFonts w:hint="eastAsia"/>
          <w:color w:val="auto"/>
          <w:highlight w:val="none"/>
          <w:lang w:eastAsia="zh-CN"/>
        </w:rPr>
        <w:t>要提交完整的保温材料产品技术说明书资料、产品质量合格证书；</w:t>
      </w:r>
    </w:p>
    <w:p>
      <w:pPr>
        <w:rPr>
          <w:color w:val="auto"/>
          <w:highlight w:val="none"/>
          <w:lang w:eastAsia="zh-CN"/>
        </w:rPr>
      </w:pPr>
      <w:r>
        <w:rPr>
          <w:rFonts w:hint="eastAsia"/>
          <w:color w:val="auto"/>
          <w:highlight w:val="none"/>
          <w:lang w:eastAsia="zh-CN"/>
        </w:rPr>
        <w:t>要提交所有保温材料的样本。</w:t>
      </w:r>
    </w:p>
    <w:p>
      <w:pPr>
        <w:rPr>
          <w:color w:val="auto"/>
          <w:highlight w:val="none"/>
          <w:lang w:eastAsia="zh-CN"/>
        </w:rPr>
      </w:pPr>
    </w:p>
    <w:p>
      <w:pPr>
        <w:rPr>
          <w:color w:val="auto"/>
          <w:highlight w:val="none"/>
          <w:lang w:eastAsia="zh-CN"/>
        </w:rPr>
      </w:pPr>
      <w:r>
        <w:rPr>
          <w:rFonts w:hint="eastAsia"/>
          <w:color w:val="auto"/>
          <w:highlight w:val="none"/>
          <w:lang w:eastAsia="zh-CN"/>
        </w:rPr>
        <w:t>产品</w:t>
      </w:r>
    </w:p>
    <w:p>
      <w:pPr>
        <w:rPr>
          <w:color w:val="auto"/>
          <w:highlight w:val="none"/>
          <w:lang w:eastAsia="zh-CN"/>
        </w:rPr>
      </w:pPr>
      <w:r>
        <w:rPr>
          <w:rFonts w:hint="eastAsia"/>
          <w:color w:val="auto"/>
          <w:highlight w:val="none"/>
          <w:lang w:eastAsia="zh-CN"/>
        </w:rPr>
        <w:t>保温材料应具有较低的导热系数、质轻、难燃、耐热、性能稳定、吸湿性小、无异味、不腐蚀金属并易于成型、有一定的机械强度、耐用、方便施工、价廉等特点。</w:t>
      </w:r>
    </w:p>
    <w:p>
      <w:pPr>
        <w:rPr>
          <w:color w:val="auto"/>
          <w:highlight w:val="none"/>
          <w:lang w:eastAsia="zh-CN"/>
        </w:rPr>
      </w:pPr>
      <w:r>
        <w:rPr>
          <w:rFonts w:hint="eastAsia"/>
          <w:color w:val="auto"/>
          <w:highlight w:val="none"/>
          <w:lang w:eastAsia="zh-CN"/>
        </w:rPr>
        <w:t>本工程空调送回风管采用铝箔橡塑保温材料，保温厚度按设计要求选用。</w:t>
      </w:r>
    </w:p>
    <w:p>
      <w:pPr>
        <w:rPr>
          <w:color w:val="auto"/>
          <w:highlight w:val="none"/>
          <w:lang w:eastAsia="zh-CN"/>
        </w:rPr>
      </w:pPr>
      <w:r>
        <w:rPr>
          <w:rFonts w:hint="eastAsia"/>
          <w:color w:val="auto"/>
          <w:highlight w:val="none"/>
          <w:lang w:eastAsia="zh-CN"/>
        </w:rPr>
        <w:t>空调水管用发泡橡塑材料保温，接缝用专用胶水封严；保温厚度按设计要求选用。</w:t>
      </w:r>
    </w:p>
    <w:p>
      <w:pPr>
        <w:rPr>
          <w:color w:val="auto"/>
          <w:highlight w:val="none"/>
          <w:lang w:eastAsia="zh-CN"/>
        </w:rPr>
      </w:pPr>
    </w:p>
    <w:p>
      <w:pPr>
        <w:rPr>
          <w:color w:val="auto"/>
          <w:highlight w:val="none"/>
          <w:lang w:eastAsia="zh-CN"/>
        </w:rPr>
      </w:pPr>
      <w:r>
        <w:rPr>
          <w:rFonts w:hint="eastAsia"/>
          <w:color w:val="auto"/>
          <w:highlight w:val="none"/>
          <w:lang w:eastAsia="zh-CN"/>
        </w:rPr>
        <w:t>安装</w:t>
      </w:r>
    </w:p>
    <w:p>
      <w:pPr>
        <w:rPr>
          <w:color w:val="auto"/>
          <w:highlight w:val="none"/>
          <w:lang w:eastAsia="zh-CN"/>
        </w:rPr>
      </w:pPr>
      <w:r>
        <w:rPr>
          <w:rFonts w:hint="eastAsia"/>
          <w:color w:val="auto"/>
          <w:highlight w:val="none"/>
          <w:lang w:eastAsia="zh-CN"/>
        </w:rPr>
        <w:t>需保温的设备和管道，必须在完成所需的各项系统测试后，才能进行保温安装。</w:t>
      </w:r>
    </w:p>
    <w:p>
      <w:pPr>
        <w:rPr>
          <w:color w:val="auto"/>
          <w:highlight w:val="none"/>
          <w:lang w:eastAsia="zh-CN"/>
        </w:rPr>
      </w:pPr>
      <w:r>
        <w:rPr>
          <w:rFonts w:hint="eastAsia"/>
          <w:color w:val="auto"/>
          <w:highlight w:val="none"/>
          <w:lang w:eastAsia="zh-CN"/>
        </w:rPr>
        <w:t>水管道在安装保温材料前，必须先表面除锈，且完成油漆工作。</w:t>
      </w:r>
    </w:p>
    <w:p>
      <w:pPr>
        <w:rPr>
          <w:color w:val="auto"/>
          <w:highlight w:val="none"/>
          <w:lang w:eastAsia="zh-CN"/>
        </w:rPr>
      </w:pPr>
      <w:r>
        <w:rPr>
          <w:rFonts w:hint="eastAsia"/>
          <w:color w:val="auto"/>
          <w:highlight w:val="none"/>
          <w:lang w:eastAsia="zh-CN"/>
        </w:rPr>
        <w:t>所有保温安装工作应由熟练的工作人员进行施工。须在清洁干燥及没有任何污染物的表面进行保温工作。</w:t>
      </w:r>
    </w:p>
    <w:p>
      <w:pPr>
        <w:rPr>
          <w:color w:val="auto"/>
          <w:highlight w:val="none"/>
          <w:lang w:eastAsia="zh-CN"/>
        </w:rPr>
      </w:pPr>
      <w:r>
        <w:rPr>
          <w:rFonts w:hint="eastAsia"/>
          <w:color w:val="auto"/>
          <w:highlight w:val="none"/>
          <w:lang w:eastAsia="zh-CN"/>
        </w:rPr>
        <w:t>只可使用清洁及干燥的保温材料。</w:t>
      </w:r>
    </w:p>
    <w:p>
      <w:pPr>
        <w:rPr>
          <w:color w:val="auto"/>
          <w:highlight w:val="none"/>
          <w:lang w:eastAsia="zh-CN"/>
        </w:rPr>
      </w:pPr>
      <w:r>
        <w:rPr>
          <w:rFonts w:hint="eastAsia"/>
          <w:color w:val="auto"/>
          <w:highlight w:val="none"/>
          <w:lang w:eastAsia="zh-CN"/>
        </w:rPr>
        <w:t>由保温制造商所提出的保温施工建议将作为基本的保温施工要求。</w:t>
      </w:r>
    </w:p>
    <w:p>
      <w:pPr>
        <w:rPr>
          <w:color w:val="auto"/>
          <w:highlight w:val="none"/>
          <w:lang w:eastAsia="zh-CN"/>
        </w:rPr>
      </w:pPr>
      <w:r>
        <w:rPr>
          <w:rFonts w:hint="eastAsia"/>
          <w:color w:val="auto"/>
          <w:highlight w:val="none"/>
          <w:lang w:eastAsia="zh-CN"/>
        </w:rPr>
        <w:t>凡金属支吊架及其它穿过保温层而与冰冷管道表面接触的金属构件，须提供一个完善的保温密封处理，确保不会产生结露。</w:t>
      </w:r>
    </w:p>
    <w:p>
      <w:pPr>
        <w:rPr>
          <w:color w:val="auto"/>
          <w:highlight w:val="none"/>
          <w:lang w:eastAsia="zh-CN"/>
        </w:rPr>
      </w:pPr>
      <w:r>
        <w:rPr>
          <w:rFonts w:hint="eastAsia"/>
          <w:color w:val="auto"/>
          <w:highlight w:val="none"/>
          <w:lang w:eastAsia="zh-CN"/>
        </w:rPr>
        <w:t>所有用于空调水系统的阀门、存水弯、过滤器、法兰和其他配件等应按其连接管道的保温厚度作相同厚度的保温，同时外加以</w:t>
      </w:r>
      <w:r>
        <w:rPr>
          <w:color w:val="auto"/>
          <w:highlight w:val="none"/>
          <w:lang w:eastAsia="zh-CN"/>
        </w:rPr>
        <w:t>1.2mm</w:t>
      </w:r>
      <w:r>
        <w:rPr>
          <w:rFonts w:hint="eastAsia"/>
          <w:color w:val="auto"/>
          <w:highlight w:val="none"/>
          <w:lang w:eastAsia="zh-CN"/>
        </w:rPr>
        <w:t>厚的镀锌钢板制成的可拆卸式保护盒。过滤器的保温须容许清理过滤器而不会损坏保温材料。阀门的保温须覆盖至阀帽。</w:t>
      </w:r>
    </w:p>
    <w:p>
      <w:pPr>
        <w:rPr>
          <w:color w:val="auto"/>
          <w:highlight w:val="none"/>
          <w:lang w:eastAsia="zh-CN"/>
        </w:rPr>
      </w:pPr>
      <w:r>
        <w:rPr>
          <w:rFonts w:hint="eastAsia"/>
          <w:color w:val="auto"/>
          <w:highlight w:val="none"/>
          <w:lang w:eastAsia="zh-CN"/>
        </w:rPr>
        <w:t>对水泵等设备进行保温时，应将保温材料裁剪以配合设备不规则或弯曲的表面，并紧贴密封。同时应提供可拆卸式的保护盒。</w:t>
      </w:r>
    </w:p>
    <w:p>
      <w:pPr>
        <w:rPr>
          <w:color w:val="auto"/>
          <w:highlight w:val="none"/>
          <w:lang w:eastAsia="zh-CN"/>
        </w:rPr>
      </w:pPr>
      <w:r>
        <w:rPr>
          <w:rFonts w:hint="eastAsia"/>
          <w:color w:val="auto"/>
          <w:highlight w:val="none"/>
          <w:lang w:eastAsia="zh-CN"/>
        </w:rPr>
        <w:t>设备机房和屋顶明设的冷冻水管保温层外加铝板保护壳。</w:t>
      </w:r>
    </w:p>
    <w:p>
      <w:pPr>
        <w:rPr>
          <w:color w:val="auto"/>
          <w:highlight w:val="none"/>
          <w:lang w:eastAsia="zh-CN"/>
        </w:rPr>
      </w:pPr>
      <w:r>
        <w:rPr>
          <w:rFonts w:hint="eastAsia"/>
          <w:color w:val="auto"/>
          <w:highlight w:val="none"/>
          <w:lang w:eastAsia="zh-CN"/>
        </w:rPr>
        <w:t>屋顶明设的空调风管保温层外加铝板保护壳。</w:t>
      </w:r>
    </w:p>
    <w:p>
      <w:pPr>
        <w:rPr>
          <w:color w:val="auto"/>
          <w:highlight w:val="none"/>
          <w:lang w:eastAsia="zh-CN"/>
        </w:rPr>
      </w:pPr>
    </w:p>
    <w:p>
      <w:pPr>
        <w:rPr>
          <w:color w:val="auto"/>
          <w:highlight w:val="none"/>
          <w:lang w:eastAsia="zh-CN"/>
        </w:rPr>
      </w:pPr>
      <w:r>
        <w:rPr>
          <w:rFonts w:hint="eastAsia"/>
          <w:color w:val="auto"/>
          <w:highlight w:val="none"/>
          <w:lang w:eastAsia="zh-CN"/>
        </w:rPr>
        <w:t>8．隔震设施</w:t>
      </w:r>
    </w:p>
    <w:p>
      <w:pPr>
        <w:rPr>
          <w:color w:val="auto"/>
          <w:highlight w:val="none"/>
          <w:lang w:eastAsia="zh-CN"/>
        </w:rPr>
      </w:pPr>
      <w:r>
        <w:rPr>
          <w:rFonts w:hint="eastAsia"/>
          <w:color w:val="auto"/>
          <w:highlight w:val="none"/>
          <w:lang w:eastAsia="zh-CN"/>
        </w:rPr>
        <w:t>概述</w:t>
      </w:r>
    </w:p>
    <w:p>
      <w:pPr>
        <w:rPr>
          <w:color w:val="auto"/>
          <w:highlight w:val="none"/>
          <w:lang w:eastAsia="zh-CN"/>
        </w:rPr>
      </w:pPr>
      <w:r>
        <w:rPr>
          <w:rFonts w:hint="eastAsia"/>
          <w:color w:val="auto"/>
          <w:highlight w:val="none"/>
          <w:lang w:eastAsia="zh-CN"/>
        </w:rPr>
        <w:t>本节说明防止或减低设备震动的有关隔震设施产品及安装的技术要求。</w:t>
      </w:r>
    </w:p>
    <w:p>
      <w:pPr>
        <w:rPr>
          <w:color w:val="auto"/>
          <w:highlight w:val="none"/>
          <w:lang w:eastAsia="zh-CN"/>
        </w:rPr>
      </w:pPr>
    </w:p>
    <w:p>
      <w:pPr>
        <w:rPr>
          <w:color w:val="auto"/>
          <w:highlight w:val="none"/>
          <w:lang w:eastAsia="zh-CN"/>
        </w:rPr>
      </w:pPr>
      <w:r>
        <w:rPr>
          <w:rFonts w:hint="eastAsia"/>
          <w:color w:val="auto"/>
          <w:highlight w:val="none"/>
          <w:lang w:eastAsia="zh-CN"/>
        </w:rPr>
        <w:t>一般要求</w:t>
      </w:r>
    </w:p>
    <w:p>
      <w:pPr>
        <w:rPr>
          <w:color w:val="auto"/>
          <w:highlight w:val="none"/>
          <w:lang w:eastAsia="zh-CN"/>
        </w:rPr>
      </w:pPr>
      <w:r>
        <w:rPr>
          <w:rFonts w:hint="eastAsia"/>
          <w:color w:val="auto"/>
          <w:highlight w:val="none"/>
          <w:lang w:eastAsia="zh-CN"/>
        </w:rPr>
        <w:t>除在有关图纸上特别注明豁免外，在所有机械设备须设置隔震器，以防止设备操作时产生的震动和声音传送到建筑结构。</w:t>
      </w:r>
    </w:p>
    <w:p>
      <w:pPr>
        <w:rPr>
          <w:color w:val="auto"/>
          <w:highlight w:val="none"/>
          <w:lang w:eastAsia="zh-CN"/>
        </w:rPr>
      </w:pPr>
      <w:r>
        <w:rPr>
          <w:rFonts w:hint="eastAsia"/>
          <w:color w:val="auto"/>
          <w:highlight w:val="none"/>
          <w:lang w:eastAsia="zh-CN"/>
        </w:rPr>
        <w:t>按照设备重量的分布选择隔震器，以提供合理及均衡的震幅；</w:t>
      </w:r>
    </w:p>
    <w:p>
      <w:pPr>
        <w:rPr>
          <w:color w:val="auto"/>
          <w:highlight w:val="none"/>
          <w:lang w:eastAsia="zh-CN"/>
        </w:rPr>
      </w:pPr>
      <w:r>
        <w:rPr>
          <w:rFonts w:hint="eastAsia"/>
          <w:color w:val="auto"/>
          <w:highlight w:val="none"/>
          <w:lang w:eastAsia="zh-CN"/>
        </w:rPr>
        <w:t>对转动机件，所选的隔震装置须在任何正常操作状态下仍可提供足够的隔震措施。</w:t>
      </w:r>
    </w:p>
    <w:p>
      <w:pPr>
        <w:rPr>
          <w:color w:val="auto"/>
          <w:highlight w:val="none"/>
          <w:lang w:eastAsia="zh-CN"/>
        </w:rPr>
      </w:pPr>
      <w:r>
        <w:rPr>
          <w:rFonts w:hint="eastAsia"/>
          <w:color w:val="auto"/>
          <w:highlight w:val="none"/>
          <w:lang w:eastAsia="zh-CN"/>
        </w:rPr>
        <w:t>所有提供隔震设备的厂家必须具有制造此类设备不少于五年的经验；</w:t>
      </w:r>
    </w:p>
    <w:p>
      <w:pPr>
        <w:rPr>
          <w:color w:val="auto"/>
          <w:highlight w:val="none"/>
          <w:lang w:eastAsia="zh-CN"/>
        </w:rPr>
      </w:pPr>
      <w:r>
        <w:rPr>
          <w:rFonts w:hint="eastAsia"/>
          <w:color w:val="auto"/>
          <w:highlight w:val="none"/>
          <w:lang w:eastAsia="zh-CN"/>
        </w:rPr>
        <w:t>提交有关隔震设备和材料的详细样本说明书和施工图、测试证书等以供审批；</w:t>
      </w:r>
    </w:p>
    <w:p>
      <w:pPr>
        <w:rPr>
          <w:color w:val="auto"/>
          <w:highlight w:val="none"/>
          <w:lang w:eastAsia="zh-CN"/>
        </w:rPr>
      </w:pPr>
      <w:r>
        <w:rPr>
          <w:rFonts w:hint="eastAsia"/>
          <w:color w:val="auto"/>
          <w:highlight w:val="none"/>
          <w:lang w:eastAsia="zh-CN"/>
        </w:rPr>
        <w:t>须提交所有隔震装置的弹簧的震幅量、隔震效率、弹簧的种类及其安装方法等资料。</w:t>
      </w:r>
    </w:p>
    <w:p>
      <w:pPr>
        <w:rPr>
          <w:color w:val="auto"/>
          <w:highlight w:val="none"/>
          <w:lang w:eastAsia="zh-CN"/>
        </w:rPr>
      </w:pPr>
    </w:p>
    <w:p>
      <w:pPr>
        <w:rPr>
          <w:color w:val="auto"/>
          <w:highlight w:val="none"/>
          <w:lang w:eastAsia="zh-CN"/>
        </w:rPr>
      </w:pPr>
      <w:r>
        <w:rPr>
          <w:rFonts w:hint="eastAsia"/>
          <w:color w:val="auto"/>
          <w:highlight w:val="none"/>
          <w:lang w:eastAsia="zh-CN"/>
        </w:rPr>
        <w:t>产品</w:t>
      </w:r>
    </w:p>
    <w:p>
      <w:pPr>
        <w:rPr>
          <w:color w:val="auto"/>
          <w:highlight w:val="none"/>
          <w:lang w:eastAsia="zh-CN"/>
        </w:rPr>
      </w:pPr>
      <w:r>
        <w:rPr>
          <w:rFonts w:hint="eastAsia"/>
          <w:color w:val="auto"/>
          <w:highlight w:val="none"/>
          <w:lang w:eastAsia="zh-CN"/>
        </w:rPr>
        <w:t>所有供本工程使用的隔震设备必须为不含石棉物质的产品。</w:t>
      </w:r>
    </w:p>
    <w:p>
      <w:pPr>
        <w:rPr>
          <w:color w:val="auto"/>
          <w:highlight w:val="none"/>
          <w:lang w:eastAsia="zh-CN"/>
        </w:rPr>
      </w:pPr>
      <w:r>
        <w:rPr>
          <w:rFonts w:hint="eastAsia"/>
          <w:color w:val="auto"/>
          <w:highlight w:val="none"/>
          <w:lang w:eastAsia="zh-CN"/>
        </w:rPr>
        <w:t>自立式弹簧隔震器</w:t>
      </w:r>
    </w:p>
    <w:p>
      <w:pPr>
        <w:rPr>
          <w:color w:val="auto"/>
          <w:highlight w:val="none"/>
          <w:lang w:eastAsia="zh-CN"/>
        </w:rPr>
      </w:pPr>
      <w:r>
        <w:rPr>
          <w:rFonts w:hint="eastAsia"/>
          <w:color w:val="auto"/>
          <w:highlight w:val="none"/>
          <w:lang w:eastAsia="zh-CN"/>
        </w:rPr>
        <w:t>弹簧型隔震器均为无外壳自立式，底板和基座之间应配有</w:t>
      </w:r>
      <w:r>
        <w:rPr>
          <w:color w:val="auto"/>
          <w:highlight w:val="none"/>
          <w:lang w:eastAsia="zh-CN"/>
        </w:rPr>
        <w:t>6</w:t>
      </w:r>
      <w:r>
        <w:rPr>
          <w:rFonts w:hint="eastAsia"/>
          <w:color w:val="auto"/>
          <w:highlight w:val="none"/>
          <w:lang w:eastAsia="zh-CN"/>
        </w:rPr>
        <w:t>毫米厚的氯丁橡胶消声防滑垫片；</w:t>
      </w:r>
    </w:p>
    <w:p>
      <w:pPr>
        <w:rPr>
          <w:color w:val="auto"/>
          <w:highlight w:val="none"/>
          <w:lang w:eastAsia="zh-CN"/>
        </w:rPr>
      </w:pPr>
      <w:r>
        <w:rPr>
          <w:rFonts w:hint="eastAsia"/>
          <w:color w:val="auto"/>
          <w:highlight w:val="none"/>
          <w:lang w:eastAsia="zh-CN"/>
        </w:rPr>
        <w:t>所有隔震器均须配有牢固栓接在设备上的水平调校螺栓；</w:t>
      </w:r>
    </w:p>
    <w:p>
      <w:pPr>
        <w:rPr>
          <w:color w:val="auto"/>
          <w:highlight w:val="none"/>
          <w:lang w:eastAsia="zh-CN"/>
        </w:rPr>
      </w:pPr>
      <w:r>
        <w:rPr>
          <w:rFonts w:hint="eastAsia"/>
          <w:color w:val="auto"/>
          <w:highlight w:val="none"/>
          <w:lang w:eastAsia="zh-CN"/>
        </w:rPr>
        <w:t>弹簧最大的隔震幅度须能足够负担</w:t>
      </w:r>
      <w:r>
        <w:rPr>
          <w:color w:val="auto"/>
          <w:highlight w:val="none"/>
          <w:lang w:eastAsia="zh-CN"/>
        </w:rPr>
        <w:t>50%</w:t>
      </w:r>
      <w:r>
        <w:rPr>
          <w:rFonts w:hint="eastAsia"/>
          <w:color w:val="auto"/>
          <w:highlight w:val="none"/>
          <w:lang w:eastAsia="zh-CN"/>
        </w:rPr>
        <w:t>的额外负荷。</w:t>
      </w:r>
    </w:p>
    <w:p>
      <w:pPr>
        <w:rPr>
          <w:color w:val="auto"/>
          <w:highlight w:val="none"/>
          <w:lang w:eastAsia="zh-CN"/>
        </w:rPr>
      </w:pPr>
    </w:p>
    <w:p>
      <w:pPr>
        <w:rPr>
          <w:color w:val="auto"/>
          <w:highlight w:val="none"/>
          <w:lang w:eastAsia="zh-CN"/>
        </w:rPr>
      </w:pPr>
      <w:r>
        <w:rPr>
          <w:rFonts w:hint="eastAsia"/>
          <w:color w:val="auto"/>
          <w:highlight w:val="none"/>
          <w:lang w:eastAsia="zh-CN"/>
        </w:rPr>
        <w:t>限位式弹簧隔震器</w:t>
      </w:r>
    </w:p>
    <w:p>
      <w:pPr>
        <w:rPr>
          <w:color w:val="auto"/>
          <w:highlight w:val="none"/>
          <w:lang w:eastAsia="zh-CN"/>
        </w:rPr>
      </w:pPr>
      <w:r>
        <w:rPr>
          <w:rFonts w:hint="eastAsia"/>
          <w:color w:val="auto"/>
          <w:highlight w:val="none"/>
          <w:lang w:eastAsia="zh-CN"/>
        </w:rPr>
        <w:t>当设备的额定装配重量和操作重量不同时，应设置附有垂直限位器的弹簧隔震器，以防止有关设备的外加重量除去后而引致弹簧伸长。外壳须由装配钢件组成，并施以热浸镀锌处理。</w:t>
      </w:r>
    </w:p>
    <w:p>
      <w:pPr>
        <w:rPr>
          <w:color w:val="auto"/>
          <w:highlight w:val="none"/>
          <w:lang w:eastAsia="zh-CN"/>
        </w:rPr>
      </w:pPr>
      <w:r>
        <w:rPr>
          <w:rFonts w:hint="eastAsia"/>
          <w:color w:val="auto"/>
          <w:highlight w:val="none"/>
          <w:lang w:eastAsia="zh-CN"/>
        </w:rPr>
        <w:t>弹簧装配和正常运作时的高度相同。</w:t>
      </w:r>
    </w:p>
    <w:p>
      <w:pPr>
        <w:rPr>
          <w:color w:val="auto"/>
          <w:highlight w:val="none"/>
          <w:lang w:eastAsia="zh-CN"/>
        </w:rPr>
      </w:pPr>
      <w:r>
        <w:rPr>
          <w:rFonts w:hint="eastAsia"/>
          <w:color w:val="auto"/>
          <w:highlight w:val="none"/>
          <w:lang w:eastAsia="zh-CN"/>
        </w:rPr>
        <w:t>在与限位螺栓的周围及弹簧与外壳之间，最少要保留</w:t>
      </w:r>
      <w:r>
        <w:rPr>
          <w:color w:val="auto"/>
          <w:highlight w:val="none"/>
          <w:lang w:eastAsia="zh-CN"/>
        </w:rPr>
        <w:t>12</w:t>
      </w:r>
      <w:r>
        <w:rPr>
          <w:rFonts w:hint="eastAsia"/>
          <w:color w:val="auto"/>
          <w:highlight w:val="none"/>
          <w:lang w:eastAsia="zh-CN"/>
        </w:rPr>
        <w:t>毫米的间隙，以供弹簧正常运作。</w:t>
      </w:r>
    </w:p>
    <w:p>
      <w:pPr>
        <w:rPr>
          <w:color w:val="auto"/>
          <w:highlight w:val="none"/>
          <w:lang w:eastAsia="zh-CN"/>
        </w:rPr>
      </w:pPr>
      <w:r>
        <w:rPr>
          <w:rFonts w:hint="eastAsia"/>
          <w:color w:val="auto"/>
          <w:highlight w:val="none"/>
          <w:lang w:eastAsia="zh-CN"/>
        </w:rPr>
        <w:t>在正常操作时，限位器不应被接触。</w:t>
      </w:r>
    </w:p>
    <w:p>
      <w:pPr>
        <w:rPr>
          <w:color w:val="auto"/>
          <w:highlight w:val="none"/>
          <w:lang w:eastAsia="zh-CN"/>
        </w:rPr>
      </w:pPr>
      <w:r>
        <w:rPr>
          <w:rFonts w:hint="eastAsia"/>
          <w:color w:val="auto"/>
          <w:highlight w:val="none"/>
          <w:lang w:eastAsia="zh-CN"/>
        </w:rPr>
        <w:t>弹簧的横向硬度不能小于其额定垂直硬度的</w:t>
      </w:r>
      <w:r>
        <w:rPr>
          <w:color w:val="auto"/>
          <w:highlight w:val="none"/>
          <w:lang w:eastAsia="zh-CN"/>
        </w:rPr>
        <w:t>80%</w:t>
      </w:r>
      <w:r>
        <w:rPr>
          <w:rFonts w:hint="eastAsia"/>
          <w:color w:val="auto"/>
          <w:highlight w:val="none"/>
          <w:lang w:eastAsia="zh-CN"/>
        </w:rPr>
        <w:t>。</w:t>
      </w:r>
    </w:p>
    <w:p>
      <w:pPr>
        <w:rPr>
          <w:color w:val="auto"/>
          <w:highlight w:val="none"/>
          <w:lang w:eastAsia="zh-CN"/>
        </w:rPr>
      </w:pPr>
      <w:r>
        <w:rPr>
          <w:rFonts w:hint="eastAsia"/>
          <w:color w:val="auto"/>
          <w:highlight w:val="none"/>
          <w:lang w:eastAsia="zh-CN"/>
        </w:rPr>
        <w:t>弹簧最大的震幅度须能足够负担</w:t>
      </w:r>
      <w:r>
        <w:rPr>
          <w:color w:val="auto"/>
          <w:highlight w:val="none"/>
          <w:lang w:eastAsia="zh-CN"/>
        </w:rPr>
        <w:t>50%</w:t>
      </w:r>
      <w:r>
        <w:rPr>
          <w:rFonts w:hint="eastAsia"/>
          <w:color w:val="auto"/>
          <w:highlight w:val="none"/>
          <w:lang w:eastAsia="zh-CN"/>
        </w:rPr>
        <w:t>额外负荷。</w:t>
      </w:r>
    </w:p>
    <w:p>
      <w:pPr>
        <w:rPr>
          <w:color w:val="auto"/>
          <w:highlight w:val="none"/>
          <w:lang w:eastAsia="zh-CN"/>
        </w:rPr>
      </w:pPr>
    </w:p>
    <w:p>
      <w:pPr>
        <w:rPr>
          <w:color w:val="auto"/>
          <w:highlight w:val="none"/>
          <w:lang w:eastAsia="zh-CN"/>
        </w:rPr>
      </w:pPr>
      <w:r>
        <w:rPr>
          <w:rFonts w:hint="eastAsia"/>
          <w:color w:val="auto"/>
          <w:highlight w:val="none"/>
          <w:lang w:eastAsia="zh-CN"/>
        </w:rPr>
        <w:t>防震吊钩</w:t>
      </w:r>
    </w:p>
    <w:p>
      <w:pPr>
        <w:rPr>
          <w:color w:val="auto"/>
          <w:highlight w:val="none"/>
          <w:lang w:eastAsia="zh-CN"/>
        </w:rPr>
      </w:pPr>
      <w:r>
        <w:rPr>
          <w:rFonts w:hint="eastAsia"/>
          <w:color w:val="auto"/>
          <w:highlight w:val="none"/>
          <w:lang w:eastAsia="zh-CN"/>
        </w:rPr>
        <w:t>防震吊钩应由一钢制弹簧和</w:t>
      </w:r>
      <w:r>
        <w:rPr>
          <w:color w:val="auto"/>
          <w:highlight w:val="none"/>
          <w:lang w:eastAsia="zh-CN"/>
        </w:rPr>
        <w:t>8</w:t>
      </w:r>
      <w:r>
        <w:rPr>
          <w:rFonts w:hint="eastAsia"/>
          <w:color w:val="auto"/>
          <w:highlight w:val="none"/>
          <w:lang w:eastAsia="zh-CN"/>
        </w:rPr>
        <w:t>毫米厚含弹性的氯丁橡胶垫层相串联组合在一吊钩盒子内。垫层须有一孔供吊杆安装。</w:t>
      </w:r>
    </w:p>
    <w:p>
      <w:pPr>
        <w:rPr>
          <w:color w:val="auto"/>
          <w:highlight w:val="none"/>
          <w:lang w:eastAsia="zh-CN"/>
        </w:rPr>
      </w:pPr>
      <w:r>
        <w:rPr>
          <w:rFonts w:hint="eastAsia"/>
          <w:color w:val="auto"/>
          <w:highlight w:val="none"/>
          <w:lang w:eastAsia="zh-CN"/>
        </w:rPr>
        <w:t>弹簧的盘径和吊钩箱底的洞孔直径的大小应可容许吊杆作</w:t>
      </w:r>
      <w:r>
        <w:rPr>
          <w:color w:val="auto"/>
          <w:highlight w:val="none"/>
          <w:lang w:eastAsia="zh-CN"/>
        </w:rPr>
        <w:t>30</w:t>
      </w:r>
      <w:r>
        <w:rPr>
          <w:rFonts w:hint="eastAsia"/>
          <w:color w:val="auto"/>
          <w:highlight w:val="none"/>
          <w:lang w:eastAsia="zh-CN"/>
        </w:rPr>
        <w:t>度弧度的摆动，而不致碰到底洞及触到弹簧。</w:t>
      </w:r>
    </w:p>
    <w:p>
      <w:pPr>
        <w:rPr>
          <w:color w:val="auto"/>
          <w:highlight w:val="none"/>
          <w:lang w:eastAsia="zh-CN"/>
        </w:rPr>
      </w:pPr>
      <w:r>
        <w:rPr>
          <w:rFonts w:hint="eastAsia"/>
          <w:color w:val="auto"/>
          <w:highlight w:val="none"/>
          <w:lang w:eastAsia="zh-CN"/>
        </w:rPr>
        <w:t>弹簧须能负担</w:t>
      </w:r>
      <w:r>
        <w:rPr>
          <w:color w:val="auto"/>
          <w:highlight w:val="none"/>
          <w:lang w:eastAsia="zh-CN"/>
        </w:rPr>
        <w:t>50%</w:t>
      </w:r>
      <w:r>
        <w:rPr>
          <w:rFonts w:hint="eastAsia"/>
          <w:color w:val="auto"/>
          <w:highlight w:val="none"/>
          <w:lang w:eastAsia="zh-CN"/>
        </w:rPr>
        <w:t>的额外负荷。</w:t>
      </w:r>
    </w:p>
    <w:p>
      <w:pPr>
        <w:rPr>
          <w:color w:val="auto"/>
          <w:highlight w:val="none"/>
          <w:lang w:eastAsia="zh-CN"/>
        </w:rPr>
      </w:pPr>
    </w:p>
    <w:p>
      <w:pPr>
        <w:rPr>
          <w:color w:val="auto"/>
          <w:highlight w:val="none"/>
          <w:lang w:eastAsia="zh-CN"/>
        </w:rPr>
      </w:pPr>
      <w:r>
        <w:rPr>
          <w:rFonts w:hint="eastAsia"/>
          <w:color w:val="auto"/>
          <w:highlight w:val="none"/>
          <w:lang w:eastAsia="zh-CN"/>
        </w:rPr>
        <w:t>氯丁橡胶隔震器</w:t>
      </w:r>
    </w:p>
    <w:p>
      <w:pPr>
        <w:rPr>
          <w:color w:val="auto"/>
          <w:highlight w:val="none"/>
          <w:lang w:eastAsia="zh-CN"/>
        </w:rPr>
      </w:pPr>
      <w:r>
        <w:rPr>
          <w:rFonts w:hint="eastAsia"/>
          <w:color w:val="auto"/>
          <w:highlight w:val="none"/>
          <w:lang w:eastAsia="zh-CN"/>
        </w:rPr>
        <w:t>氯丁橡胶隔震器应具有双重隔震幅度设计而最小的隔震量须为</w:t>
      </w:r>
      <w:r>
        <w:rPr>
          <w:color w:val="auto"/>
          <w:highlight w:val="none"/>
          <w:lang w:eastAsia="zh-CN"/>
        </w:rPr>
        <w:t>9</w:t>
      </w:r>
      <w:r>
        <w:rPr>
          <w:rFonts w:hint="eastAsia"/>
          <w:color w:val="auto"/>
          <w:highlight w:val="none"/>
          <w:lang w:eastAsia="zh-CN"/>
        </w:rPr>
        <w:t>毫米；</w:t>
      </w:r>
    </w:p>
    <w:p>
      <w:pPr>
        <w:rPr>
          <w:color w:val="auto"/>
          <w:highlight w:val="none"/>
          <w:lang w:eastAsia="zh-CN"/>
        </w:rPr>
      </w:pPr>
      <w:r>
        <w:rPr>
          <w:rFonts w:hint="eastAsia"/>
          <w:color w:val="auto"/>
          <w:highlight w:val="none"/>
          <w:lang w:eastAsia="zh-CN"/>
        </w:rPr>
        <w:t>全部金属面须覆以氯丁橡胶而底座的上下面皆附以防滑垫片及栓孔；</w:t>
      </w:r>
    </w:p>
    <w:p>
      <w:pPr>
        <w:rPr>
          <w:color w:val="auto"/>
          <w:highlight w:val="none"/>
          <w:lang w:eastAsia="zh-CN"/>
        </w:rPr>
      </w:pPr>
      <w:r>
        <w:rPr>
          <w:rFonts w:hint="eastAsia"/>
          <w:color w:val="auto"/>
          <w:highlight w:val="none"/>
          <w:lang w:eastAsia="zh-CN"/>
        </w:rPr>
        <w:t>设备如小型风机或紧密接合的水泵应在隔震器上加钢轨。</w:t>
      </w:r>
    </w:p>
    <w:p>
      <w:pPr>
        <w:rPr>
          <w:color w:val="auto"/>
          <w:highlight w:val="none"/>
          <w:lang w:eastAsia="zh-CN"/>
        </w:rPr>
      </w:pPr>
    </w:p>
    <w:p>
      <w:pPr>
        <w:rPr>
          <w:color w:val="auto"/>
          <w:highlight w:val="none"/>
          <w:lang w:eastAsia="zh-CN"/>
        </w:rPr>
      </w:pPr>
      <w:r>
        <w:rPr>
          <w:rFonts w:hint="eastAsia"/>
          <w:color w:val="auto"/>
          <w:highlight w:val="none"/>
          <w:lang w:eastAsia="zh-CN"/>
        </w:rPr>
        <w:t>防震垫片</w:t>
      </w:r>
    </w:p>
    <w:p>
      <w:pPr>
        <w:rPr>
          <w:color w:val="auto"/>
          <w:highlight w:val="none"/>
          <w:lang w:eastAsia="zh-CN"/>
        </w:rPr>
      </w:pPr>
      <w:r>
        <w:rPr>
          <w:rFonts w:hint="eastAsia"/>
          <w:color w:val="auto"/>
          <w:highlight w:val="none"/>
          <w:lang w:eastAsia="zh-CN"/>
        </w:rPr>
        <w:t>由两层或以上的受剪蜂窝组式氯丁橡胶片叠合，中夹填隙钢片。</w:t>
      </w:r>
    </w:p>
    <w:p>
      <w:pPr>
        <w:rPr>
          <w:color w:val="auto"/>
          <w:highlight w:val="none"/>
          <w:lang w:eastAsia="zh-CN"/>
        </w:rPr>
      </w:pPr>
    </w:p>
    <w:p>
      <w:pPr>
        <w:rPr>
          <w:color w:val="auto"/>
          <w:highlight w:val="none"/>
          <w:lang w:eastAsia="zh-CN"/>
        </w:rPr>
      </w:pPr>
      <w:r>
        <w:rPr>
          <w:rFonts w:hint="eastAsia"/>
          <w:color w:val="auto"/>
          <w:highlight w:val="none"/>
          <w:lang w:eastAsia="zh-CN"/>
        </w:rPr>
        <w:t>惯性基座</w:t>
      </w:r>
    </w:p>
    <w:p>
      <w:pPr>
        <w:rPr>
          <w:color w:val="auto"/>
          <w:highlight w:val="none"/>
          <w:lang w:eastAsia="zh-CN"/>
        </w:rPr>
      </w:pPr>
      <w:r>
        <w:rPr>
          <w:rFonts w:hint="eastAsia"/>
          <w:color w:val="auto"/>
          <w:highlight w:val="none"/>
          <w:lang w:eastAsia="zh-CN"/>
        </w:rPr>
        <w:t>制造厂家须为需要惯性基座的设备进行设计、制造并提供隔震器。</w:t>
      </w:r>
    </w:p>
    <w:p>
      <w:pPr>
        <w:rPr>
          <w:color w:val="auto"/>
          <w:highlight w:val="none"/>
          <w:lang w:eastAsia="zh-CN"/>
        </w:rPr>
      </w:pPr>
      <w:r>
        <w:rPr>
          <w:rFonts w:hint="eastAsia"/>
          <w:color w:val="auto"/>
          <w:highlight w:val="none"/>
          <w:lang w:eastAsia="zh-CN"/>
        </w:rPr>
        <w:t>由钢筋混凝土及钢制框架制成的惯性基座，其重量最少为所承载设备重量的</w:t>
      </w:r>
      <w:r>
        <w:rPr>
          <w:color w:val="auto"/>
          <w:highlight w:val="none"/>
          <w:lang w:eastAsia="zh-CN"/>
        </w:rPr>
        <w:t>1.5</w:t>
      </w:r>
      <w:r>
        <w:rPr>
          <w:rFonts w:hint="eastAsia"/>
          <w:color w:val="auto"/>
          <w:highlight w:val="none"/>
          <w:lang w:eastAsia="zh-CN"/>
        </w:rPr>
        <w:t>倍。混凝土的强度须为</w:t>
      </w:r>
      <w:r>
        <w:rPr>
          <w:color w:val="auto"/>
          <w:highlight w:val="none"/>
          <w:lang w:eastAsia="zh-CN"/>
        </w:rPr>
        <w:t>20</w:t>
      </w:r>
      <w:r>
        <w:rPr>
          <w:rFonts w:hint="eastAsia"/>
          <w:color w:val="auto"/>
          <w:highlight w:val="none"/>
          <w:lang w:eastAsia="zh-CN"/>
        </w:rPr>
        <w:t>，</w:t>
      </w:r>
      <w:r>
        <w:rPr>
          <w:color w:val="auto"/>
          <w:highlight w:val="none"/>
          <w:lang w:eastAsia="zh-CN"/>
        </w:rPr>
        <w:t>000</w:t>
      </w:r>
      <w:r>
        <w:rPr>
          <w:rFonts w:hint="eastAsia"/>
          <w:color w:val="auto"/>
          <w:highlight w:val="none"/>
          <w:lang w:eastAsia="zh-CN"/>
        </w:rPr>
        <w:t>千帕卡；</w:t>
      </w:r>
    </w:p>
    <w:p>
      <w:pPr>
        <w:rPr>
          <w:color w:val="auto"/>
          <w:highlight w:val="none"/>
          <w:lang w:eastAsia="zh-CN"/>
        </w:rPr>
      </w:pPr>
      <w:r>
        <w:rPr>
          <w:rFonts w:hint="eastAsia"/>
          <w:color w:val="auto"/>
          <w:highlight w:val="none"/>
          <w:lang w:eastAsia="zh-CN"/>
        </w:rPr>
        <w:t>承托惯性基座的隔震器，其隔震量不可少于</w:t>
      </w:r>
      <w:r>
        <w:rPr>
          <w:color w:val="auto"/>
          <w:highlight w:val="none"/>
          <w:lang w:eastAsia="zh-CN"/>
        </w:rPr>
        <w:t>20</w:t>
      </w:r>
      <w:r>
        <w:rPr>
          <w:rFonts w:hint="eastAsia"/>
          <w:color w:val="auto"/>
          <w:highlight w:val="none"/>
          <w:lang w:eastAsia="zh-CN"/>
        </w:rPr>
        <w:t>毫米。</w:t>
      </w:r>
    </w:p>
    <w:p>
      <w:pPr>
        <w:rPr>
          <w:color w:val="auto"/>
          <w:highlight w:val="none"/>
          <w:lang w:eastAsia="zh-CN"/>
        </w:rPr>
      </w:pPr>
    </w:p>
    <w:p>
      <w:pPr>
        <w:rPr>
          <w:color w:val="auto"/>
          <w:highlight w:val="none"/>
          <w:lang w:eastAsia="zh-CN"/>
        </w:rPr>
      </w:pPr>
      <w:r>
        <w:rPr>
          <w:rFonts w:hint="eastAsia"/>
          <w:color w:val="auto"/>
          <w:highlight w:val="none"/>
          <w:lang w:eastAsia="zh-CN"/>
        </w:rPr>
        <w:t>水平推力限制器</w:t>
      </w:r>
    </w:p>
    <w:p>
      <w:pPr>
        <w:rPr>
          <w:color w:val="auto"/>
          <w:highlight w:val="none"/>
          <w:lang w:eastAsia="zh-CN"/>
        </w:rPr>
      </w:pPr>
      <w:r>
        <w:rPr>
          <w:rFonts w:hint="eastAsia"/>
          <w:color w:val="auto"/>
          <w:highlight w:val="none"/>
          <w:lang w:eastAsia="zh-CN"/>
        </w:rPr>
        <w:t>推力限制器应由一弹簧组件与一氯丁橡胶串联组成及装设在一钢制框架内。限制器应在厂内预校及在工地按实际需要再作调整，以限制有关设备再起动和静止时水平移动不多于</w:t>
      </w:r>
      <w:r>
        <w:rPr>
          <w:color w:val="auto"/>
          <w:highlight w:val="none"/>
          <w:lang w:eastAsia="zh-CN"/>
        </w:rPr>
        <w:t>6</w:t>
      </w:r>
      <w:r>
        <w:rPr>
          <w:rFonts w:hint="eastAsia"/>
          <w:color w:val="auto"/>
          <w:highlight w:val="none"/>
          <w:lang w:eastAsia="zh-CN"/>
        </w:rPr>
        <w:t>毫米。</w:t>
      </w:r>
    </w:p>
    <w:p>
      <w:pPr>
        <w:rPr>
          <w:color w:val="auto"/>
          <w:highlight w:val="none"/>
          <w:lang w:eastAsia="zh-CN"/>
        </w:rPr>
      </w:pPr>
    </w:p>
    <w:p>
      <w:pPr>
        <w:rPr>
          <w:color w:val="auto"/>
          <w:highlight w:val="none"/>
          <w:lang w:eastAsia="zh-CN"/>
        </w:rPr>
      </w:pPr>
      <w:r>
        <w:rPr>
          <w:rFonts w:hint="eastAsia"/>
          <w:color w:val="auto"/>
          <w:highlight w:val="none"/>
          <w:lang w:eastAsia="zh-CN"/>
        </w:rPr>
        <w:t>柔性聚氯丁橡胶连接器</w:t>
      </w:r>
    </w:p>
    <w:p>
      <w:pPr>
        <w:rPr>
          <w:color w:val="auto"/>
          <w:highlight w:val="none"/>
          <w:lang w:eastAsia="zh-CN"/>
        </w:rPr>
      </w:pPr>
      <w:r>
        <w:rPr>
          <w:rFonts w:hint="eastAsia"/>
          <w:color w:val="auto"/>
          <w:highlight w:val="none"/>
          <w:lang w:eastAsia="zh-CN"/>
        </w:rPr>
        <w:t>按图纸所示的设备其出口和进口处应设置柔性聚氯丁橡胶连接器；</w:t>
      </w:r>
    </w:p>
    <w:p>
      <w:pPr>
        <w:rPr>
          <w:color w:val="auto"/>
          <w:highlight w:val="none"/>
          <w:lang w:eastAsia="zh-CN"/>
        </w:rPr>
      </w:pPr>
      <w:r>
        <w:rPr>
          <w:rFonts w:hint="eastAsia"/>
          <w:color w:val="auto"/>
          <w:highlight w:val="none"/>
          <w:lang w:eastAsia="zh-CN"/>
        </w:rPr>
        <w:t>连接器应为尼龙胎芯结构和聚氯丁橡胶复合管以液压橡胶压机压铸成型；</w:t>
      </w:r>
    </w:p>
    <w:p>
      <w:pPr>
        <w:rPr>
          <w:color w:val="auto"/>
          <w:highlight w:val="none"/>
          <w:lang w:eastAsia="zh-CN"/>
        </w:rPr>
      </w:pPr>
      <w:r>
        <w:rPr>
          <w:rFonts w:hint="eastAsia"/>
          <w:color w:val="auto"/>
          <w:highlight w:val="none"/>
          <w:lang w:eastAsia="zh-CN"/>
        </w:rPr>
        <w:t>不应采用钢丝或钢环作为压力增强器；</w:t>
      </w:r>
    </w:p>
    <w:p>
      <w:pPr>
        <w:rPr>
          <w:color w:val="auto"/>
          <w:highlight w:val="none"/>
          <w:lang w:eastAsia="zh-CN"/>
        </w:rPr>
      </w:pPr>
      <w:r>
        <w:rPr>
          <w:rFonts w:hint="eastAsia"/>
          <w:color w:val="auto"/>
          <w:highlight w:val="none"/>
          <w:lang w:eastAsia="zh-CN"/>
        </w:rPr>
        <w:t>所有连接管均应按系统要求提供单球型，且需得到监理工程师认可；</w:t>
      </w:r>
    </w:p>
    <w:p>
      <w:pPr>
        <w:rPr>
          <w:color w:val="auto"/>
          <w:highlight w:val="none"/>
          <w:lang w:eastAsia="zh-CN"/>
        </w:rPr>
      </w:pPr>
      <w:r>
        <w:rPr>
          <w:rFonts w:hint="eastAsia"/>
          <w:color w:val="auto"/>
          <w:highlight w:val="none"/>
          <w:lang w:eastAsia="zh-CN"/>
        </w:rPr>
        <w:t>连接器应用悬浮式钢制凹槽法兰与管道进行连接；</w:t>
      </w:r>
    </w:p>
    <w:p>
      <w:pPr>
        <w:rPr>
          <w:color w:val="auto"/>
          <w:highlight w:val="none"/>
          <w:lang w:eastAsia="zh-CN"/>
        </w:rPr>
      </w:pPr>
      <w:r>
        <w:rPr>
          <w:rFonts w:hint="eastAsia"/>
          <w:color w:val="auto"/>
          <w:highlight w:val="none"/>
          <w:lang w:eastAsia="zh-CN"/>
        </w:rPr>
        <w:t>所有连接器均应能承受</w:t>
      </w:r>
      <w:r>
        <w:rPr>
          <w:color w:val="auto"/>
          <w:highlight w:val="none"/>
          <w:lang w:eastAsia="zh-CN"/>
        </w:rPr>
        <w:t>1600</w:t>
      </w:r>
      <w:r>
        <w:rPr>
          <w:rFonts w:hint="eastAsia"/>
          <w:color w:val="auto"/>
          <w:highlight w:val="none"/>
          <w:lang w:eastAsia="zh-CN"/>
        </w:rPr>
        <w:t>千帕斯卡工作压力和</w:t>
      </w:r>
      <w:r>
        <w:rPr>
          <w:color w:val="auto"/>
          <w:highlight w:val="none"/>
          <w:lang w:eastAsia="zh-CN"/>
        </w:rPr>
        <w:t>2400</w:t>
      </w:r>
      <w:r>
        <w:rPr>
          <w:rFonts w:hint="eastAsia"/>
          <w:color w:val="auto"/>
          <w:highlight w:val="none"/>
          <w:lang w:eastAsia="zh-CN"/>
        </w:rPr>
        <w:t>千帕斯卡的测试压力；</w:t>
      </w:r>
    </w:p>
    <w:p>
      <w:pPr>
        <w:rPr>
          <w:color w:val="auto"/>
          <w:highlight w:val="none"/>
          <w:lang w:eastAsia="zh-CN"/>
        </w:rPr>
      </w:pPr>
      <w:r>
        <w:rPr>
          <w:rFonts w:hint="eastAsia"/>
          <w:color w:val="auto"/>
          <w:highlight w:val="none"/>
          <w:lang w:eastAsia="zh-CN"/>
        </w:rPr>
        <w:t>所有连接器均应制成凸缘球形，在生产过程均应进行适当的预伸长以防在系统压力下产生附加的伸长，同时每个连接器均需提供防超伸长销定杆装置。</w:t>
      </w:r>
    </w:p>
    <w:p>
      <w:pPr>
        <w:rPr>
          <w:color w:val="auto"/>
          <w:highlight w:val="none"/>
          <w:lang w:eastAsia="zh-CN"/>
        </w:rPr>
      </w:pPr>
    </w:p>
    <w:p>
      <w:pPr>
        <w:rPr>
          <w:color w:val="auto"/>
          <w:highlight w:val="none"/>
          <w:lang w:eastAsia="zh-CN"/>
        </w:rPr>
      </w:pPr>
      <w:r>
        <w:rPr>
          <w:rFonts w:hint="eastAsia"/>
          <w:color w:val="auto"/>
          <w:highlight w:val="none"/>
          <w:lang w:eastAsia="zh-CN"/>
        </w:rPr>
        <w:t>风管柔性接头</w:t>
      </w:r>
    </w:p>
    <w:p>
      <w:pPr>
        <w:rPr>
          <w:color w:val="auto"/>
          <w:highlight w:val="none"/>
          <w:lang w:eastAsia="zh-CN"/>
        </w:rPr>
      </w:pPr>
      <w:r>
        <w:rPr>
          <w:rFonts w:hint="eastAsia"/>
          <w:color w:val="auto"/>
          <w:highlight w:val="none"/>
          <w:lang w:eastAsia="zh-CN"/>
        </w:rPr>
        <w:t>在各风管系统和设备连接口提供柔性接头；</w:t>
      </w:r>
    </w:p>
    <w:p>
      <w:pPr>
        <w:rPr>
          <w:color w:val="auto"/>
          <w:highlight w:val="none"/>
          <w:lang w:eastAsia="zh-CN"/>
        </w:rPr>
      </w:pPr>
      <w:r>
        <w:rPr>
          <w:rFonts w:hint="eastAsia"/>
          <w:color w:val="auto"/>
          <w:highlight w:val="none"/>
          <w:lang w:eastAsia="zh-CN"/>
        </w:rPr>
        <w:t>按图纸所示或为减低震动，在所有风机和空调处理机的进风和出风接口安装隔震柔性接头。在每个接头均须预留有</w:t>
      </w:r>
      <w:r>
        <w:rPr>
          <w:color w:val="auto"/>
          <w:highlight w:val="none"/>
          <w:lang w:eastAsia="zh-CN"/>
        </w:rPr>
        <w:t>25</w:t>
      </w:r>
      <w:r>
        <w:rPr>
          <w:rFonts w:hint="eastAsia"/>
          <w:color w:val="auto"/>
          <w:highlight w:val="none"/>
          <w:lang w:eastAsia="zh-CN"/>
        </w:rPr>
        <w:t>毫米的宽松带以确保由风机所产生的震动不会传送至风管系统。柔性接头的连接应采用内折于金属片内或附于金属框架上，以防止漏风；</w:t>
      </w:r>
    </w:p>
    <w:p>
      <w:pPr>
        <w:rPr>
          <w:color w:val="auto"/>
          <w:highlight w:val="none"/>
          <w:lang w:eastAsia="zh-CN"/>
        </w:rPr>
      </w:pPr>
      <w:r>
        <w:rPr>
          <w:rFonts w:hint="eastAsia"/>
          <w:color w:val="auto"/>
          <w:highlight w:val="none"/>
          <w:lang w:eastAsia="zh-CN"/>
        </w:rPr>
        <w:t>连接器应采用氯丁橡胶涂膜玻璃织物制造。所有连接器要符合当地消防局最新要求。呈交有关试验证书以供审批。</w:t>
      </w:r>
    </w:p>
    <w:p>
      <w:pPr>
        <w:rPr>
          <w:color w:val="auto"/>
          <w:highlight w:val="none"/>
          <w:lang w:eastAsia="zh-CN"/>
        </w:rPr>
      </w:pPr>
    </w:p>
    <w:p>
      <w:pPr>
        <w:rPr>
          <w:color w:val="auto"/>
          <w:highlight w:val="none"/>
          <w:lang w:eastAsia="zh-CN"/>
        </w:rPr>
      </w:pPr>
      <w:r>
        <w:rPr>
          <w:rFonts w:hint="eastAsia"/>
          <w:color w:val="auto"/>
          <w:highlight w:val="none"/>
          <w:lang w:eastAsia="zh-CN"/>
        </w:rPr>
        <w:t>安装</w:t>
      </w:r>
    </w:p>
    <w:p>
      <w:pPr>
        <w:rPr>
          <w:color w:val="auto"/>
          <w:highlight w:val="none"/>
          <w:lang w:eastAsia="zh-CN"/>
        </w:rPr>
      </w:pPr>
      <w:r>
        <w:rPr>
          <w:rFonts w:hint="eastAsia"/>
          <w:color w:val="auto"/>
          <w:highlight w:val="none"/>
          <w:lang w:eastAsia="zh-CN"/>
        </w:rPr>
        <w:t>所有隔震设备均应按照各认可的制造厂家所建议的安装指引进行施工；</w:t>
      </w:r>
    </w:p>
    <w:p>
      <w:pPr>
        <w:rPr>
          <w:color w:val="auto"/>
          <w:highlight w:val="none"/>
          <w:lang w:eastAsia="zh-CN"/>
        </w:rPr>
      </w:pPr>
    </w:p>
    <w:p>
      <w:pPr>
        <w:rPr>
          <w:color w:val="auto"/>
          <w:highlight w:val="none"/>
          <w:lang w:eastAsia="zh-CN"/>
        </w:rPr>
      </w:pPr>
      <w:r>
        <w:rPr>
          <w:rFonts w:hint="eastAsia"/>
          <w:color w:val="auto"/>
          <w:highlight w:val="none"/>
          <w:lang w:eastAsia="zh-CN"/>
        </w:rPr>
        <w:t>空调处理机及风机</w:t>
      </w:r>
    </w:p>
    <w:p>
      <w:pPr>
        <w:rPr>
          <w:color w:val="auto"/>
          <w:highlight w:val="none"/>
          <w:lang w:eastAsia="zh-CN"/>
        </w:rPr>
      </w:pPr>
      <w:r>
        <w:rPr>
          <w:rFonts w:hint="eastAsia"/>
          <w:color w:val="auto"/>
          <w:highlight w:val="none"/>
          <w:lang w:eastAsia="zh-CN"/>
        </w:rPr>
        <w:t>用一相同的构件连接整个风机及电动机，并安装在一具有足够刚度的钢制组合基座上；</w:t>
      </w:r>
    </w:p>
    <w:p>
      <w:pPr>
        <w:rPr>
          <w:color w:val="auto"/>
          <w:highlight w:val="none"/>
          <w:lang w:eastAsia="zh-CN"/>
        </w:rPr>
      </w:pPr>
      <w:r>
        <w:rPr>
          <w:rFonts w:hint="eastAsia"/>
          <w:color w:val="auto"/>
          <w:highlight w:val="none"/>
          <w:lang w:eastAsia="zh-CN"/>
        </w:rPr>
        <w:t>所有风机须提供水平推力限制器；</w:t>
      </w:r>
    </w:p>
    <w:p>
      <w:pPr>
        <w:rPr>
          <w:color w:val="auto"/>
          <w:highlight w:val="none"/>
          <w:lang w:eastAsia="zh-CN"/>
        </w:rPr>
      </w:pPr>
      <w:r>
        <w:rPr>
          <w:rFonts w:hint="eastAsia"/>
          <w:color w:val="auto"/>
          <w:highlight w:val="none"/>
          <w:lang w:eastAsia="zh-CN"/>
        </w:rPr>
        <w:t>除在图纸有特别标示，各弹簧隔震器的最少静态隔震器幅度是</w:t>
      </w:r>
      <w:r>
        <w:rPr>
          <w:color w:val="auto"/>
          <w:highlight w:val="none"/>
          <w:lang w:eastAsia="zh-CN"/>
        </w:rPr>
        <w:t>20</w:t>
      </w:r>
      <w:r>
        <w:rPr>
          <w:rFonts w:hint="eastAsia"/>
          <w:color w:val="auto"/>
          <w:highlight w:val="none"/>
          <w:lang w:eastAsia="zh-CN"/>
        </w:rPr>
        <w:t>毫米；</w:t>
      </w:r>
    </w:p>
    <w:p>
      <w:pPr>
        <w:rPr>
          <w:color w:val="auto"/>
          <w:highlight w:val="none"/>
          <w:lang w:eastAsia="zh-CN"/>
        </w:rPr>
      </w:pPr>
    </w:p>
    <w:p>
      <w:pPr>
        <w:rPr>
          <w:color w:val="auto"/>
          <w:highlight w:val="none"/>
          <w:lang w:eastAsia="zh-CN"/>
        </w:rPr>
      </w:pPr>
      <w:r>
        <w:rPr>
          <w:rFonts w:hint="eastAsia"/>
          <w:color w:val="auto"/>
          <w:highlight w:val="none"/>
          <w:lang w:eastAsia="zh-CN"/>
        </w:rPr>
        <w:t>水平管道</w:t>
      </w:r>
    </w:p>
    <w:p>
      <w:pPr>
        <w:rPr>
          <w:color w:val="auto"/>
          <w:highlight w:val="none"/>
          <w:lang w:eastAsia="zh-CN"/>
        </w:rPr>
      </w:pPr>
      <w:r>
        <w:rPr>
          <w:rFonts w:hint="eastAsia"/>
          <w:color w:val="auto"/>
          <w:highlight w:val="none"/>
          <w:lang w:eastAsia="zh-CN"/>
        </w:rPr>
        <w:t>除特别注明外，安装在各空调机房内的所有水管道均须提供防震吊钩；</w:t>
      </w:r>
    </w:p>
    <w:p>
      <w:pPr>
        <w:rPr>
          <w:color w:val="auto"/>
          <w:highlight w:val="none"/>
          <w:lang w:eastAsia="zh-CN"/>
        </w:rPr>
      </w:pPr>
    </w:p>
    <w:p>
      <w:pPr>
        <w:rPr>
          <w:color w:val="auto"/>
          <w:highlight w:val="none"/>
          <w:lang w:eastAsia="zh-CN"/>
        </w:rPr>
      </w:pPr>
      <w:r>
        <w:rPr>
          <w:rFonts w:hint="eastAsia"/>
          <w:color w:val="auto"/>
          <w:highlight w:val="none"/>
          <w:lang w:eastAsia="zh-CN"/>
        </w:rPr>
        <w:t>垂直管和立管</w:t>
      </w:r>
    </w:p>
    <w:p>
      <w:pPr>
        <w:rPr>
          <w:color w:val="auto"/>
          <w:highlight w:val="none"/>
          <w:lang w:eastAsia="zh-CN"/>
        </w:rPr>
      </w:pPr>
      <w:r>
        <w:rPr>
          <w:rFonts w:hint="eastAsia"/>
          <w:color w:val="auto"/>
          <w:highlight w:val="none"/>
          <w:lang w:eastAsia="zh-CN"/>
        </w:rPr>
        <w:t>所有立管均应按图纸上所示用支架或固定件悬吊或支撑，所有立管均应以</w:t>
      </w:r>
      <w:r>
        <w:rPr>
          <w:color w:val="auto"/>
          <w:highlight w:val="none"/>
          <w:lang w:eastAsia="zh-CN"/>
        </w:rPr>
        <w:t>4</w:t>
      </w:r>
      <w:r>
        <w:rPr>
          <w:rFonts w:hint="eastAsia"/>
          <w:color w:val="auto"/>
          <w:highlight w:val="none"/>
          <w:lang w:eastAsia="zh-CN"/>
        </w:rPr>
        <w:t>米的间隔弹性地悬吊或支撑。</w:t>
      </w:r>
    </w:p>
    <w:p>
      <w:pPr>
        <w:rPr>
          <w:color w:val="auto"/>
          <w:highlight w:val="none"/>
          <w:lang w:eastAsia="zh-CN"/>
        </w:rPr>
      </w:pPr>
    </w:p>
    <w:p>
      <w:pPr>
        <w:rPr>
          <w:color w:val="auto"/>
          <w:highlight w:val="none"/>
          <w:lang w:eastAsia="zh-CN"/>
        </w:rPr>
      </w:pPr>
      <w:r>
        <w:rPr>
          <w:rFonts w:hint="eastAsia"/>
          <w:color w:val="auto"/>
          <w:highlight w:val="none"/>
          <w:lang w:eastAsia="zh-CN"/>
        </w:rPr>
        <w:t>9．通风空调系统试验和试运行</w:t>
      </w:r>
    </w:p>
    <w:p>
      <w:pPr>
        <w:rPr>
          <w:color w:val="auto"/>
          <w:highlight w:val="none"/>
          <w:lang w:eastAsia="zh-CN"/>
        </w:rPr>
      </w:pPr>
      <w:r>
        <w:rPr>
          <w:rFonts w:hint="eastAsia"/>
          <w:color w:val="auto"/>
          <w:highlight w:val="none"/>
          <w:lang w:eastAsia="zh-CN"/>
        </w:rPr>
        <w:t>概述</w:t>
      </w:r>
    </w:p>
    <w:p>
      <w:pPr>
        <w:rPr>
          <w:color w:val="auto"/>
          <w:highlight w:val="none"/>
          <w:lang w:eastAsia="zh-CN"/>
        </w:rPr>
      </w:pPr>
      <w:r>
        <w:rPr>
          <w:rFonts w:hint="eastAsia"/>
          <w:color w:val="auto"/>
          <w:highlight w:val="none"/>
          <w:lang w:eastAsia="zh-CN"/>
        </w:rPr>
        <w:t>本节说明有关所有通风空调系统的试验、试运行的技术要求。</w:t>
      </w:r>
    </w:p>
    <w:p>
      <w:pPr>
        <w:rPr>
          <w:color w:val="auto"/>
          <w:highlight w:val="none"/>
          <w:lang w:eastAsia="zh-CN"/>
        </w:rPr>
      </w:pPr>
    </w:p>
    <w:p>
      <w:pPr>
        <w:rPr>
          <w:color w:val="auto"/>
          <w:highlight w:val="none"/>
          <w:lang w:eastAsia="zh-CN"/>
        </w:rPr>
      </w:pPr>
      <w:r>
        <w:rPr>
          <w:rFonts w:hint="eastAsia"/>
          <w:color w:val="auto"/>
          <w:highlight w:val="none"/>
          <w:lang w:eastAsia="zh-CN"/>
        </w:rPr>
        <w:t>一般要求</w:t>
      </w:r>
    </w:p>
    <w:p>
      <w:pPr>
        <w:rPr>
          <w:color w:val="auto"/>
          <w:highlight w:val="none"/>
          <w:lang w:eastAsia="zh-CN"/>
        </w:rPr>
      </w:pPr>
      <w:r>
        <w:rPr>
          <w:rFonts w:hint="eastAsia"/>
          <w:color w:val="auto"/>
          <w:highlight w:val="none"/>
          <w:lang w:eastAsia="zh-CN"/>
        </w:rPr>
        <w:t>除了其他章节内的要求外，本承包单位还应实施各项必要的试验和试运行，这包括施工期间的现场试验、交工试运行和验收试验。</w:t>
      </w:r>
    </w:p>
    <w:p>
      <w:pPr>
        <w:rPr>
          <w:color w:val="auto"/>
          <w:highlight w:val="none"/>
          <w:lang w:eastAsia="zh-CN"/>
        </w:rPr>
      </w:pPr>
      <w:r>
        <w:rPr>
          <w:rFonts w:hint="eastAsia"/>
          <w:color w:val="auto"/>
          <w:highlight w:val="none"/>
          <w:lang w:eastAsia="zh-CN"/>
        </w:rPr>
        <w:t>所有的测试须按业主</w:t>
      </w:r>
      <w:r>
        <w:rPr>
          <w:color w:val="auto"/>
          <w:highlight w:val="none"/>
          <w:lang w:eastAsia="zh-CN"/>
        </w:rPr>
        <w:t>/</w:t>
      </w:r>
      <w:r>
        <w:rPr>
          <w:rFonts w:hint="eastAsia"/>
          <w:color w:val="auto"/>
          <w:highlight w:val="none"/>
          <w:lang w:eastAsia="zh-CN"/>
        </w:rPr>
        <w:t>监理工程师所认可的程序进行，同时在完成试验后须提交所有试验记录文件一式三份供业主</w:t>
      </w:r>
      <w:r>
        <w:rPr>
          <w:color w:val="auto"/>
          <w:highlight w:val="none"/>
          <w:lang w:eastAsia="zh-CN"/>
        </w:rPr>
        <w:t>/</w:t>
      </w:r>
      <w:r>
        <w:rPr>
          <w:rFonts w:hint="eastAsia"/>
          <w:color w:val="auto"/>
          <w:highlight w:val="none"/>
          <w:lang w:eastAsia="zh-CN"/>
        </w:rPr>
        <w:t>监理工程师审阅。所有安装的系统必须完成本技术要求所有的试验并经业主</w:t>
      </w:r>
      <w:r>
        <w:rPr>
          <w:color w:val="auto"/>
          <w:highlight w:val="none"/>
          <w:lang w:eastAsia="zh-CN"/>
        </w:rPr>
        <w:t>/</w:t>
      </w:r>
      <w:r>
        <w:rPr>
          <w:rFonts w:hint="eastAsia"/>
          <w:color w:val="auto"/>
          <w:highlight w:val="none"/>
          <w:lang w:eastAsia="zh-CN"/>
        </w:rPr>
        <w:t>监理工程师审核认可后，方可正式移交业主使用。</w:t>
      </w:r>
    </w:p>
    <w:p>
      <w:pPr>
        <w:rPr>
          <w:color w:val="auto"/>
          <w:highlight w:val="none"/>
          <w:lang w:eastAsia="zh-CN"/>
        </w:rPr>
      </w:pPr>
      <w:r>
        <w:rPr>
          <w:rFonts w:hint="eastAsia"/>
          <w:color w:val="auto"/>
          <w:highlight w:val="none"/>
          <w:lang w:eastAsia="zh-CN"/>
        </w:rPr>
        <w:t>本承包人须负责有关系统试验所需的一切费用，包括修正在试验过程中所发现不妥善的地方及再次试验的费用，同时需包括一切试验所需的仪器设施。</w:t>
      </w:r>
    </w:p>
    <w:p>
      <w:pPr>
        <w:rPr>
          <w:color w:val="auto"/>
          <w:highlight w:val="none"/>
          <w:lang w:eastAsia="zh-CN"/>
        </w:rPr>
      </w:pPr>
      <w:r>
        <w:rPr>
          <w:rFonts w:hint="eastAsia"/>
          <w:color w:val="auto"/>
          <w:highlight w:val="none"/>
          <w:lang w:eastAsia="zh-CN"/>
        </w:rPr>
        <w:t>有关执行各系统的试验、调节和试运行工作的人员须具有五年或以上担任过相同工作的经验。</w:t>
      </w:r>
    </w:p>
    <w:p>
      <w:pPr>
        <w:rPr>
          <w:color w:val="auto"/>
          <w:highlight w:val="none"/>
          <w:lang w:eastAsia="zh-CN"/>
        </w:rPr>
      </w:pPr>
      <w:r>
        <w:rPr>
          <w:rFonts w:hint="eastAsia"/>
          <w:color w:val="auto"/>
          <w:highlight w:val="none"/>
          <w:lang w:eastAsia="zh-CN"/>
        </w:rPr>
        <w:t>所有用于试验、调节和试运行工作的仪器设施，须在使用前检定合格。</w:t>
      </w:r>
    </w:p>
    <w:p>
      <w:pPr>
        <w:rPr>
          <w:color w:val="auto"/>
          <w:highlight w:val="none"/>
          <w:lang w:eastAsia="zh-CN"/>
        </w:rPr>
      </w:pPr>
      <w:r>
        <w:rPr>
          <w:rFonts w:hint="eastAsia"/>
          <w:color w:val="auto"/>
          <w:highlight w:val="none"/>
          <w:lang w:eastAsia="zh-CN"/>
        </w:rPr>
        <w:t>遵守国家相关标准和规范（特别是消防、环境方面的要求）。</w:t>
      </w:r>
    </w:p>
    <w:p>
      <w:pPr>
        <w:rPr>
          <w:color w:val="auto"/>
          <w:highlight w:val="none"/>
          <w:lang w:eastAsia="zh-CN"/>
        </w:rPr>
      </w:pPr>
      <w:r>
        <w:rPr>
          <w:rFonts w:hint="eastAsia"/>
          <w:color w:val="auto"/>
          <w:highlight w:val="none"/>
          <w:lang w:eastAsia="zh-CN"/>
        </w:rPr>
        <w:t>提交执行系统测试及试运行人员的名单、简历。</w:t>
      </w:r>
    </w:p>
    <w:p>
      <w:pPr>
        <w:rPr>
          <w:color w:val="auto"/>
          <w:highlight w:val="none"/>
          <w:lang w:eastAsia="zh-CN"/>
        </w:rPr>
      </w:pPr>
      <w:r>
        <w:rPr>
          <w:rFonts w:hint="eastAsia"/>
          <w:color w:val="auto"/>
          <w:highlight w:val="none"/>
          <w:lang w:eastAsia="zh-CN"/>
        </w:rPr>
        <w:t>提交测试及试运行的计划进度表。</w:t>
      </w:r>
    </w:p>
    <w:p>
      <w:pPr>
        <w:rPr>
          <w:color w:val="auto"/>
          <w:highlight w:val="none"/>
          <w:lang w:eastAsia="zh-CN"/>
        </w:rPr>
      </w:pPr>
      <w:r>
        <w:rPr>
          <w:rFonts w:hint="eastAsia"/>
          <w:color w:val="auto"/>
          <w:highlight w:val="none"/>
          <w:lang w:eastAsia="zh-CN"/>
        </w:rPr>
        <w:t>提交测试及试运行的方案。</w:t>
      </w:r>
    </w:p>
    <w:p>
      <w:pPr>
        <w:rPr>
          <w:color w:val="auto"/>
          <w:highlight w:val="none"/>
          <w:lang w:eastAsia="zh-CN"/>
        </w:rPr>
      </w:pPr>
    </w:p>
    <w:p>
      <w:pPr>
        <w:rPr>
          <w:color w:val="auto"/>
          <w:highlight w:val="none"/>
          <w:lang w:eastAsia="zh-CN"/>
        </w:rPr>
      </w:pPr>
      <w:r>
        <w:rPr>
          <w:rFonts w:hint="eastAsia"/>
          <w:color w:val="auto"/>
          <w:highlight w:val="none"/>
          <w:lang w:eastAsia="zh-CN"/>
        </w:rPr>
        <w:t>产品</w:t>
      </w:r>
    </w:p>
    <w:p>
      <w:pPr>
        <w:rPr>
          <w:color w:val="auto"/>
          <w:highlight w:val="none"/>
          <w:lang w:eastAsia="zh-CN"/>
        </w:rPr>
      </w:pPr>
      <w:r>
        <w:rPr>
          <w:color w:val="auto"/>
          <w:highlight w:val="none"/>
          <w:lang w:eastAsia="zh-CN"/>
        </w:rPr>
        <w:t>1.</w:t>
      </w:r>
      <w:r>
        <w:rPr>
          <w:rFonts w:hint="eastAsia"/>
          <w:color w:val="auto"/>
          <w:highlight w:val="none"/>
          <w:lang w:eastAsia="zh-CN"/>
        </w:rPr>
        <w:t>提供所有试验及试运行所需的仪器设施，其中包括但不限于下列内容：</w:t>
      </w:r>
    </w:p>
    <w:p>
      <w:pPr>
        <w:rPr>
          <w:color w:val="auto"/>
          <w:highlight w:val="none"/>
          <w:lang w:eastAsia="zh-CN"/>
        </w:rPr>
      </w:pPr>
      <w:r>
        <w:rPr>
          <w:color w:val="auto"/>
          <w:highlight w:val="none"/>
          <w:lang w:eastAsia="zh-CN"/>
        </w:rPr>
        <w:t>8</w:t>
      </w:r>
      <w:r>
        <w:rPr>
          <w:rFonts w:hint="eastAsia"/>
          <w:color w:val="auto"/>
          <w:highlight w:val="none"/>
          <w:lang w:eastAsia="zh-CN"/>
        </w:rPr>
        <w:t>倍频带噪音测量表；</w:t>
      </w:r>
    </w:p>
    <w:p>
      <w:pPr>
        <w:rPr>
          <w:color w:val="auto"/>
          <w:highlight w:val="none"/>
          <w:lang w:eastAsia="zh-CN"/>
        </w:rPr>
      </w:pPr>
      <w:r>
        <w:rPr>
          <w:rFonts w:hint="eastAsia"/>
          <w:color w:val="auto"/>
          <w:highlight w:val="none"/>
          <w:lang w:eastAsia="zh-CN"/>
        </w:rPr>
        <w:t>温湿度计；</w:t>
      </w:r>
    </w:p>
    <w:p>
      <w:pPr>
        <w:rPr>
          <w:color w:val="auto"/>
          <w:highlight w:val="none"/>
          <w:lang w:eastAsia="zh-CN"/>
        </w:rPr>
      </w:pPr>
      <w:r>
        <w:rPr>
          <w:rFonts w:hint="eastAsia"/>
          <w:color w:val="auto"/>
          <w:highlight w:val="none"/>
          <w:lang w:eastAsia="zh-CN"/>
        </w:rPr>
        <w:t>转速计；</w:t>
      </w:r>
    </w:p>
    <w:p>
      <w:pPr>
        <w:rPr>
          <w:color w:val="auto"/>
          <w:highlight w:val="none"/>
          <w:lang w:eastAsia="zh-CN"/>
        </w:rPr>
      </w:pPr>
      <w:r>
        <w:rPr>
          <w:rFonts w:hint="eastAsia"/>
          <w:color w:val="auto"/>
          <w:highlight w:val="none"/>
          <w:lang w:eastAsia="zh-CN"/>
        </w:rPr>
        <w:t>非接触式温度计和接触式温度计；</w:t>
      </w:r>
    </w:p>
    <w:p>
      <w:pPr>
        <w:rPr>
          <w:color w:val="auto"/>
          <w:highlight w:val="none"/>
          <w:lang w:eastAsia="zh-CN"/>
        </w:rPr>
      </w:pPr>
      <w:r>
        <w:rPr>
          <w:rFonts w:hint="eastAsia"/>
          <w:color w:val="auto"/>
          <w:highlight w:val="none"/>
          <w:lang w:eastAsia="zh-CN"/>
        </w:rPr>
        <w:t>流速测定管连测压计；</w:t>
      </w:r>
    </w:p>
    <w:p>
      <w:pPr>
        <w:rPr>
          <w:color w:val="auto"/>
          <w:highlight w:val="none"/>
          <w:lang w:eastAsia="zh-CN"/>
        </w:rPr>
      </w:pPr>
      <w:r>
        <w:rPr>
          <w:rFonts w:hint="eastAsia"/>
          <w:color w:val="auto"/>
          <w:highlight w:val="none"/>
          <w:lang w:eastAsia="zh-CN"/>
        </w:rPr>
        <w:t>热球式风速仪；</w:t>
      </w:r>
    </w:p>
    <w:p>
      <w:pPr>
        <w:rPr>
          <w:color w:val="auto"/>
          <w:highlight w:val="none"/>
          <w:lang w:eastAsia="zh-CN"/>
        </w:rPr>
      </w:pPr>
      <w:r>
        <w:rPr>
          <w:rFonts w:hint="eastAsia"/>
          <w:color w:val="auto"/>
          <w:highlight w:val="none"/>
          <w:lang w:eastAsia="zh-CN"/>
        </w:rPr>
        <w:t>测速仪；</w:t>
      </w:r>
    </w:p>
    <w:p>
      <w:pPr>
        <w:rPr>
          <w:color w:val="auto"/>
          <w:highlight w:val="none"/>
          <w:lang w:eastAsia="zh-CN"/>
        </w:rPr>
      </w:pPr>
      <w:r>
        <w:rPr>
          <w:rFonts w:hint="eastAsia"/>
          <w:color w:val="auto"/>
          <w:highlight w:val="none"/>
          <w:lang w:eastAsia="zh-CN"/>
        </w:rPr>
        <w:t>电流、电压表；</w:t>
      </w:r>
    </w:p>
    <w:p>
      <w:pPr>
        <w:rPr>
          <w:color w:val="auto"/>
          <w:highlight w:val="none"/>
          <w:lang w:eastAsia="zh-CN"/>
        </w:rPr>
      </w:pPr>
      <w:r>
        <w:rPr>
          <w:rFonts w:hint="eastAsia"/>
          <w:color w:val="auto"/>
          <w:highlight w:val="none"/>
          <w:lang w:eastAsia="zh-CN"/>
        </w:rPr>
        <w:t>绝缘测试表；</w:t>
      </w:r>
    </w:p>
    <w:p>
      <w:pPr>
        <w:rPr>
          <w:color w:val="auto"/>
          <w:highlight w:val="none"/>
          <w:lang w:eastAsia="zh-CN"/>
        </w:rPr>
      </w:pPr>
      <w:r>
        <w:rPr>
          <w:rFonts w:hint="eastAsia"/>
          <w:color w:val="auto"/>
          <w:highlight w:val="none"/>
          <w:lang w:eastAsia="zh-CN"/>
        </w:rPr>
        <w:t>试压水泵设备。</w:t>
      </w:r>
    </w:p>
    <w:p>
      <w:pPr>
        <w:rPr>
          <w:color w:val="auto"/>
          <w:highlight w:val="none"/>
          <w:lang w:eastAsia="zh-CN"/>
        </w:rPr>
      </w:pPr>
      <w:r>
        <w:rPr>
          <w:color w:val="auto"/>
          <w:highlight w:val="none"/>
          <w:lang w:eastAsia="zh-CN"/>
        </w:rPr>
        <w:t>2</w:t>
      </w:r>
      <w:r>
        <w:rPr>
          <w:rFonts w:hint="eastAsia"/>
          <w:color w:val="auto"/>
          <w:highlight w:val="none"/>
          <w:lang w:eastAsia="zh-CN"/>
        </w:rPr>
        <w:t>．须于使用前三个月内对有关测量仪器重新校核检定。</w:t>
      </w:r>
    </w:p>
    <w:p>
      <w:pPr>
        <w:rPr>
          <w:color w:val="auto"/>
          <w:highlight w:val="none"/>
          <w:lang w:eastAsia="zh-CN"/>
        </w:rPr>
      </w:pPr>
      <w:r>
        <w:rPr>
          <w:color w:val="auto"/>
          <w:highlight w:val="none"/>
          <w:lang w:eastAsia="zh-CN"/>
        </w:rPr>
        <w:t>3</w:t>
      </w:r>
      <w:r>
        <w:rPr>
          <w:rFonts w:hint="eastAsia"/>
          <w:color w:val="auto"/>
          <w:highlight w:val="none"/>
          <w:lang w:eastAsia="zh-CN"/>
        </w:rPr>
        <w:t>．承包单位须负责提供一切为成功调试有关水、风系统所需的附加设备，如调节阀、减压阀和蝶型阀等，并负责一切费用。</w:t>
      </w:r>
    </w:p>
    <w:p>
      <w:pPr>
        <w:rPr>
          <w:color w:val="auto"/>
          <w:highlight w:val="none"/>
          <w:lang w:eastAsia="zh-CN"/>
        </w:rPr>
      </w:pPr>
      <w:r>
        <w:rPr>
          <w:color w:val="auto"/>
          <w:highlight w:val="none"/>
          <w:lang w:eastAsia="zh-CN"/>
        </w:rPr>
        <w:t>4</w:t>
      </w:r>
      <w:r>
        <w:rPr>
          <w:rFonts w:hint="eastAsia"/>
          <w:color w:val="auto"/>
          <w:highlight w:val="none"/>
          <w:lang w:eastAsia="zh-CN"/>
        </w:rPr>
        <w:t>．提供本和约范围内一切系统测试所需的工作人员、设备、仪表。</w:t>
      </w:r>
    </w:p>
    <w:p>
      <w:pPr>
        <w:rPr>
          <w:color w:val="auto"/>
          <w:highlight w:val="none"/>
          <w:lang w:eastAsia="zh-CN"/>
        </w:rPr>
      </w:pPr>
      <w:r>
        <w:rPr>
          <w:color w:val="auto"/>
          <w:highlight w:val="none"/>
          <w:lang w:eastAsia="zh-CN"/>
        </w:rPr>
        <w:t>5</w:t>
      </w:r>
      <w:r>
        <w:rPr>
          <w:rFonts w:hint="eastAsia"/>
          <w:color w:val="auto"/>
          <w:highlight w:val="none"/>
          <w:lang w:eastAsia="zh-CN"/>
        </w:rPr>
        <w:t>．增添、替换或修正在测试期间发现的有缺陷的系统、设备。</w:t>
      </w:r>
    </w:p>
    <w:p>
      <w:pPr>
        <w:rPr>
          <w:color w:val="auto"/>
          <w:highlight w:val="none"/>
          <w:lang w:eastAsia="zh-CN"/>
        </w:rPr>
      </w:pPr>
    </w:p>
    <w:p>
      <w:pPr>
        <w:rPr>
          <w:color w:val="auto"/>
          <w:highlight w:val="none"/>
          <w:lang w:eastAsia="zh-CN"/>
        </w:rPr>
      </w:pPr>
      <w:r>
        <w:rPr>
          <w:rFonts w:hint="eastAsia"/>
          <w:color w:val="auto"/>
          <w:highlight w:val="none"/>
          <w:lang w:eastAsia="zh-CN"/>
        </w:rPr>
        <w:t>测试前的准备：</w:t>
      </w:r>
    </w:p>
    <w:p>
      <w:pPr>
        <w:rPr>
          <w:color w:val="auto"/>
          <w:highlight w:val="none"/>
          <w:lang w:eastAsia="zh-CN"/>
        </w:rPr>
      </w:pPr>
      <w:r>
        <w:rPr>
          <w:rFonts w:hint="eastAsia"/>
          <w:color w:val="auto"/>
          <w:highlight w:val="none"/>
          <w:lang w:eastAsia="zh-CN"/>
        </w:rPr>
        <w:t>承包单位须保证所有本和约范围内的设备及装置，在进行调试工作前，彻底进行清洁、润滑和检查，将所有遗留在风管系统、水管系统、设备内的杂物一一清除。</w:t>
      </w:r>
    </w:p>
    <w:p>
      <w:pPr>
        <w:rPr>
          <w:color w:val="auto"/>
          <w:highlight w:val="none"/>
          <w:lang w:eastAsia="zh-CN"/>
        </w:rPr>
      </w:pPr>
      <w:r>
        <w:rPr>
          <w:rFonts w:hint="eastAsia"/>
          <w:color w:val="auto"/>
          <w:highlight w:val="none"/>
          <w:lang w:eastAsia="zh-CN"/>
        </w:rPr>
        <w:t>彻底冲洗管道系统，以清除管道内的污渍。在每个盘管设置旁通管，以避免在冲洗时，管网内的污垢被带入及积存在盘管内。冲洗完毕后，清洁系统内所有的过滤器及阀门，并为所有系统注入所需的媒体，及利用排气阀进行排气。</w:t>
      </w:r>
    </w:p>
    <w:p>
      <w:pPr>
        <w:rPr>
          <w:color w:val="auto"/>
          <w:highlight w:val="none"/>
          <w:lang w:eastAsia="zh-CN"/>
        </w:rPr>
      </w:pPr>
      <w:r>
        <w:rPr>
          <w:rFonts w:hint="eastAsia"/>
          <w:color w:val="auto"/>
          <w:highlight w:val="none"/>
          <w:lang w:eastAsia="zh-CN"/>
        </w:rPr>
        <w:t>须对所有自动控制元件和安全装置进行检查，确保操作正常后，才可接通水路和电力系统。</w:t>
      </w:r>
    </w:p>
    <w:p>
      <w:pPr>
        <w:rPr>
          <w:color w:val="auto"/>
          <w:highlight w:val="none"/>
          <w:lang w:eastAsia="zh-CN"/>
        </w:rPr>
      </w:pPr>
      <w:r>
        <w:rPr>
          <w:rFonts w:hint="eastAsia"/>
          <w:color w:val="auto"/>
          <w:highlight w:val="none"/>
          <w:lang w:eastAsia="zh-CN"/>
        </w:rPr>
        <w:t>在工程施工期间和在保温施工前，应对所完成的工程分段进行压力试验。压力试验前应先将可能受损的设备拆移并加法兰盲板封闭。</w:t>
      </w:r>
    </w:p>
    <w:p>
      <w:pPr>
        <w:rPr>
          <w:color w:val="auto"/>
          <w:highlight w:val="none"/>
          <w:lang w:eastAsia="zh-CN"/>
        </w:rPr>
      </w:pPr>
    </w:p>
    <w:p>
      <w:pPr>
        <w:rPr>
          <w:color w:val="auto"/>
          <w:highlight w:val="none"/>
          <w:lang w:eastAsia="zh-CN"/>
        </w:rPr>
      </w:pPr>
      <w:r>
        <w:rPr>
          <w:rFonts w:hint="eastAsia"/>
          <w:color w:val="auto"/>
          <w:highlight w:val="none"/>
          <w:lang w:eastAsia="zh-CN"/>
        </w:rPr>
        <w:t>设备单机试运转</w:t>
      </w:r>
    </w:p>
    <w:p>
      <w:pPr>
        <w:rPr>
          <w:color w:val="auto"/>
          <w:highlight w:val="none"/>
          <w:lang w:eastAsia="zh-CN"/>
        </w:rPr>
      </w:pPr>
      <w:r>
        <w:rPr>
          <w:rFonts w:hint="eastAsia"/>
          <w:color w:val="auto"/>
          <w:highlight w:val="none"/>
          <w:lang w:eastAsia="zh-CN"/>
        </w:rPr>
        <w:t>通风机及空调机组中的通风机</w:t>
      </w:r>
    </w:p>
    <w:p>
      <w:pPr>
        <w:rPr>
          <w:color w:val="auto"/>
          <w:highlight w:val="none"/>
          <w:lang w:eastAsia="zh-CN"/>
        </w:rPr>
      </w:pPr>
      <w:r>
        <w:rPr>
          <w:rFonts w:hint="eastAsia"/>
          <w:color w:val="auto"/>
          <w:highlight w:val="none"/>
          <w:lang w:eastAsia="zh-CN"/>
        </w:rPr>
        <w:t>盘动叶轮，应无卡阻和碰擦现象；</w:t>
      </w:r>
    </w:p>
    <w:p>
      <w:pPr>
        <w:rPr>
          <w:color w:val="auto"/>
          <w:highlight w:val="none"/>
          <w:lang w:eastAsia="zh-CN"/>
        </w:rPr>
      </w:pPr>
      <w:r>
        <w:rPr>
          <w:rFonts w:hint="eastAsia"/>
          <w:color w:val="auto"/>
          <w:highlight w:val="none"/>
          <w:lang w:eastAsia="zh-CN"/>
        </w:rPr>
        <w:t>叶轮旋转方向必须正确、运转平稳、无异常振动和声响，电机运行功率应符合设备技术文件的规定；</w:t>
      </w:r>
    </w:p>
    <w:p>
      <w:pPr>
        <w:rPr>
          <w:color w:val="auto"/>
          <w:highlight w:val="none"/>
          <w:lang w:eastAsia="zh-CN"/>
        </w:rPr>
      </w:pPr>
      <w:r>
        <w:rPr>
          <w:rFonts w:hint="eastAsia"/>
          <w:color w:val="auto"/>
          <w:highlight w:val="none"/>
          <w:lang w:eastAsia="zh-CN"/>
        </w:rPr>
        <w:t>风机启动达到正常转速后，应首先在调节门开度为</w:t>
      </w:r>
      <w:r>
        <w:rPr>
          <w:color w:val="auto"/>
          <w:highlight w:val="none"/>
          <w:lang w:eastAsia="zh-CN"/>
        </w:rPr>
        <w:t>0</w:t>
      </w:r>
      <w:r>
        <w:rPr>
          <w:rFonts w:hint="eastAsia"/>
          <w:color w:val="auto"/>
          <w:highlight w:val="none"/>
          <w:lang w:eastAsia="zh-CN"/>
        </w:rPr>
        <w:t>º到</w:t>
      </w:r>
      <w:r>
        <w:rPr>
          <w:color w:val="auto"/>
          <w:highlight w:val="none"/>
          <w:lang w:eastAsia="zh-CN"/>
        </w:rPr>
        <w:t>5</w:t>
      </w:r>
      <w:r>
        <w:rPr>
          <w:rFonts w:hint="eastAsia"/>
          <w:color w:val="auto"/>
          <w:highlight w:val="none"/>
          <w:lang w:eastAsia="zh-CN"/>
        </w:rPr>
        <w:t>º之间小负荷运转，待达到轴承温升稳定后连续运转时间不应小于</w:t>
      </w:r>
      <w:r>
        <w:rPr>
          <w:color w:val="auto"/>
          <w:highlight w:val="none"/>
          <w:lang w:eastAsia="zh-CN"/>
        </w:rPr>
        <w:t>20min</w:t>
      </w:r>
      <w:r>
        <w:rPr>
          <w:rFonts w:hint="eastAsia"/>
          <w:color w:val="auto"/>
          <w:highlight w:val="none"/>
          <w:lang w:eastAsia="zh-CN"/>
        </w:rPr>
        <w:t>；</w:t>
      </w:r>
    </w:p>
    <w:p>
      <w:pPr>
        <w:rPr>
          <w:color w:val="auto"/>
          <w:highlight w:val="none"/>
          <w:lang w:eastAsia="zh-CN"/>
        </w:rPr>
      </w:pPr>
      <w:r>
        <w:rPr>
          <w:rFonts w:hint="eastAsia"/>
          <w:color w:val="auto"/>
          <w:highlight w:val="none"/>
          <w:lang w:eastAsia="zh-CN"/>
        </w:rPr>
        <w:t>小负荷运转正常后，应逐渐开大调节门但电动机不得超过额定值，直至规定的负荷为止，连续运转时间不应小于</w:t>
      </w:r>
      <w:r>
        <w:rPr>
          <w:color w:val="auto"/>
          <w:highlight w:val="none"/>
          <w:lang w:eastAsia="zh-CN"/>
        </w:rPr>
        <w:t>2h</w:t>
      </w:r>
      <w:r>
        <w:rPr>
          <w:rFonts w:hint="eastAsia"/>
          <w:color w:val="auto"/>
          <w:highlight w:val="none"/>
          <w:lang w:eastAsia="zh-CN"/>
        </w:rPr>
        <w:t>；</w:t>
      </w:r>
    </w:p>
    <w:p>
      <w:pPr>
        <w:rPr>
          <w:color w:val="auto"/>
          <w:highlight w:val="none"/>
          <w:lang w:eastAsia="zh-CN"/>
        </w:rPr>
      </w:pPr>
      <w:r>
        <w:rPr>
          <w:rFonts w:hint="eastAsia"/>
          <w:color w:val="auto"/>
          <w:highlight w:val="none"/>
          <w:lang w:eastAsia="zh-CN"/>
        </w:rPr>
        <w:t>试运转中，滚动轴承温升不得超过环境温度</w:t>
      </w:r>
      <w:r>
        <w:rPr>
          <w:color w:val="auto"/>
          <w:highlight w:val="none"/>
          <w:lang w:eastAsia="zh-CN"/>
        </w:rPr>
        <w:t>40</w:t>
      </w:r>
      <w:r>
        <w:rPr>
          <w:rFonts w:hint="eastAsia"/>
          <w:color w:val="auto"/>
          <w:highlight w:val="none"/>
          <w:lang w:eastAsia="zh-CN"/>
        </w:rPr>
        <w:t>℃；滑动轴承温度不得超过</w:t>
      </w:r>
      <w:r>
        <w:rPr>
          <w:color w:val="auto"/>
          <w:highlight w:val="none"/>
          <w:lang w:eastAsia="zh-CN"/>
        </w:rPr>
        <w:t>65</w:t>
      </w:r>
      <w:r>
        <w:rPr>
          <w:rFonts w:hint="eastAsia"/>
          <w:color w:val="auto"/>
          <w:highlight w:val="none"/>
          <w:lang w:eastAsia="zh-CN"/>
        </w:rPr>
        <w:t>℃。轴承部位的振动速度有效值（均方根速度值）不应大于</w:t>
      </w:r>
      <w:r>
        <w:rPr>
          <w:color w:val="auto"/>
          <w:highlight w:val="none"/>
          <w:lang w:eastAsia="zh-CN"/>
        </w:rPr>
        <w:t>6.3mm/s</w:t>
      </w:r>
      <w:r>
        <w:rPr>
          <w:rFonts w:hint="eastAsia"/>
          <w:color w:val="auto"/>
          <w:highlight w:val="none"/>
          <w:lang w:eastAsia="zh-CN"/>
        </w:rPr>
        <w:t>。</w:t>
      </w:r>
    </w:p>
    <w:p>
      <w:pPr>
        <w:rPr>
          <w:color w:val="auto"/>
          <w:highlight w:val="none"/>
          <w:lang w:eastAsia="zh-CN"/>
        </w:rPr>
      </w:pPr>
    </w:p>
    <w:p>
      <w:pPr>
        <w:rPr>
          <w:color w:val="auto"/>
          <w:highlight w:val="none"/>
          <w:lang w:eastAsia="zh-CN"/>
        </w:rPr>
      </w:pPr>
      <w:r>
        <w:rPr>
          <w:rFonts w:hint="eastAsia"/>
          <w:color w:val="auto"/>
          <w:highlight w:val="none"/>
          <w:lang w:eastAsia="zh-CN"/>
        </w:rPr>
        <w:t>风机盘管机组</w:t>
      </w:r>
    </w:p>
    <w:p>
      <w:pPr>
        <w:rPr>
          <w:color w:val="auto"/>
          <w:highlight w:val="none"/>
          <w:lang w:eastAsia="zh-CN"/>
        </w:rPr>
      </w:pPr>
      <w:r>
        <w:rPr>
          <w:rFonts w:hint="eastAsia"/>
          <w:color w:val="auto"/>
          <w:highlight w:val="none"/>
          <w:lang w:eastAsia="zh-CN"/>
        </w:rPr>
        <w:t>风机盘管机组的三速、温控开关的动作应正确，并与机组运行状态一一对应；</w:t>
      </w:r>
    </w:p>
    <w:p>
      <w:pPr>
        <w:rPr>
          <w:color w:val="auto"/>
          <w:highlight w:val="none"/>
          <w:lang w:eastAsia="zh-CN"/>
        </w:rPr>
      </w:pPr>
      <w:r>
        <w:rPr>
          <w:rFonts w:hint="eastAsia"/>
          <w:color w:val="auto"/>
          <w:highlight w:val="none"/>
          <w:lang w:eastAsia="zh-CN"/>
        </w:rPr>
        <w:t>风机盘管水压试验的试验压力为系统工作压力的</w:t>
      </w:r>
      <w:r>
        <w:rPr>
          <w:color w:val="auto"/>
          <w:highlight w:val="none"/>
          <w:lang w:eastAsia="zh-CN"/>
        </w:rPr>
        <w:t>1.5</w:t>
      </w:r>
      <w:r>
        <w:rPr>
          <w:rFonts w:hint="eastAsia"/>
          <w:color w:val="auto"/>
          <w:highlight w:val="none"/>
          <w:lang w:eastAsia="zh-CN"/>
        </w:rPr>
        <w:t>倍，以不漏为合格。</w:t>
      </w:r>
    </w:p>
    <w:p>
      <w:pPr>
        <w:rPr>
          <w:color w:val="auto"/>
          <w:highlight w:val="none"/>
          <w:lang w:eastAsia="zh-CN"/>
        </w:rPr>
      </w:pPr>
      <w:r>
        <w:rPr>
          <w:rFonts w:hint="eastAsia"/>
          <w:color w:val="auto"/>
          <w:highlight w:val="none"/>
          <w:lang w:eastAsia="zh-CN"/>
        </w:rPr>
        <w:t>系统无生产负荷联合试运转及调试</w:t>
      </w:r>
    </w:p>
    <w:p>
      <w:pPr>
        <w:rPr>
          <w:color w:val="auto"/>
          <w:highlight w:val="none"/>
          <w:lang w:eastAsia="zh-CN"/>
        </w:rPr>
      </w:pPr>
      <w:r>
        <w:rPr>
          <w:rFonts w:hint="eastAsia"/>
          <w:color w:val="auto"/>
          <w:highlight w:val="none"/>
          <w:lang w:eastAsia="zh-CN"/>
        </w:rPr>
        <w:t>通风与空调工程系统无生产负荷的联合试运转及调试应在制冷设备和通风与空调设备单机试运转合格后进行。空调系统带冷源的正常联合试运转不应少于</w:t>
      </w:r>
      <w:r>
        <w:rPr>
          <w:color w:val="auto"/>
          <w:highlight w:val="none"/>
          <w:lang w:eastAsia="zh-CN"/>
        </w:rPr>
        <w:t>8h</w:t>
      </w:r>
      <w:r>
        <w:rPr>
          <w:rFonts w:hint="eastAsia"/>
          <w:color w:val="auto"/>
          <w:highlight w:val="none"/>
          <w:lang w:eastAsia="zh-CN"/>
        </w:rPr>
        <w:t>，当竣工季节与设计条件相差较大时，仅作不带冷源试运转。通风系统的连续试运转不应少于</w:t>
      </w:r>
      <w:r>
        <w:rPr>
          <w:color w:val="auto"/>
          <w:highlight w:val="none"/>
          <w:lang w:eastAsia="zh-CN"/>
        </w:rPr>
        <w:t>2h</w:t>
      </w:r>
      <w:r>
        <w:rPr>
          <w:rFonts w:hint="eastAsia"/>
          <w:color w:val="auto"/>
          <w:highlight w:val="none"/>
          <w:lang w:eastAsia="zh-CN"/>
        </w:rPr>
        <w:t>。</w:t>
      </w:r>
    </w:p>
    <w:p>
      <w:pPr>
        <w:rPr>
          <w:color w:val="auto"/>
          <w:highlight w:val="none"/>
          <w:lang w:eastAsia="zh-CN"/>
        </w:rPr>
      </w:pPr>
      <w:r>
        <w:rPr>
          <w:rFonts w:hint="eastAsia"/>
          <w:color w:val="auto"/>
          <w:highlight w:val="none"/>
          <w:lang w:eastAsia="zh-CN"/>
        </w:rPr>
        <w:t>空调系统总风量调试结果与设计风量的偏差不应大于</w:t>
      </w:r>
      <w:r>
        <w:rPr>
          <w:color w:val="auto"/>
          <w:highlight w:val="none"/>
          <w:lang w:eastAsia="zh-CN"/>
        </w:rPr>
        <w:t>10%</w:t>
      </w:r>
      <w:r>
        <w:rPr>
          <w:rFonts w:hint="eastAsia"/>
          <w:color w:val="auto"/>
          <w:highlight w:val="none"/>
          <w:lang w:eastAsia="zh-CN"/>
        </w:rPr>
        <w:t>。</w:t>
      </w:r>
    </w:p>
    <w:p>
      <w:pPr>
        <w:rPr>
          <w:color w:val="auto"/>
          <w:highlight w:val="none"/>
          <w:lang w:eastAsia="zh-CN"/>
        </w:rPr>
      </w:pPr>
      <w:r>
        <w:rPr>
          <w:rFonts w:hint="eastAsia"/>
          <w:color w:val="auto"/>
          <w:highlight w:val="none"/>
          <w:lang w:eastAsia="zh-CN"/>
        </w:rPr>
        <w:t>系统经过平衡调整，各风口或吸风罩的风量与设计风量的允许偏差不应大于</w:t>
      </w:r>
      <w:r>
        <w:rPr>
          <w:color w:val="auto"/>
          <w:highlight w:val="none"/>
          <w:lang w:eastAsia="zh-CN"/>
        </w:rPr>
        <w:t>15%</w:t>
      </w:r>
      <w:r>
        <w:rPr>
          <w:rFonts w:hint="eastAsia"/>
          <w:color w:val="auto"/>
          <w:highlight w:val="none"/>
          <w:lang w:eastAsia="zh-CN"/>
        </w:rPr>
        <w:t>。</w:t>
      </w:r>
    </w:p>
    <w:p>
      <w:pPr>
        <w:rPr>
          <w:color w:val="auto"/>
          <w:highlight w:val="none"/>
          <w:lang w:eastAsia="zh-CN"/>
        </w:rPr>
      </w:pPr>
      <w:r>
        <w:rPr>
          <w:rFonts w:hint="eastAsia"/>
          <w:color w:val="auto"/>
          <w:highlight w:val="none"/>
          <w:lang w:eastAsia="zh-CN"/>
        </w:rPr>
        <w:t>空调冷冻水、冷却水总流量测试结果与设计流量的偏差不应大于</w:t>
      </w:r>
      <w:r>
        <w:rPr>
          <w:color w:val="auto"/>
          <w:highlight w:val="none"/>
          <w:lang w:eastAsia="zh-CN"/>
        </w:rPr>
        <w:t>10%</w:t>
      </w:r>
      <w:r>
        <w:rPr>
          <w:rFonts w:hint="eastAsia"/>
          <w:color w:val="auto"/>
          <w:highlight w:val="none"/>
          <w:lang w:eastAsia="zh-CN"/>
        </w:rPr>
        <w:t>。</w:t>
      </w:r>
    </w:p>
    <w:p>
      <w:pPr>
        <w:rPr>
          <w:color w:val="auto"/>
          <w:highlight w:val="none"/>
          <w:lang w:eastAsia="zh-CN"/>
        </w:rPr>
      </w:pPr>
      <w:r>
        <w:rPr>
          <w:rFonts w:hint="eastAsia"/>
          <w:color w:val="auto"/>
          <w:highlight w:val="none"/>
          <w:lang w:eastAsia="zh-CN"/>
        </w:rPr>
        <w:t>通风与空调工程的控制和监测设备应能与系统的检测元件和执行机构正常沟通，系统的状态参数应能正确显示，设备连锁、自动调节、自动保护应能正确动作。各种自动计量检测元件和执行机构的工作应正常，满足建筑设备自动化（</w:t>
      </w:r>
      <w:r>
        <w:rPr>
          <w:color w:val="auto"/>
          <w:highlight w:val="none"/>
          <w:lang w:eastAsia="zh-CN"/>
        </w:rPr>
        <w:t>BA</w:t>
      </w:r>
      <w:r>
        <w:rPr>
          <w:rFonts w:hint="eastAsia"/>
          <w:color w:val="auto"/>
          <w:highlight w:val="none"/>
          <w:lang w:eastAsia="zh-CN"/>
        </w:rPr>
        <w:t>）系统对被测定参数进行检测和控制的要求。</w:t>
      </w:r>
    </w:p>
    <w:p>
      <w:pPr>
        <w:rPr>
          <w:color w:val="auto"/>
          <w:highlight w:val="none"/>
          <w:lang w:eastAsia="zh-CN"/>
        </w:rPr>
      </w:pPr>
    </w:p>
    <w:p>
      <w:pPr>
        <w:rPr>
          <w:color w:val="auto"/>
          <w:highlight w:val="none"/>
          <w:lang w:eastAsia="zh-CN"/>
        </w:rPr>
      </w:pPr>
      <w:r>
        <w:rPr>
          <w:rFonts w:hint="eastAsia"/>
          <w:color w:val="auto"/>
          <w:highlight w:val="none"/>
          <w:lang w:eastAsia="zh-CN"/>
        </w:rPr>
        <w:t>通风工程</w:t>
      </w:r>
    </w:p>
    <w:p>
      <w:pPr>
        <w:rPr>
          <w:color w:val="auto"/>
          <w:highlight w:val="none"/>
          <w:lang w:eastAsia="zh-CN"/>
        </w:rPr>
      </w:pPr>
      <w:r>
        <w:rPr>
          <w:rFonts w:hint="eastAsia"/>
          <w:color w:val="auto"/>
          <w:highlight w:val="none"/>
          <w:lang w:eastAsia="zh-CN"/>
        </w:rPr>
        <w:t>系统联合试运转中，设备及主要部件的联动必须符合设计要求，动作协调、正确，无异常现象。</w:t>
      </w:r>
    </w:p>
    <w:p>
      <w:pPr>
        <w:rPr>
          <w:color w:val="auto"/>
          <w:highlight w:val="none"/>
          <w:lang w:eastAsia="zh-CN"/>
        </w:rPr>
      </w:pPr>
      <w:r>
        <w:rPr>
          <w:rFonts w:hint="eastAsia"/>
          <w:color w:val="auto"/>
          <w:highlight w:val="none"/>
          <w:lang w:eastAsia="zh-CN"/>
        </w:rPr>
        <w:t>总风量调试结果与设计风量的偏差不应大于</w:t>
      </w:r>
      <w:r>
        <w:rPr>
          <w:color w:val="auto"/>
          <w:highlight w:val="none"/>
          <w:lang w:eastAsia="zh-CN"/>
        </w:rPr>
        <w:t>10%</w:t>
      </w:r>
      <w:r>
        <w:rPr>
          <w:rFonts w:hint="eastAsia"/>
          <w:color w:val="auto"/>
          <w:highlight w:val="none"/>
          <w:lang w:eastAsia="zh-CN"/>
        </w:rPr>
        <w:t>；</w:t>
      </w:r>
    </w:p>
    <w:p>
      <w:pPr>
        <w:rPr>
          <w:color w:val="auto"/>
          <w:highlight w:val="none"/>
          <w:lang w:eastAsia="zh-CN"/>
        </w:rPr>
      </w:pPr>
      <w:r>
        <w:rPr>
          <w:rFonts w:hint="eastAsia"/>
          <w:color w:val="auto"/>
          <w:highlight w:val="none"/>
          <w:lang w:eastAsia="zh-CN"/>
        </w:rPr>
        <w:t>系统经过平衡调整，各风口的风量与设计风量的允许偏差不应大于</w:t>
      </w:r>
      <w:r>
        <w:rPr>
          <w:color w:val="auto"/>
          <w:highlight w:val="none"/>
          <w:lang w:eastAsia="zh-CN"/>
        </w:rPr>
        <w:t>15%</w:t>
      </w:r>
      <w:r>
        <w:rPr>
          <w:rFonts w:hint="eastAsia"/>
          <w:color w:val="auto"/>
          <w:highlight w:val="none"/>
          <w:lang w:eastAsia="zh-CN"/>
        </w:rPr>
        <w:t>。</w:t>
      </w:r>
    </w:p>
    <w:p>
      <w:pPr>
        <w:rPr>
          <w:color w:val="auto"/>
          <w:highlight w:val="none"/>
          <w:lang w:eastAsia="zh-CN"/>
        </w:rPr>
      </w:pPr>
    </w:p>
    <w:p>
      <w:pPr>
        <w:rPr>
          <w:color w:val="auto"/>
          <w:highlight w:val="none"/>
          <w:lang w:eastAsia="zh-CN"/>
        </w:rPr>
      </w:pPr>
      <w:r>
        <w:rPr>
          <w:rFonts w:hint="eastAsia"/>
          <w:color w:val="auto"/>
          <w:highlight w:val="none"/>
          <w:lang w:eastAsia="zh-CN"/>
        </w:rPr>
        <w:t>空调工程</w:t>
      </w:r>
    </w:p>
    <w:p>
      <w:pPr>
        <w:rPr>
          <w:color w:val="auto"/>
          <w:highlight w:val="none"/>
          <w:lang w:eastAsia="zh-CN"/>
        </w:rPr>
      </w:pPr>
      <w:r>
        <w:rPr>
          <w:rFonts w:hint="eastAsia"/>
          <w:color w:val="auto"/>
          <w:highlight w:val="none"/>
          <w:lang w:eastAsia="zh-CN"/>
        </w:rPr>
        <w:t>水系统应冲洗干净、不含杂物，并排除管道系统中空气，系统连续运行应达到正常、平稳，水泵的压力和水泵电机的电流不应出现大幅波动，系统调整平衡后，各空调机组水流量应符合设计要求，允许偏差为</w:t>
      </w:r>
      <w:r>
        <w:rPr>
          <w:color w:val="auto"/>
          <w:highlight w:val="none"/>
          <w:lang w:eastAsia="zh-CN"/>
        </w:rPr>
        <w:t>20%</w:t>
      </w:r>
      <w:r>
        <w:rPr>
          <w:rFonts w:hint="eastAsia"/>
          <w:color w:val="auto"/>
          <w:highlight w:val="none"/>
          <w:lang w:eastAsia="zh-CN"/>
        </w:rPr>
        <w:t>；</w:t>
      </w:r>
    </w:p>
    <w:p>
      <w:pPr>
        <w:rPr>
          <w:color w:val="auto"/>
          <w:highlight w:val="none"/>
          <w:lang w:eastAsia="zh-CN"/>
        </w:rPr>
      </w:pPr>
      <w:r>
        <w:rPr>
          <w:rFonts w:hint="eastAsia"/>
          <w:color w:val="auto"/>
          <w:highlight w:val="none"/>
          <w:lang w:eastAsia="zh-CN"/>
        </w:rPr>
        <w:t>空调冷冻水、冷却水总流量测试结果与设计流量的偏差不应大于</w:t>
      </w:r>
      <w:r>
        <w:rPr>
          <w:color w:val="auto"/>
          <w:highlight w:val="none"/>
          <w:lang w:eastAsia="zh-CN"/>
        </w:rPr>
        <w:t>10%</w:t>
      </w:r>
      <w:r>
        <w:rPr>
          <w:rFonts w:hint="eastAsia"/>
          <w:color w:val="auto"/>
          <w:highlight w:val="none"/>
          <w:lang w:eastAsia="zh-CN"/>
        </w:rPr>
        <w:t>。</w:t>
      </w:r>
    </w:p>
    <w:p>
      <w:pPr>
        <w:rPr>
          <w:color w:val="auto"/>
          <w:highlight w:val="none"/>
          <w:lang w:eastAsia="zh-CN"/>
        </w:rPr>
      </w:pPr>
      <w:r>
        <w:rPr>
          <w:rFonts w:hint="eastAsia"/>
          <w:color w:val="auto"/>
          <w:highlight w:val="none"/>
          <w:lang w:eastAsia="zh-CN"/>
        </w:rPr>
        <w:t>各种自动计量检测元件和执行机构的工作应正常，满足建筑设备智能化系统对被测定参数进行检测和控制的要求。</w:t>
      </w:r>
    </w:p>
    <w:p>
      <w:pPr>
        <w:rPr>
          <w:color w:val="auto"/>
          <w:highlight w:val="none"/>
          <w:lang w:eastAsia="zh-CN"/>
        </w:rPr>
      </w:pPr>
      <w:r>
        <w:rPr>
          <w:rFonts w:hint="eastAsia"/>
          <w:color w:val="auto"/>
          <w:highlight w:val="none"/>
          <w:lang w:eastAsia="zh-CN"/>
        </w:rPr>
        <w:t>舒适性空调的温度、相对湿度应符合设计的要求；</w:t>
      </w:r>
    </w:p>
    <w:p>
      <w:pPr>
        <w:rPr>
          <w:color w:val="auto"/>
          <w:highlight w:val="none"/>
          <w:lang w:eastAsia="zh-CN"/>
        </w:rPr>
      </w:pPr>
      <w:r>
        <w:rPr>
          <w:rFonts w:hint="eastAsia"/>
          <w:color w:val="auto"/>
          <w:highlight w:val="none"/>
          <w:lang w:eastAsia="zh-CN"/>
        </w:rPr>
        <w:t>空调室内噪音应符合设计规定要求；</w:t>
      </w:r>
    </w:p>
    <w:p>
      <w:pPr>
        <w:rPr>
          <w:color w:val="auto"/>
          <w:highlight w:val="none"/>
          <w:lang w:eastAsia="zh-CN"/>
        </w:rPr>
      </w:pPr>
      <w:r>
        <w:rPr>
          <w:rFonts w:hint="eastAsia"/>
          <w:color w:val="auto"/>
          <w:highlight w:val="none"/>
          <w:lang w:eastAsia="zh-CN"/>
        </w:rPr>
        <w:t>有环境噪声要求的场所，制冷、空调机组应按现行国家标准进行测定。</w:t>
      </w:r>
    </w:p>
    <w:p>
      <w:pPr>
        <w:rPr>
          <w:color w:val="auto"/>
          <w:highlight w:val="none"/>
          <w:lang w:eastAsia="zh-CN"/>
        </w:rPr>
      </w:pPr>
    </w:p>
    <w:p>
      <w:pPr>
        <w:rPr>
          <w:color w:val="auto"/>
          <w:highlight w:val="none"/>
          <w:lang w:eastAsia="zh-CN"/>
        </w:rPr>
      </w:pPr>
      <w:r>
        <w:rPr>
          <w:rFonts w:hint="eastAsia"/>
          <w:color w:val="auto"/>
          <w:highlight w:val="none"/>
          <w:lang w:eastAsia="zh-CN"/>
        </w:rPr>
        <w:t>制冷系统</w:t>
      </w:r>
    </w:p>
    <w:p>
      <w:pPr>
        <w:rPr>
          <w:color w:val="auto"/>
          <w:highlight w:val="none"/>
          <w:lang w:eastAsia="zh-CN"/>
        </w:rPr>
      </w:pPr>
      <w:r>
        <w:rPr>
          <w:rFonts w:hint="eastAsia"/>
          <w:color w:val="auto"/>
          <w:highlight w:val="none"/>
          <w:lang w:eastAsia="zh-CN"/>
        </w:rPr>
        <w:t>试运转前应首先启动冷却水泵和冷冻水泵；</w:t>
      </w:r>
    </w:p>
    <w:p>
      <w:pPr>
        <w:rPr>
          <w:color w:val="auto"/>
          <w:highlight w:val="none"/>
          <w:lang w:eastAsia="zh-CN"/>
        </w:rPr>
      </w:pPr>
      <w:r>
        <w:rPr>
          <w:rFonts w:hint="eastAsia"/>
          <w:color w:val="auto"/>
          <w:highlight w:val="none"/>
          <w:lang w:eastAsia="zh-CN"/>
        </w:rPr>
        <w:t>离心式制冷机试运转时应首先启动油箱电加热器，将油温加热至</w:t>
      </w:r>
      <w:r>
        <w:rPr>
          <w:color w:val="auto"/>
          <w:highlight w:val="none"/>
          <w:lang w:eastAsia="zh-CN"/>
        </w:rPr>
        <w:t>50-55</w:t>
      </w:r>
      <w:r>
        <w:rPr>
          <w:rFonts w:hint="eastAsia"/>
          <w:color w:val="auto"/>
          <w:highlight w:val="none"/>
          <w:lang w:eastAsia="zh-CN"/>
        </w:rPr>
        <w:t>℃，按要求供给冷却水和载冷剂，在启动油泵，调节润滑系统，按照设备技术文件要求启动抽气回收装置，排除系统中的空气。启动压缩机应逐步开启导向叶片，快速通过喘振区，油箱的油温应为</w:t>
      </w:r>
      <w:r>
        <w:rPr>
          <w:color w:val="auto"/>
          <w:highlight w:val="none"/>
          <w:lang w:eastAsia="zh-CN"/>
        </w:rPr>
        <w:t>50-65</w:t>
      </w:r>
      <w:r>
        <w:rPr>
          <w:rFonts w:hint="eastAsia"/>
          <w:color w:val="auto"/>
          <w:highlight w:val="none"/>
          <w:lang w:eastAsia="zh-CN"/>
        </w:rPr>
        <w:t>，℃，油冷却器出口的油温应为</w:t>
      </w:r>
      <w:r>
        <w:rPr>
          <w:color w:val="auto"/>
          <w:highlight w:val="none"/>
          <w:lang w:eastAsia="zh-CN"/>
        </w:rPr>
        <w:t>35-55</w:t>
      </w:r>
      <w:r>
        <w:rPr>
          <w:rFonts w:hint="eastAsia"/>
          <w:color w:val="auto"/>
          <w:highlight w:val="none"/>
          <w:lang w:eastAsia="zh-CN"/>
        </w:rPr>
        <w:t>℃，滤油器和油箱内的油压差</w:t>
      </w:r>
      <w:r>
        <w:rPr>
          <w:color w:val="auto"/>
          <w:highlight w:val="none"/>
          <w:lang w:eastAsia="zh-CN"/>
        </w:rPr>
        <w:t>R11</w:t>
      </w:r>
      <w:r>
        <w:rPr>
          <w:rFonts w:hint="eastAsia"/>
          <w:color w:val="auto"/>
          <w:highlight w:val="none"/>
          <w:lang w:eastAsia="zh-CN"/>
        </w:rPr>
        <w:t>的机组应大于</w:t>
      </w:r>
      <w:r>
        <w:rPr>
          <w:color w:val="auto"/>
          <w:highlight w:val="none"/>
          <w:lang w:eastAsia="zh-CN"/>
        </w:rPr>
        <w:t>0.1MPa</w:t>
      </w:r>
      <w:r>
        <w:rPr>
          <w:rFonts w:hint="eastAsia"/>
          <w:color w:val="auto"/>
          <w:highlight w:val="none"/>
          <w:lang w:eastAsia="zh-CN"/>
        </w:rPr>
        <w:t>，</w:t>
      </w:r>
      <w:r>
        <w:rPr>
          <w:color w:val="auto"/>
          <w:highlight w:val="none"/>
          <w:lang w:eastAsia="zh-CN"/>
        </w:rPr>
        <w:t>R12</w:t>
      </w:r>
      <w:r>
        <w:rPr>
          <w:rFonts w:hint="eastAsia"/>
          <w:color w:val="auto"/>
          <w:highlight w:val="none"/>
          <w:lang w:eastAsia="zh-CN"/>
        </w:rPr>
        <w:t>机组应大于</w:t>
      </w:r>
      <w:r>
        <w:rPr>
          <w:color w:val="auto"/>
          <w:highlight w:val="none"/>
          <w:lang w:eastAsia="zh-CN"/>
        </w:rPr>
        <w:t>0.2MPa</w:t>
      </w:r>
      <w:r>
        <w:rPr>
          <w:rFonts w:hint="eastAsia"/>
          <w:color w:val="auto"/>
          <w:highlight w:val="none"/>
          <w:lang w:eastAsia="zh-CN"/>
        </w:rPr>
        <w:t>；</w:t>
      </w:r>
    </w:p>
    <w:p>
      <w:pPr>
        <w:rPr>
          <w:color w:val="auto"/>
          <w:highlight w:val="none"/>
          <w:lang w:eastAsia="zh-CN"/>
        </w:rPr>
      </w:pPr>
      <w:r>
        <w:rPr>
          <w:rFonts w:hint="eastAsia"/>
          <w:color w:val="auto"/>
          <w:highlight w:val="none"/>
          <w:lang w:eastAsia="zh-CN"/>
        </w:rPr>
        <w:t>系统带制冷剂正常运转不应少于</w:t>
      </w:r>
      <w:r>
        <w:rPr>
          <w:color w:val="auto"/>
          <w:highlight w:val="none"/>
          <w:lang w:eastAsia="zh-CN"/>
        </w:rPr>
        <w:t>8h</w:t>
      </w:r>
      <w:r>
        <w:rPr>
          <w:rFonts w:hint="eastAsia"/>
          <w:color w:val="auto"/>
          <w:highlight w:val="none"/>
          <w:lang w:eastAsia="zh-CN"/>
        </w:rPr>
        <w:t>；</w:t>
      </w:r>
    </w:p>
    <w:p>
      <w:pPr>
        <w:rPr>
          <w:color w:val="auto"/>
          <w:highlight w:val="none"/>
          <w:lang w:eastAsia="zh-CN"/>
        </w:rPr>
      </w:pPr>
      <w:r>
        <w:rPr>
          <w:rFonts w:hint="eastAsia"/>
          <w:color w:val="auto"/>
          <w:highlight w:val="none"/>
          <w:lang w:eastAsia="zh-CN"/>
        </w:rPr>
        <w:t>试运转正常后，必须先停止制冷机，油泵继续供油</w:t>
      </w:r>
      <w:r>
        <w:rPr>
          <w:color w:val="auto"/>
          <w:highlight w:val="none"/>
          <w:lang w:eastAsia="zh-CN"/>
        </w:rPr>
        <w:t>2min</w:t>
      </w:r>
      <w:r>
        <w:rPr>
          <w:rFonts w:hint="eastAsia"/>
          <w:color w:val="auto"/>
          <w:highlight w:val="none"/>
          <w:lang w:eastAsia="zh-CN"/>
        </w:rPr>
        <w:t>后停止油泵，在停冷冻水泵、冷却水泵。</w:t>
      </w:r>
      <w:r>
        <w:rPr>
          <w:color w:val="auto"/>
          <w:highlight w:val="none"/>
          <w:lang w:eastAsia="zh-CN"/>
        </w:rPr>
        <w:t xml:space="preserve"> </w:t>
      </w:r>
    </w:p>
    <w:p>
      <w:pPr>
        <w:rPr>
          <w:color w:val="auto"/>
          <w:highlight w:val="none"/>
          <w:lang w:eastAsia="zh-CN"/>
        </w:rPr>
      </w:pPr>
    </w:p>
    <w:p>
      <w:pPr>
        <w:rPr>
          <w:color w:val="auto"/>
          <w:highlight w:val="none"/>
          <w:lang w:eastAsia="zh-CN"/>
        </w:rPr>
      </w:pPr>
      <w:r>
        <w:rPr>
          <w:rFonts w:hint="eastAsia"/>
          <w:color w:val="auto"/>
          <w:highlight w:val="none"/>
          <w:lang w:eastAsia="zh-CN"/>
        </w:rPr>
        <w:t>综合效能试验</w:t>
      </w:r>
    </w:p>
    <w:p>
      <w:pPr>
        <w:rPr>
          <w:color w:val="auto"/>
          <w:highlight w:val="none"/>
          <w:lang w:eastAsia="zh-CN"/>
        </w:rPr>
      </w:pPr>
      <w:r>
        <w:rPr>
          <w:rFonts w:hint="eastAsia"/>
          <w:color w:val="auto"/>
          <w:highlight w:val="none"/>
          <w:lang w:eastAsia="zh-CN"/>
        </w:rPr>
        <w:t>通风与空调工程交工前，并已具备联合试运行的条件下，由承包人负责，设计、设备供应商、其他施工单位等配合，进行带负荷的综合效能试验测定与调整。</w:t>
      </w:r>
    </w:p>
    <w:p>
      <w:pPr>
        <w:rPr>
          <w:color w:val="auto"/>
          <w:highlight w:val="none"/>
          <w:lang w:eastAsia="zh-CN"/>
        </w:rPr>
      </w:pPr>
      <w:r>
        <w:rPr>
          <w:rFonts w:hint="eastAsia"/>
          <w:color w:val="auto"/>
          <w:highlight w:val="none"/>
          <w:lang w:eastAsia="zh-CN"/>
        </w:rPr>
        <w:t>综合效能试验与调整的项目，由业主根据工程性质、工艺和设计要求进行确定并通知承包人。主要试验内容包括（但不限于）：</w:t>
      </w:r>
    </w:p>
    <w:p>
      <w:pPr>
        <w:rPr>
          <w:color w:val="auto"/>
          <w:highlight w:val="none"/>
          <w:lang w:eastAsia="zh-CN"/>
        </w:rPr>
      </w:pPr>
      <w:r>
        <w:rPr>
          <w:rFonts w:hint="eastAsia"/>
          <w:color w:val="auto"/>
          <w:highlight w:val="none"/>
          <w:lang w:eastAsia="zh-CN"/>
        </w:rPr>
        <w:t>系统总风压、风量及风机转数的测定</w:t>
      </w:r>
    </w:p>
    <w:p>
      <w:pPr>
        <w:rPr>
          <w:color w:val="auto"/>
          <w:highlight w:val="none"/>
          <w:lang w:eastAsia="zh-CN"/>
        </w:rPr>
      </w:pPr>
      <w:r>
        <w:rPr>
          <w:color w:val="auto"/>
          <w:highlight w:val="none"/>
          <w:lang w:eastAsia="zh-CN"/>
        </w:rPr>
        <w:t xml:space="preserve"> </w:t>
      </w:r>
      <w:r>
        <w:rPr>
          <w:rFonts w:hint="eastAsia"/>
          <w:color w:val="auto"/>
          <w:highlight w:val="none"/>
          <w:lang w:eastAsia="zh-CN"/>
        </w:rPr>
        <w:t>风量测定调整一般从风机最远的支干管开始。</w:t>
      </w:r>
    </w:p>
    <w:p>
      <w:pPr>
        <w:rPr>
          <w:color w:val="auto"/>
          <w:highlight w:val="none"/>
          <w:lang w:eastAsia="zh-CN"/>
        </w:rPr>
      </w:pPr>
      <w:r>
        <w:rPr>
          <w:color w:val="auto"/>
          <w:highlight w:val="none"/>
          <w:lang w:eastAsia="zh-CN"/>
        </w:rPr>
        <w:t xml:space="preserve"> </w:t>
      </w:r>
      <w:r>
        <w:rPr>
          <w:rFonts w:hint="eastAsia"/>
          <w:color w:val="auto"/>
          <w:highlight w:val="none"/>
          <w:lang w:eastAsia="zh-CN"/>
        </w:rPr>
        <w:t>实测总风量与设计风量偏差不应大于</w:t>
      </w:r>
      <w:r>
        <w:rPr>
          <w:color w:val="auto"/>
          <w:highlight w:val="none"/>
          <w:lang w:eastAsia="zh-CN"/>
        </w:rPr>
        <w:t>10%</w:t>
      </w:r>
      <w:r>
        <w:rPr>
          <w:rFonts w:hint="eastAsia"/>
          <w:color w:val="auto"/>
          <w:highlight w:val="none"/>
          <w:lang w:eastAsia="zh-CN"/>
        </w:rPr>
        <w:t>。</w:t>
      </w:r>
    </w:p>
    <w:p>
      <w:pPr>
        <w:rPr>
          <w:color w:val="auto"/>
          <w:highlight w:val="none"/>
          <w:lang w:eastAsia="zh-CN"/>
        </w:rPr>
      </w:pPr>
      <w:r>
        <w:rPr>
          <w:color w:val="auto"/>
          <w:highlight w:val="none"/>
          <w:lang w:eastAsia="zh-CN"/>
        </w:rPr>
        <w:t xml:space="preserve"> </w:t>
      </w:r>
      <w:r>
        <w:rPr>
          <w:rFonts w:hint="eastAsia"/>
          <w:color w:val="auto"/>
          <w:highlight w:val="none"/>
          <w:lang w:eastAsia="zh-CN"/>
        </w:rPr>
        <w:t>各风口风量实测值与设计值偏差不大于</w:t>
      </w:r>
      <w:r>
        <w:rPr>
          <w:color w:val="auto"/>
          <w:highlight w:val="none"/>
          <w:lang w:eastAsia="zh-CN"/>
        </w:rPr>
        <w:t>15%</w:t>
      </w:r>
      <w:r>
        <w:rPr>
          <w:rFonts w:hint="eastAsia"/>
          <w:color w:val="auto"/>
          <w:highlight w:val="none"/>
          <w:lang w:eastAsia="zh-CN"/>
        </w:rPr>
        <w:t>。</w:t>
      </w:r>
    </w:p>
    <w:p>
      <w:pPr>
        <w:rPr>
          <w:color w:val="auto"/>
          <w:highlight w:val="none"/>
          <w:lang w:eastAsia="zh-CN"/>
        </w:rPr>
      </w:pPr>
      <w:r>
        <w:rPr>
          <w:rFonts w:hint="eastAsia"/>
          <w:color w:val="auto"/>
          <w:highlight w:val="none"/>
          <w:lang w:eastAsia="zh-CN"/>
        </w:rPr>
        <w:t>送回风口空气状态参数的测定与调整。</w:t>
      </w:r>
    </w:p>
    <w:p>
      <w:pPr>
        <w:rPr>
          <w:color w:val="auto"/>
          <w:highlight w:val="none"/>
          <w:lang w:eastAsia="zh-CN"/>
        </w:rPr>
      </w:pPr>
      <w:r>
        <w:rPr>
          <w:rFonts w:hint="eastAsia"/>
          <w:color w:val="auto"/>
          <w:highlight w:val="none"/>
          <w:lang w:eastAsia="zh-CN"/>
        </w:rPr>
        <w:t>空气调节机组性能参数的测定与调整。</w:t>
      </w:r>
    </w:p>
    <w:p>
      <w:pPr>
        <w:rPr>
          <w:color w:val="auto"/>
          <w:highlight w:val="none"/>
          <w:lang w:eastAsia="zh-CN"/>
        </w:rPr>
      </w:pPr>
      <w:r>
        <w:rPr>
          <w:rFonts w:hint="eastAsia"/>
          <w:color w:val="auto"/>
          <w:highlight w:val="none"/>
          <w:lang w:eastAsia="zh-CN"/>
        </w:rPr>
        <w:t>室内噪声的测定。</w:t>
      </w:r>
    </w:p>
    <w:p>
      <w:pPr>
        <w:rPr>
          <w:color w:val="auto"/>
          <w:highlight w:val="none"/>
          <w:lang w:eastAsia="zh-CN"/>
        </w:rPr>
      </w:pPr>
      <w:r>
        <w:rPr>
          <w:rFonts w:hint="eastAsia"/>
          <w:color w:val="auto"/>
          <w:highlight w:val="none"/>
          <w:lang w:eastAsia="zh-CN"/>
        </w:rPr>
        <w:t>室内空气温度和相对湿度的测定与调整。</w:t>
      </w:r>
    </w:p>
    <w:p>
      <w:pPr>
        <w:rPr>
          <w:color w:val="auto"/>
          <w:highlight w:val="none"/>
          <w:lang w:eastAsia="zh-CN"/>
        </w:rPr>
      </w:pPr>
      <w:r>
        <w:rPr>
          <w:rFonts w:hint="eastAsia"/>
          <w:color w:val="auto"/>
          <w:highlight w:val="none"/>
          <w:lang w:eastAsia="zh-CN"/>
        </w:rPr>
        <w:t>其它未尽事宜及项目的具体要求见本工程设计施工总说明。</w:t>
      </w:r>
    </w:p>
    <w:p>
      <w:pPr>
        <w:pStyle w:val="4"/>
        <w:spacing w:before="120" w:beforeLines="50"/>
        <w:ind w:left="0" w:firstLine="0"/>
        <w:rPr>
          <w:b/>
          <w:bCs/>
          <w:color w:val="auto"/>
          <w:highlight w:val="none"/>
        </w:rPr>
      </w:pPr>
      <w:r>
        <w:rPr>
          <w:color w:val="auto"/>
          <w:highlight w:val="none"/>
        </w:rPr>
        <w:br w:type="page"/>
      </w:r>
      <w:r>
        <w:rPr>
          <w:rFonts w:hint="eastAsia"/>
          <w:color w:val="auto"/>
          <w:highlight w:val="none"/>
        </w:rPr>
        <w:t>通风空调工程设备材料技术要求</w:t>
      </w:r>
    </w:p>
    <w:tbl>
      <w:tblPr>
        <w:tblStyle w:val="85"/>
        <w:tblW w:w="9724" w:type="dxa"/>
        <w:tblInd w:w="-26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728"/>
        <w:gridCol w:w="1260"/>
        <w:gridCol w:w="7736"/>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730" w:hRule="atLeast"/>
          <w:tblHeader/>
        </w:trPr>
        <w:tc>
          <w:tcPr>
            <w:tcW w:w="728" w:type="dxa"/>
            <w:vAlign w:val="center"/>
          </w:tcPr>
          <w:p>
            <w:pPr>
              <w:rPr>
                <w:color w:val="auto"/>
                <w:highlight w:val="none"/>
              </w:rPr>
            </w:pPr>
            <w:r>
              <w:rPr>
                <w:rFonts w:hint="eastAsia"/>
                <w:color w:val="auto"/>
                <w:highlight w:val="none"/>
              </w:rPr>
              <w:t>序号</w:t>
            </w:r>
          </w:p>
        </w:tc>
        <w:tc>
          <w:tcPr>
            <w:tcW w:w="1260" w:type="dxa"/>
            <w:vAlign w:val="center"/>
          </w:tcPr>
          <w:p>
            <w:pPr>
              <w:rPr>
                <w:color w:val="auto"/>
                <w:highlight w:val="none"/>
              </w:rPr>
            </w:pPr>
            <w:r>
              <w:rPr>
                <w:rFonts w:hint="eastAsia"/>
                <w:color w:val="auto"/>
                <w:highlight w:val="none"/>
              </w:rPr>
              <w:t>产品名称</w:t>
            </w:r>
          </w:p>
        </w:tc>
        <w:tc>
          <w:tcPr>
            <w:tcW w:w="7736" w:type="dxa"/>
            <w:vAlign w:val="center"/>
          </w:tcPr>
          <w:p>
            <w:pPr>
              <w:rPr>
                <w:color w:val="auto"/>
                <w:highlight w:val="none"/>
              </w:rPr>
            </w:pPr>
            <w:r>
              <w:rPr>
                <w:rFonts w:hint="eastAsia"/>
                <w:color w:val="auto"/>
                <w:highlight w:val="none"/>
              </w:rPr>
              <w:t>产品技术要求</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728" w:type="dxa"/>
            <w:vAlign w:val="center"/>
          </w:tcPr>
          <w:p>
            <w:pPr>
              <w:rPr>
                <w:color w:val="auto"/>
                <w:highlight w:val="none"/>
              </w:rPr>
            </w:pPr>
            <w:r>
              <w:rPr>
                <w:color w:val="auto"/>
                <w:highlight w:val="none"/>
              </w:rPr>
              <w:t>1</w:t>
            </w:r>
          </w:p>
        </w:tc>
        <w:tc>
          <w:tcPr>
            <w:tcW w:w="1260" w:type="dxa"/>
            <w:vAlign w:val="center"/>
          </w:tcPr>
          <w:p>
            <w:pPr>
              <w:rPr>
                <w:color w:val="auto"/>
                <w:highlight w:val="none"/>
                <w:lang w:eastAsia="zh-CN"/>
              </w:rPr>
            </w:pPr>
            <w:r>
              <w:rPr>
                <w:rFonts w:hint="eastAsia"/>
                <w:color w:val="auto"/>
                <w:highlight w:val="none"/>
                <w:lang w:eastAsia="zh-CN"/>
              </w:rPr>
              <w:t>空调机组（空气处理机组、新风处理机组）</w:t>
            </w:r>
          </w:p>
        </w:tc>
        <w:tc>
          <w:tcPr>
            <w:tcW w:w="7736" w:type="dxa"/>
            <w:vAlign w:val="center"/>
          </w:tcPr>
          <w:p>
            <w:pPr>
              <w:rPr>
                <w:color w:val="auto"/>
                <w:highlight w:val="none"/>
                <w:lang w:eastAsia="zh-CN"/>
              </w:rPr>
            </w:pPr>
            <w:r>
              <w:rPr>
                <w:color w:val="auto"/>
                <w:highlight w:val="none"/>
                <w:lang w:eastAsia="zh-CN"/>
              </w:rPr>
              <w:t>一</w:t>
            </w:r>
            <w:r>
              <w:rPr>
                <w:rFonts w:hint="eastAsia"/>
                <w:color w:val="auto"/>
                <w:highlight w:val="none"/>
                <w:lang w:eastAsia="zh-CN"/>
              </w:rPr>
              <w:t>、技术要求：</w:t>
            </w:r>
          </w:p>
          <w:p>
            <w:pPr>
              <w:rPr>
                <w:color w:val="auto"/>
                <w:highlight w:val="none"/>
                <w:lang w:eastAsia="zh-CN"/>
              </w:rPr>
            </w:pPr>
            <w:r>
              <w:rPr>
                <w:color w:val="auto"/>
                <w:highlight w:val="none"/>
                <w:lang w:eastAsia="zh-CN"/>
              </w:rPr>
              <w:t>1</w:t>
            </w:r>
            <w:r>
              <w:rPr>
                <w:rFonts w:hint="eastAsia"/>
                <w:color w:val="auto"/>
                <w:highlight w:val="none"/>
                <w:lang w:eastAsia="zh-CN"/>
              </w:rPr>
              <w:t>、机组所有部件和材料均需防腐蚀处理，不会被各种消毒剂腐蚀。机组内配置的风机、电机、过滤器、表冷器以及其他零部件应符合国家有关标准的规定，机组所采用的钢板、铜管、铝箔等材料应符合有关标准规定。机组箱体采用的保温、隔声材料应无毒、无腐蚀、无异味，具有难燃、不易吸水等特性。除了过滤器、轴承、密封圈及转动部件可能在正常寿命期间更换外，其余的材料和部件应在正常情况下运行不少于</w:t>
            </w:r>
            <w:r>
              <w:rPr>
                <w:color w:val="auto"/>
                <w:highlight w:val="none"/>
                <w:lang w:eastAsia="zh-CN"/>
              </w:rPr>
              <w:t>15</w:t>
            </w:r>
            <w:r>
              <w:rPr>
                <w:rFonts w:hint="eastAsia"/>
                <w:color w:val="auto"/>
                <w:highlight w:val="none"/>
                <w:lang w:eastAsia="zh-CN"/>
              </w:rPr>
              <w:t>年。</w:t>
            </w:r>
          </w:p>
          <w:p>
            <w:pPr>
              <w:rPr>
                <w:color w:val="auto"/>
                <w:highlight w:val="none"/>
                <w:lang w:eastAsia="zh-CN"/>
              </w:rPr>
            </w:pPr>
            <w:r>
              <w:rPr>
                <w:color w:val="auto"/>
                <w:highlight w:val="none"/>
                <w:lang w:eastAsia="zh-CN"/>
              </w:rPr>
              <w:t>2</w:t>
            </w:r>
            <w:r>
              <w:rPr>
                <w:rFonts w:hint="eastAsia"/>
                <w:color w:val="auto"/>
                <w:highlight w:val="none"/>
                <w:lang w:eastAsia="zh-CN"/>
              </w:rPr>
              <w:t>、过滤器外框采用不锈钢，易抽取更换。理化实验室用空调机组的过滤器须防酸碱、耐腐蚀。</w:t>
            </w:r>
          </w:p>
          <w:p>
            <w:pPr>
              <w:rPr>
                <w:color w:val="auto"/>
                <w:highlight w:val="none"/>
                <w:lang w:eastAsia="zh-CN"/>
              </w:rPr>
            </w:pPr>
            <w:r>
              <w:rPr>
                <w:color w:val="auto"/>
                <w:highlight w:val="none"/>
                <w:lang w:eastAsia="zh-CN"/>
              </w:rPr>
              <w:t>3</w:t>
            </w:r>
            <w:r>
              <w:rPr>
                <w:rFonts w:hint="eastAsia"/>
                <w:color w:val="auto"/>
                <w:highlight w:val="none"/>
                <w:lang w:eastAsia="zh-CN"/>
              </w:rPr>
              <w:t>、洁净空调机组制造商需提供风量、面风速与阻力的关系曲线及过滤器的容尘量数据、阻力与迎面风速曲线图、效率与微粒粒径关系图，性能参数根据</w:t>
            </w:r>
            <w:r>
              <w:rPr>
                <w:color w:val="auto"/>
                <w:highlight w:val="none"/>
                <w:lang w:eastAsia="zh-CN"/>
              </w:rPr>
              <w:t>ASHRAE 52.1-1992</w:t>
            </w:r>
            <w:r>
              <w:rPr>
                <w:rFonts w:hint="eastAsia"/>
                <w:color w:val="auto"/>
                <w:highlight w:val="none"/>
                <w:lang w:eastAsia="zh-CN"/>
              </w:rPr>
              <w:t>测试方法测试，性能公差与</w:t>
            </w:r>
            <w:r>
              <w:rPr>
                <w:color w:val="auto"/>
                <w:highlight w:val="none"/>
                <w:lang w:eastAsia="zh-CN"/>
              </w:rPr>
              <w:t>AR1850-93</w:t>
            </w:r>
            <w:r>
              <w:rPr>
                <w:rFonts w:hint="eastAsia"/>
                <w:color w:val="auto"/>
                <w:highlight w:val="none"/>
                <w:lang w:eastAsia="zh-CN"/>
              </w:rPr>
              <w:t>标准相符。配套紫外线杀菌灯。</w:t>
            </w:r>
          </w:p>
          <w:p>
            <w:pPr>
              <w:rPr>
                <w:color w:val="auto"/>
                <w:highlight w:val="none"/>
                <w:lang w:eastAsia="zh-CN"/>
              </w:rPr>
            </w:pPr>
            <w:r>
              <w:rPr>
                <w:rFonts w:hint="eastAsia"/>
                <w:color w:val="auto"/>
                <w:highlight w:val="none"/>
                <w:lang w:eastAsia="zh-CN"/>
              </w:rPr>
              <w:t>箱体：</w:t>
            </w:r>
          </w:p>
          <w:p>
            <w:pPr>
              <w:rPr>
                <w:strike/>
                <w:color w:val="auto"/>
                <w:highlight w:val="none"/>
                <w:lang w:eastAsia="zh-CN"/>
              </w:rPr>
            </w:pPr>
            <w:r>
              <w:rPr>
                <w:color w:val="auto"/>
                <w:highlight w:val="none"/>
                <w:lang w:eastAsia="zh-CN"/>
              </w:rPr>
              <w:t>1</w:t>
            </w:r>
            <w:r>
              <w:rPr>
                <w:rFonts w:hint="eastAsia"/>
                <w:color w:val="auto"/>
                <w:highlight w:val="none"/>
                <w:lang w:eastAsia="zh-CN"/>
              </w:rPr>
              <w:t>、箱体框架结构采用不锈钢或强化复合材料。</w:t>
            </w:r>
          </w:p>
          <w:p>
            <w:pPr>
              <w:rPr>
                <w:color w:val="auto"/>
                <w:highlight w:val="none"/>
                <w:lang w:eastAsia="zh-CN"/>
              </w:rPr>
            </w:pPr>
            <w:r>
              <w:rPr>
                <w:color w:val="auto"/>
                <w:highlight w:val="none"/>
                <w:lang w:eastAsia="zh-CN"/>
              </w:rPr>
              <w:t>2</w:t>
            </w:r>
            <w:r>
              <w:rPr>
                <w:rFonts w:hint="eastAsia"/>
                <w:color w:val="auto"/>
                <w:highlight w:val="none"/>
                <w:lang w:eastAsia="zh-CN"/>
              </w:rPr>
              <w:t>、箱体外表面应无明显划伤、锈蚀和压痕，表面光洁，涂层均匀，色调一致，无流痕、气泡和剥落。</w:t>
            </w:r>
          </w:p>
          <w:p>
            <w:pPr>
              <w:rPr>
                <w:color w:val="auto"/>
                <w:highlight w:val="none"/>
                <w:lang w:eastAsia="zh-CN"/>
              </w:rPr>
            </w:pPr>
            <w:r>
              <w:rPr>
                <w:color w:val="auto"/>
                <w:highlight w:val="none"/>
                <w:lang w:eastAsia="zh-CN"/>
              </w:rPr>
              <w:t>3</w:t>
            </w:r>
            <w:r>
              <w:rPr>
                <w:rFonts w:hint="eastAsia"/>
                <w:color w:val="auto"/>
                <w:highlight w:val="none"/>
                <w:lang w:eastAsia="zh-CN"/>
              </w:rPr>
              <w:t>、应在箱体的适当位置设置检查门，并保证严密（在</w:t>
            </w:r>
            <w:r>
              <w:rPr>
                <w:color w:val="auto"/>
                <w:highlight w:val="none"/>
                <w:lang w:eastAsia="zh-CN"/>
              </w:rPr>
              <w:t>700Pa</w:t>
            </w:r>
            <w:r>
              <w:rPr>
                <w:rFonts w:hint="eastAsia"/>
                <w:color w:val="auto"/>
                <w:highlight w:val="none"/>
                <w:lang w:eastAsia="zh-CN"/>
              </w:rPr>
              <w:t>和－</w:t>
            </w:r>
            <w:r>
              <w:rPr>
                <w:color w:val="auto"/>
                <w:highlight w:val="none"/>
                <w:lang w:eastAsia="zh-CN"/>
              </w:rPr>
              <w:t>400Pa</w:t>
            </w:r>
            <w:r>
              <w:rPr>
                <w:rFonts w:hint="eastAsia"/>
                <w:color w:val="auto"/>
                <w:highlight w:val="none"/>
                <w:lang w:eastAsia="zh-CN"/>
              </w:rPr>
              <w:t>压力下漏风率不超过</w:t>
            </w:r>
            <w:r>
              <w:rPr>
                <w:color w:val="auto"/>
                <w:highlight w:val="none"/>
                <w:lang w:eastAsia="zh-CN"/>
              </w:rPr>
              <w:t>0.5%</w:t>
            </w:r>
            <w:r>
              <w:rPr>
                <w:rFonts w:hint="eastAsia"/>
                <w:color w:val="auto"/>
                <w:highlight w:val="none"/>
                <w:lang w:eastAsia="zh-CN"/>
              </w:rPr>
              <w:t>；</w:t>
            </w:r>
            <w:r>
              <w:rPr>
                <w:rFonts w:hint="eastAsia"/>
                <w:strike/>
                <w:color w:val="auto"/>
                <w:highlight w:val="none"/>
                <w:lang w:eastAsia="zh-CN"/>
              </w:rPr>
              <w:t>过滤器旁通漏风率达到</w:t>
            </w:r>
            <w:r>
              <w:rPr>
                <w:strike/>
                <w:color w:val="auto"/>
                <w:highlight w:val="none"/>
                <w:lang w:eastAsia="zh-CN"/>
              </w:rPr>
              <w:t>EN1886</w:t>
            </w:r>
            <w:r>
              <w:rPr>
                <w:rFonts w:hint="eastAsia"/>
                <w:strike/>
                <w:color w:val="auto"/>
                <w:highlight w:val="none"/>
                <w:lang w:eastAsia="zh-CN"/>
              </w:rPr>
              <w:t>标准</w:t>
            </w:r>
            <w:r>
              <w:rPr>
                <w:strike/>
                <w:color w:val="auto"/>
                <w:highlight w:val="none"/>
                <w:lang w:eastAsia="zh-CN"/>
              </w:rPr>
              <w:t>F9</w:t>
            </w:r>
            <w:r>
              <w:rPr>
                <w:rFonts w:hint="eastAsia"/>
                <w:strike/>
                <w:color w:val="auto"/>
                <w:highlight w:val="none"/>
                <w:lang w:eastAsia="zh-CN"/>
              </w:rPr>
              <w:t>等</w:t>
            </w:r>
            <w:r>
              <w:rPr>
                <w:rFonts w:hint="eastAsia"/>
                <w:color w:val="auto"/>
                <w:highlight w:val="none"/>
                <w:lang w:eastAsia="zh-CN"/>
              </w:rPr>
              <w:t>级）、灵活、方便维修，在箱体的适当位置预留测试仪表及各种必要的传感器等备用接口。新风口、回风口、送风口等与风管连接的接口均设置法兰，其方向应符合设计图纸的要求，法兰面应超过箱体外</w:t>
            </w:r>
            <w:r>
              <w:rPr>
                <w:color w:val="auto"/>
                <w:highlight w:val="none"/>
                <w:lang w:eastAsia="zh-CN"/>
              </w:rPr>
              <w:t>60mm</w:t>
            </w:r>
            <w:r>
              <w:rPr>
                <w:rFonts w:hint="eastAsia"/>
                <w:color w:val="auto"/>
                <w:highlight w:val="none"/>
                <w:lang w:eastAsia="zh-CN"/>
              </w:rPr>
              <w:t>以上以便安装及维修。</w:t>
            </w:r>
          </w:p>
          <w:p>
            <w:pPr>
              <w:rPr>
                <w:color w:val="auto"/>
                <w:highlight w:val="none"/>
                <w:lang w:eastAsia="zh-CN"/>
              </w:rPr>
            </w:pPr>
            <w:r>
              <w:rPr>
                <w:rFonts w:hint="eastAsia"/>
                <w:color w:val="auto"/>
                <w:highlight w:val="none"/>
                <w:lang w:eastAsia="zh-CN"/>
              </w:rPr>
              <w:t>风机：</w:t>
            </w:r>
          </w:p>
          <w:p>
            <w:pPr>
              <w:rPr>
                <w:color w:val="auto"/>
                <w:highlight w:val="none"/>
                <w:u w:val="single"/>
                <w:lang w:eastAsia="zh-CN"/>
              </w:rPr>
            </w:pPr>
            <w:r>
              <w:rPr>
                <w:color w:val="auto"/>
                <w:highlight w:val="none"/>
                <w:u w:val="single"/>
                <w:lang w:eastAsia="zh-CN"/>
              </w:rPr>
              <w:t>1</w:t>
            </w:r>
            <w:r>
              <w:rPr>
                <w:rFonts w:hint="eastAsia"/>
                <w:color w:val="auto"/>
                <w:highlight w:val="none"/>
                <w:u w:val="single"/>
                <w:lang w:eastAsia="zh-CN"/>
              </w:rPr>
              <w:t>、风机符合我国有关电机技术及安全标准要求。</w:t>
            </w:r>
          </w:p>
          <w:p>
            <w:pPr>
              <w:rPr>
                <w:color w:val="auto"/>
                <w:highlight w:val="none"/>
                <w:lang w:eastAsia="zh-CN"/>
              </w:rPr>
            </w:pPr>
            <w:r>
              <w:rPr>
                <w:color w:val="auto"/>
                <w:highlight w:val="none"/>
                <w:lang w:eastAsia="zh-CN"/>
              </w:rPr>
              <w:t>2</w:t>
            </w:r>
            <w:r>
              <w:rPr>
                <w:rFonts w:hint="eastAsia"/>
                <w:color w:val="auto"/>
                <w:highlight w:val="none"/>
                <w:lang w:eastAsia="zh-CN"/>
              </w:rPr>
              <w:t>、叶轮采用铝合金或镀锌钢板制作，采用高效率、高强度叶轮结构，并在制造厂内进行静平衡和动平衡试验测试合格。</w:t>
            </w:r>
          </w:p>
          <w:p>
            <w:pPr>
              <w:rPr>
                <w:color w:val="auto"/>
                <w:highlight w:val="none"/>
                <w:lang w:eastAsia="zh-CN"/>
              </w:rPr>
            </w:pPr>
            <w:r>
              <w:rPr>
                <w:color w:val="auto"/>
                <w:highlight w:val="none"/>
                <w:lang w:eastAsia="zh-CN"/>
              </w:rPr>
              <w:t>3</w:t>
            </w:r>
            <w:r>
              <w:rPr>
                <w:rFonts w:hint="eastAsia"/>
                <w:color w:val="auto"/>
                <w:highlight w:val="none"/>
                <w:lang w:eastAsia="zh-CN"/>
              </w:rPr>
              <w:t>、应提供风机的电脑选型资料和性能曲线图（详细要求见风机选型资料），并保证所选工况点接近最高效率点。</w:t>
            </w:r>
          </w:p>
          <w:p>
            <w:pPr>
              <w:rPr>
                <w:color w:val="auto"/>
                <w:highlight w:val="none"/>
                <w:lang w:eastAsia="zh-CN"/>
              </w:rPr>
            </w:pPr>
            <w:r>
              <w:rPr>
                <w:color w:val="auto"/>
                <w:highlight w:val="none"/>
                <w:lang w:eastAsia="zh-CN"/>
              </w:rPr>
              <w:t>4</w:t>
            </w:r>
            <w:r>
              <w:rPr>
                <w:rFonts w:hint="eastAsia"/>
                <w:color w:val="auto"/>
                <w:highlight w:val="none"/>
                <w:lang w:eastAsia="zh-CN"/>
              </w:rPr>
              <w:t>、风机出口应设柔性短管，其材质应满足消防要求，并提供材料的检测报告，风机出风口方向应符合本招标图纸的要求。</w:t>
            </w:r>
          </w:p>
          <w:p>
            <w:pPr>
              <w:rPr>
                <w:color w:val="auto"/>
                <w:highlight w:val="none"/>
                <w:lang w:eastAsia="zh-CN"/>
              </w:rPr>
            </w:pPr>
            <w:r>
              <w:rPr>
                <w:color w:val="auto"/>
                <w:highlight w:val="none"/>
                <w:lang w:eastAsia="zh-CN"/>
              </w:rPr>
              <w:t>5</w:t>
            </w:r>
            <w:r>
              <w:rPr>
                <w:rFonts w:hint="eastAsia"/>
                <w:color w:val="auto"/>
                <w:highlight w:val="none"/>
                <w:lang w:eastAsia="zh-CN"/>
              </w:rPr>
              <w:t>、风机应设有为满足下列要求而设计的弹簧隔振装置：风机转速：</w:t>
            </w:r>
            <w:r>
              <w:rPr>
                <w:color w:val="auto"/>
                <w:highlight w:val="none"/>
                <w:lang w:eastAsia="zh-CN"/>
              </w:rPr>
              <w:t>n</w:t>
            </w:r>
            <w:r>
              <w:rPr>
                <w:rFonts w:hint="eastAsia"/>
                <w:color w:val="auto"/>
                <w:highlight w:val="none"/>
                <w:lang w:eastAsia="zh-CN"/>
              </w:rPr>
              <w:t>≤</w:t>
            </w:r>
            <w:r>
              <w:rPr>
                <w:color w:val="auto"/>
                <w:highlight w:val="none"/>
                <w:lang w:eastAsia="zh-CN"/>
              </w:rPr>
              <w:t>450rpm</w:t>
            </w:r>
            <w:r>
              <w:rPr>
                <w:rFonts w:hint="eastAsia"/>
                <w:color w:val="auto"/>
                <w:highlight w:val="none"/>
                <w:lang w:eastAsia="zh-CN"/>
              </w:rPr>
              <w:t>，减振效率：</w:t>
            </w:r>
            <w:r>
              <w:rPr>
                <w:color w:val="auto"/>
                <w:highlight w:val="none"/>
                <w:lang w:eastAsia="zh-CN"/>
              </w:rPr>
              <w:t>80%</w:t>
            </w:r>
            <w:r>
              <w:rPr>
                <w:rFonts w:hint="eastAsia"/>
                <w:color w:val="auto"/>
                <w:highlight w:val="none"/>
                <w:lang w:eastAsia="zh-CN"/>
              </w:rPr>
              <w:t>；风机转速：</w:t>
            </w:r>
            <w:r>
              <w:rPr>
                <w:color w:val="auto"/>
                <w:highlight w:val="none"/>
                <w:lang w:eastAsia="zh-CN"/>
              </w:rPr>
              <w:t>450 rpm</w:t>
            </w:r>
            <w:r>
              <w:rPr>
                <w:rFonts w:hint="eastAsia"/>
                <w:color w:val="auto"/>
                <w:highlight w:val="none"/>
                <w:lang w:eastAsia="zh-CN"/>
              </w:rPr>
              <w:t>≤</w:t>
            </w:r>
            <w:r>
              <w:rPr>
                <w:color w:val="auto"/>
                <w:highlight w:val="none"/>
                <w:lang w:eastAsia="zh-CN"/>
              </w:rPr>
              <w:t>n</w:t>
            </w:r>
            <w:r>
              <w:rPr>
                <w:rFonts w:hint="eastAsia"/>
                <w:color w:val="auto"/>
                <w:highlight w:val="none"/>
                <w:lang w:eastAsia="zh-CN"/>
              </w:rPr>
              <w:t>≤</w:t>
            </w:r>
            <w:r>
              <w:rPr>
                <w:color w:val="auto"/>
                <w:highlight w:val="none"/>
                <w:lang w:eastAsia="zh-CN"/>
              </w:rPr>
              <w:t>850 rpm</w:t>
            </w:r>
            <w:r>
              <w:rPr>
                <w:rFonts w:hint="eastAsia"/>
                <w:color w:val="auto"/>
                <w:highlight w:val="none"/>
                <w:lang w:eastAsia="zh-CN"/>
              </w:rPr>
              <w:t>，减振效率：</w:t>
            </w:r>
            <w:r>
              <w:rPr>
                <w:color w:val="auto"/>
                <w:highlight w:val="none"/>
                <w:lang w:eastAsia="zh-CN"/>
              </w:rPr>
              <w:t>85%</w:t>
            </w:r>
            <w:r>
              <w:rPr>
                <w:rFonts w:hint="eastAsia"/>
                <w:color w:val="auto"/>
                <w:highlight w:val="none"/>
                <w:lang w:eastAsia="zh-CN"/>
              </w:rPr>
              <w:t>；风机转速：</w:t>
            </w:r>
            <w:r>
              <w:rPr>
                <w:color w:val="auto"/>
                <w:highlight w:val="none"/>
                <w:lang w:eastAsia="zh-CN"/>
              </w:rPr>
              <w:t>n</w:t>
            </w:r>
            <w:r>
              <w:rPr>
                <w:rFonts w:hint="eastAsia"/>
                <w:color w:val="auto"/>
                <w:highlight w:val="none"/>
                <w:lang w:eastAsia="zh-CN"/>
              </w:rPr>
              <w:t>＞</w:t>
            </w:r>
            <w:r>
              <w:rPr>
                <w:color w:val="auto"/>
                <w:highlight w:val="none"/>
                <w:lang w:eastAsia="zh-CN"/>
              </w:rPr>
              <w:t>850 rpm</w:t>
            </w:r>
            <w:r>
              <w:rPr>
                <w:rFonts w:hint="eastAsia"/>
                <w:color w:val="auto"/>
                <w:highlight w:val="none"/>
                <w:lang w:eastAsia="zh-CN"/>
              </w:rPr>
              <w:t>，减振效率：</w:t>
            </w:r>
            <w:r>
              <w:rPr>
                <w:color w:val="auto"/>
                <w:highlight w:val="none"/>
                <w:lang w:eastAsia="zh-CN"/>
              </w:rPr>
              <w:t>90%</w:t>
            </w:r>
            <w:r>
              <w:rPr>
                <w:rFonts w:hint="eastAsia"/>
                <w:color w:val="auto"/>
                <w:highlight w:val="none"/>
                <w:lang w:eastAsia="zh-CN"/>
              </w:rPr>
              <w:t>。</w:t>
            </w:r>
          </w:p>
          <w:p>
            <w:pPr>
              <w:rPr>
                <w:color w:val="auto"/>
                <w:highlight w:val="none"/>
                <w:lang w:eastAsia="zh-CN"/>
              </w:rPr>
            </w:pPr>
            <w:r>
              <w:rPr>
                <w:color w:val="auto"/>
                <w:highlight w:val="none"/>
                <w:lang w:eastAsia="zh-CN"/>
              </w:rPr>
              <w:t>6</w:t>
            </w:r>
            <w:r>
              <w:rPr>
                <w:rFonts w:hint="eastAsia"/>
                <w:color w:val="auto"/>
                <w:highlight w:val="none"/>
                <w:lang w:eastAsia="zh-CN"/>
              </w:rPr>
              <w:t>、风机变频，变频器按照工业级的标准设计，完善全面的变频器保护及自诊断功能</w:t>
            </w:r>
            <w:r>
              <w:rPr>
                <w:color w:val="auto"/>
                <w:highlight w:val="none"/>
                <w:lang w:eastAsia="zh-CN"/>
              </w:rPr>
              <w:t>.</w:t>
            </w:r>
            <w:r>
              <w:rPr>
                <w:rFonts w:hint="eastAsia"/>
                <w:color w:val="auto"/>
                <w:highlight w:val="none"/>
                <w:lang w:eastAsia="zh-CN"/>
              </w:rPr>
              <w:t>其体积小，节省空间。强大的通讯接口，可让它以任何的</w:t>
            </w:r>
            <w:r>
              <w:rPr>
                <w:color w:val="auto"/>
                <w:highlight w:val="none"/>
                <w:lang w:eastAsia="zh-CN"/>
              </w:rPr>
              <w:t>PLC/DCS</w:t>
            </w:r>
            <w:r>
              <w:rPr>
                <w:rFonts w:hint="eastAsia"/>
                <w:color w:val="auto"/>
                <w:highlight w:val="none"/>
                <w:lang w:eastAsia="zh-CN"/>
              </w:rPr>
              <w:t>集成。</w:t>
            </w:r>
          </w:p>
          <w:p>
            <w:pPr>
              <w:rPr>
                <w:color w:val="auto"/>
                <w:highlight w:val="none"/>
                <w:lang w:eastAsia="zh-CN"/>
              </w:rPr>
            </w:pPr>
            <w:r>
              <w:rPr>
                <w:color w:val="auto"/>
                <w:highlight w:val="none"/>
                <w:lang w:eastAsia="zh-CN"/>
              </w:rPr>
              <w:t>2</w:t>
            </w:r>
            <w:r>
              <w:rPr>
                <w:rFonts w:hint="eastAsia"/>
                <w:color w:val="auto"/>
                <w:highlight w:val="none"/>
                <w:lang w:eastAsia="zh-CN"/>
              </w:rPr>
              <w:t>）</w:t>
            </w:r>
            <w:r>
              <w:rPr>
                <w:color w:val="auto"/>
                <w:highlight w:val="none"/>
                <w:lang w:eastAsia="zh-CN"/>
              </w:rPr>
              <w:t xml:space="preserve"> </w:t>
            </w:r>
            <w:r>
              <w:rPr>
                <w:rFonts w:hint="eastAsia"/>
                <w:color w:val="auto"/>
                <w:highlight w:val="none"/>
                <w:lang w:eastAsia="zh-CN"/>
              </w:rPr>
              <w:t>额定输入电源为</w:t>
            </w:r>
            <w:r>
              <w:rPr>
                <w:color w:val="auto"/>
                <w:highlight w:val="none"/>
                <w:lang w:eastAsia="zh-CN"/>
              </w:rPr>
              <w:t>380</w:t>
            </w:r>
            <w:r>
              <w:rPr>
                <w:rFonts w:hint="eastAsia"/>
                <w:color w:val="auto"/>
                <w:highlight w:val="none"/>
                <w:lang w:eastAsia="zh-CN"/>
              </w:rPr>
              <w:t>～</w:t>
            </w:r>
            <w:r>
              <w:rPr>
                <w:color w:val="auto"/>
                <w:highlight w:val="none"/>
                <w:lang w:eastAsia="zh-CN"/>
              </w:rPr>
              <w:t>480V</w:t>
            </w:r>
            <w:r>
              <w:rPr>
                <w:rFonts w:hint="eastAsia"/>
                <w:color w:val="auto"/>
                <w:highlight w:val="none"/>
                <w:lang w:eastAsia="zh-CN"/>
              </w:rPr>
              <w:t>，频率范围</w:t>
            </w:r>
            <w:r>
              <w:rPr>
                <w:color w:val="auto"/>
                <w:highlight w:val="none"/>
                <w:lang w:eastAsia="zh-CN"/>
              </w:rPr>
              <w:t>48</w:t>
            </w:r>
            <w:r>
              <w:rPr>
                <w:rFonts w:hint="eastAsia"/>
                <w:color w:val="auto"/>
                <w:highlight w:val="none"/>
                <w:lang w:eastAsia="zh-CN"/>
              </w:rPr>
              <w:t>～</w:t>
            </w:r>
            <w:r>
              <w:rPr>
                <w:color w:val="auto"/>
                <w:highlight w:val="none"/>
                <w:lang w:eastAsia="zh-CN"/>
              </w:rPr>
              <w:t>63Hz</w:t>
            </w:r>
            <w:r>
              <w:rPr>
                <w:rFonts w:hint="eastAsia"/>
                <w:color w:val="auto"/>
                <w:highlight w:val="none"/>
                <w:lang w:eastAsia="zh-CN"/>
              </w:rPr>
              <w:t>，额定输出电压为</w:t>
            </w:r>
            <w:r>
              <w:rPr>
                <w:color w:val="auto"/>
                <w:highlight w:val="none"/>
                <w:lang w:eastAsia="zh-CN"/>
              </w:rPr>
              <w:t>0</w:t>
            </w:r>
            <w:r>
              <w:rPr>
                <w:rFonts w:hint="eastAsia"/>
                <w:color w:val="auto"/>
                <w:highlight w:val="none"/>
                <w:lang w:eastAsia="zh-CN"/>
              </w:rPr>
              <w:t>～</w:t>
            </w:r>
            <w:r>
              <w:rPr>
                <w:color w:val="auto"/>
                <w:highlight w:val="none"/>
                <w:lang w:eastAsia="zh-CN"/>
              </w:rPr>
              <w:t>460V</w:t>
            </w:r>
            <w:r>
              <w:rPr>
                <w:rFonts w:hint="eastAsia"/>
                <w:color w:val="auto"/>
                <w:highlight w:val="none"/>
                <w:lang w:eastAsia="zh-CN"/>
              </w:rPr>
              <w:t>，可变频率范围</w:t>
            </w:r>
            <w:r>
              <w:rPr>
                <w:color w:val="auto"/>
                <w:highlight w:val="none"/>
                <w:lang w:eastAsia="zh-CN"/>
              </w:rPr>
              <w:t xml:space="preserve">0-320Hz, </w:t>
            </w:r>
            <w:r>
              <w:rPr>
                <w:rFonts w:hint="eastAsia"/>
                <w:color w:val="auto"/>
                <w:highlight w:val="none"/>
                <w:lang w:eastAsia="zh-CN"/>
              </w:rPr>
              <w:t>功率因数：</w:t>
            </w:r>
            <w:r>
              <w:rPr>
                <w:color w:val="auto"/>
                <w:highlight w:val="none"/>
                <w:lang w:eastAsia="zh-CN"/>
              </w:rPr>
              <w:t>0.98</w:t>
            </w:r>
            <w:r>
              <w:rPr>
                <w:rFonts w:hint="eastAsia"/>
                <w:color w:val="auto"/>
                <w:highlight w:val="none"/>
                <w:lang w:eastAsia="zh-CN"/>
              </w:rPr>
              <w:t>，额定电流和额定电压条件下效率为</w:t>
            </w:r>
            <w:r>
              <w:rPr>
                <w:color w:val="auto"/>
                <w:highlight w:val="none"/>
                <w:lang w:eastAsia="zh-CN"/>
              </w:rPr>
              <w:t>97.5%</w:t>
            </w:r>
            <w:r>
              <w:rPr>
                <w:rFonts w:hint="eastAsia"/>
                <w:color w:val="auto"/>
                <w:highlight w:val="none"/>
                <w:lang w:eastAsia="zh-CN"/>
              </w:rPr>
              <w:t>。功率等级为</w:t>
            </w:r>
            <w:r>
              <w:rPr>
                <w:color w:val="auto"/>
                <w:highlight w:val="none"/>
                <w:lang w:eastAsia="zh-CN"/>
              </w:rPr>
              <w:t>2.2</w:t>
            </w:r>
            <w:r>
              <w:rPr>
                <w:rFonts w:hint="eastAsia"/>
                <w:color w:val="auto"/>
                <w:highlight w:val="none"/>
                <w:lang w:eastAsia="zh-CN"/>
              </w:rPr>
              <w:t>至</w:t>
            </w:r>
            <w:r>
              <w:rPr>
                <w:color w:val="auto"/>
                <w:highlight w:val="none"/>
                <w:lang w:eastAsia="zh-CN"/>
              </w:rPr>
              <w:t>250kw</w:t>
            </w:r>
            <w:r>
              <w:rPr>
                <w:rFonts w:hint="eastAsia"/>
                <w:color w:val="auto"/>
                <w:highlight w:val="none"/>
                <w:lang w:eastAsia="zh-CN"/>
              </w:rPr>
              <w:t>。</w:t>
            </w:r>
          </w:p>
          <w:p>
            <w:pPr>
              <w:rPr>
                <w:color w:val="auto"/>
                <w:highlight w:val="none"/>
                <w:lang w:eastAsia="zh-CN"/>
              </w:rPr>
            </w:pPr>
            <w:r>
              <w:rPr>
                <w:color w:val="auto"/>
                <w:highlight w:val="none"/>
                <w:lang w:eastAsia="zh-CN"/>
              </w:rPr>
              <w:t>3</w:t>
            </w:r>
            <w:r>
              <w:rPr>
                <w:rFonts w:hint="eastAsia"/>
                <w:color w:val="auto"/>
                <w:highlight w:val="none"/>
                <w:lang w:eastAsia="zh-CN"/>
              </w:rPr>
              <w:t>）</w:t>
            </w:r>
            <w:r>
              <w:rPr>
                <w:color w:val="auto"/>
                <w:highlight w:val="none"/>
                <w:lang w:eastAsia="zh-CN"/>
              </w:rPr>
              <w:t xml:space="preserve"> </w:t>
            </w:r>
            <w:r>
              <w:rPr>
                <w:rFonts w:hint="eastAsia"/>
                <w:color w:val="auto"/>
                <w:highlight w:val="none"/>
                <w:lang w:eastAsia="zh-CN"/>
              </w:rPr>
              <w:t>能够把电动机转速随意控制在极速之</w:t>
            </w:r>
            <w:r>
              <w:rPr>
                <w:color w:val="auto"/>
                <w:highlight w:val="none"/>
                <w:lang w:eastAsia="zh-CN"/>
              </w:rPr>
              <w:t>0</w:t>
            </w:r>
            <w:r>
              <w:rPr>
                <w:rFonts w:hint="eastAsia"/>
                <w:color w:val="auto"/>
                <w:highlight w:val="none"/>
                <w:lang w:eastAsia="zh-CN"/>
              </w:rPr>
              <w:t>至</w:t>
            </w:r>
            <w:r>
              <w:rPr>
                <w:color w:val="auto"/>
                <w:highlight w:val="none"/>
                <w:lang w:eastAsia="zh-CN"/>
              </w:rPr>
              <w:t>100%</w:t>
            </w:r>
            <w:r>
              <w:rPr>
                <w:rFonts w:hint="eastAsia"/>
                <w:color w:val="auto"/>
                <w:highlight w:val="none"/>
                <w:lang w:eastAsia="zh-CN"/>
              </w:rPr>
              <w:t>以内之任何转速运行。</w:t>
            </w:r>
          </w:p>
          <w:p>
            <w:pPr>
              <w:rPr>
                <w:color w:val="auto"/>
                <w:highlight w:val="none"/>
                <w:lang w:eastAsia="zh-CN"/>
              </w:rPr>
            </w:pPr>
            <w:r>
              <w:rPr>
                <w:color w:val="auto"/>
                <w:highlight w:val="none"/>
                <w:lang w:eastAsia="zh-CN"/>
              </w:rPr>
              <w:t>4</w:t>
            </w:r>
            <w:r>
              <w:rPr>
                <w:rFonts w:hint="eastAsia"/>
                <w:color w:val="auto"/>
                <w:highlight w:val="none"/>
                <w:lang w:eastAsia="zh-CN"/>
              </w:rPr>
              <w:t>）</w:t>
            </w:r>
            <w:r>
              <w:rPr>
                <w:color w:val="auto"/>
                <w:highlight w:val="none"/>
                <w:lang w:eastAsia="zh-CN"/>
              </w:rPr>
              <w:t xml:space="preserve"> </w:t>
            </w:r>
            <w:r>
              <w:rPr>
                <w:rFonts w:hint="eastAsia"/>
                <w:color w:val="auto"/>
                <w:highlight w:val="none"/>
                <w:lang w:eastAsia="zh-CN"/>
              </w:rPr>
              <w:t>能维持</w:t>
            </w:r>
            <w:r>
              <w:rPr>
                <w:color w:val="auto"/>
                <w:highlight w:val="none"/>
                <w:lang w:eastAsia="zh-CN"/>
              </w:rPr>
              <w:t>110%</w:t>
            </w:r>
            <w:r>
              <w:rPr>
                <w:rFonts w:hint="eastAsia"/>
                <w:color w:val="auto"/>
                <w:highlight w:val="none"/>
                <w:lang w:eastAsia="zh-CN"/>
              </w:rPr>
              <w:t>过载电流达</w:t>
            </w:r>
            <w:r>
              <w:rPr>
                <w:color w:val="auto"/>
                <w:highlight w:val="none"/>
                <w:lang w:eastAsia="zh-CN"/>
              </w:rPr>
              <w:t>1</w:t>
            </w:r>
            <w:r>
              <w:rPr>
                <w:rFonts w:hint="eastAsia"/>
                <w:color w:val="auto"/>
                <w:highlight w:val="none"/>
                <w:lang w:eastAsia="zh-CN"/>
              </w:rPr>
              <w:t>分钟。</w:t>
            </w:r>
          </w:p>
          <w:p>
            <w:pPr>
              <w:rPr>
                <w:color w:val="auto"/>
                <w:highlight w:val="none"/>
                <w:lang w:eastAsia="zh-CN"/>
              </w:rPr>
            </w:pPr>
            <w:r>
              <w:rPr>
                <w:color w:val="auto"/>
                <w:highlight w:val="none"/>
                <w:lang w:eastAsia="zh-CN"/>
              </w:rPr>
              <w:t>5</w:t>
            </w:r>
            <w:r>
              <w:rPr>
                <w:rFonts w:hint="eastAsia"/>
                <w:color w:val="auto"/>
                <w:highlight w:val="none"/>
                <w:lang w:eastAsia="zh-CN"/>
              </w:rPr>
              <w:t>）</w:t>
            </w:r>
            <w:r>
              <w:rPr>
                <w:color w:val="auto"/>
                <w:highlight w:val="none"/>
                <w:lang w:eastAsia="zh-CN"/>
              </w:rPr>
              <w:t xml:space="preserve"> </w:t>
            </w:r>
            <w:r>
              <w:rPr>
                <w:rFonts w:hint="eastAsia"/>
                <w:color w:val="auto"/>
                <w:highlight w:val="none"/>
                <w:lang w:eastAsia="zh-CN"/>
              </w:rPr>
              <w:t>集成的</w:t>
            </w:r>
            <w:r>
              <w:rPr>
                <w:color w:val="auto"/>
                <w:highlight w:val="none"/>
                <w:lang w:eastAsia="zh-CN"/>
              </w:rPr>
              <w:t>LCD</w:t>
            </w:r>
            <w:r>
              <w:rPr>
                <w:rFonts w:hint="eastAsia"/>
                <w:color w:val="auto"/>
                <w:highlight w:val="none"/>
                <w:lang w:eastAsia="zh-CN"/>
              </w:rPr>
              <w:t>显示屏带简体中文显示。可以记录运行的总时间、变频器的功率因数、输出频率等</w:t>
            </w:r>
            <w:r>
              <w:rPr>
                <w:color w:val="auto"/>
                <w:highlight w:val="none"/>
                <w:lang w:eastAsia="zh-CN"/>
              </w:rPr>
              <w:t>,</w:t>
            </w:r>
            <w:r>
              <w:rPr>
                <w:rFonts w:hint="eastAsia"/>
                <w:color w:val="auto"/>
                <w:highlight w:val="none"/>
                <w:lang w:eastAsia="zh-CN"/>
              </w:rPr>
              <w:t>在需要时可显示于显示器上。</w:t>
            </w:r>
          </w:p>
          <w:p>
            <w:pPr>
              <w:rPr>
                <w:color w:val="auto"/>
                <w:highlight w:val="none"/>
                <w:lang w:eastAsia="zh-CN"/>
              </w:rPr>
            </w:pPr>
            <w:r>
              <w:rPr>
                <w:color w:val="auto"/>
                <w:highlight w:val="none"/>
                <w:lang w:eastAsia="zh-CN"/>
              </w:rPr>
              <w:t>6</w:t>
            </w:r>
            <w:r>
              <w:rPr>
                <w:rFonts w:hint="eastAsia"/>
                <w:color w:val="auto"/>
                <w:highlight w:val="none"/>
                <w:lang w:eastAsia="zh-CN"/>
              </w:rPr>
              <w:t>）</w:t>
            </w:r>
            <w:r>
              <w:rPr>
                <w:color w:val="auto"/>
                <w:highlight w:val="none"/>
                <w:lang w:eastAsia="zh-CN"/>
              </w:rPr>
              <w:t xml:space="preserve"> </w:t>
            </w:r>
            <w:r>
              <w:rPr>
                <w:rFonts w:hint="eastAsia"/>
                <w:color w:val="auto"/>
                <w:highlight w:val="none"/>
                <w:lang w:eastAsia="zh-CN"/>
              </w:rPr>
              <w:t>内置</w:t>
            </w:r>
            <w:r>
              <w:rPr>
                <w:color w:val="auto"/>
                <w:highlight w:val="none"/>
                <w:lang w:eastAsia="zh-CN"/>
              </w:rPr>
              <w:t>DC</w:t>
            </w:r>
            <w:r>
              <w:rPr>
                <w:rFonts w:hint="eastAsia"/>
                <w:color w:val="auto"/>
                <w:highlight w:val="none"/>
                <w:lang w:eastAsia="zh-CN"/>
              </w:rPr>
              <w:t>电抗器，可以抑制电网高次谐波干扰</w:t>
            </w:r>
            <w:r>
              <w:rPr>
                <w:color w:val="auto"/>
                <w:highlight w:val="none"/>
                <w:lang w:eastAsia="zh-CN"/>
              </w:rPr>
              <w:t>,</w:t>
            </w:r>
            <w:r>
              <w:rPr>
                <w:rFonts w:hint="eastAsia"/>
                <w:color w:val="auto"/>
                <w:highlight w:val="none"/>
                <w:lang w:eastAsia="zh-CN"/>
              </w:rPr>
              <w:t>提高功率因数。</w:t>
            </w:r>
          </w:p>
          <w:p>
            <w:pPr>
              <w:rPr>
                <w:color w:val="auto"/>
                <w:highlight w:val="none"/>
                <w:lang w:eastAsia="zh-CN"/>
              </w:rPr>
            </w:pPr>
            <w:r>
              <w:rPr>
                <w:color w:val="auto"/>
                <w:highlight w:val="none"/>
                <w:lang w:eastAsia="zh-CN"/>
              </w:rPr>
              <w:t xml:space="preserve">7)  </w:t>
            </w:r>
            <w:r>
              <w:rPr>
                <w:rFonts w:hint="eastAsia"/>
                <w:color w:val="auto"/>
                <w:highlight w:val="none"/>
                <w:lang w:eastAsia="zh-CN"/>
              </w:rPr>
              <w:t>设有内置电子电动机过载保护；设有定限保护。如限流和限压输出等及跳闸保护包括过电流、过电压、失压停、过热及接地等。</w:t>
            </w:r>
          </w:p>
          <w:p>
            <w:pPr>
              <w:rPr>
                <w:color w:val="auto"/>
                <w:highlight w:val="none"/>
                <w:lang w:eastAsia="zh-CN"/>
              </w:rPr>
            </w:pPr>
            <w:r>
              <w:rPr>
                <w:color w:val="auto"/>
                <w:highlight w:val="none"/>
                <w:lang w:eastAsia="zh-CN"/>
              </w:rPr>
              <w:t xml:space="preserve">8)  </w:t>
            </w:r>
            <w:r>
              <w:rPr>
                <w:rFonts w:hint="eastAsia"/>
                <w:color w:val="auto"/>
                <w:highlight w:val="none"/>
                <w:lang w:eastAsia="zh-CN"/>
              </w:rPr>
              <w:t>能检测供电电源在暂停电及故障后自动起动，并能提供最后</w:t>
            </w:r>
            <w:r>
              <w:rPr>
                <w:color w:val="auto"/>
                <w:highlight w:val="none"/>
                <w:lang w:eastAsia="zh-CN"/>
              </w:rPr>
              <w:t>3</w:t>
            </w:r>
            <w:r>
              <w:rPr>
                <w:rFonts w:hint="eastAsia"/>
                <w:color w:val="auto"/>
                <w:highlight w:val="none"/>
                <w:lang w:eastAsia="zh-CN"/>
              </w:rPr>
              <w:t>次故障记录及其故障时间，包括故障时的电流及频率</w:t>
            </w:r>
            <w:r>
              <w:rPr>
                <w:color w:val="auto"/>
                <w:highlight w:val="none"/>
                <w:lang w:eastAsia="zh-CN"/>
              </w:rPr>
              <w:t>,</w:t>
            </w:r>
            <w:r>
              <w:rPr>
                <w:rFonts w:hint="eastAsia"/>
                <w:color w:val="auto"/>
                <w:highlight w:val="none"/>
                <w:lang w:eastAsia="zh-CN"/>
              </w:rPr>
              <w:t>直流侧电压等。</w:t>
            </w:r>
          </w:p>
          <w:p>
            <w:pPr>
              <w:rPr>
                <w:color w:val="auto"/>
                <w:highlight w:val="none"/>
                <w:lang w:eastAsia="zh-CN"/>
              </w:rPr>
            </w:pPr>
            <w:r>
              <w:rPr>
                <w:color w:val="auto"/>
                <w:highlight w:val="none"/>
                <w:lang w:eastAsia="zh-CN"/>
              </w:rPr>
              <w:t xml:space="preserve">9)  </w:t>
            </w:r>
            <w:r>
              <w:rPr>
                <w:rFonts w:hint="eastAsia"/>
                <w:color w:val="auto"/>
                <w:highlight w:val="none"/>
                <w:lang w:eastAsia="zh-CN"/>
              </w:rPr>
              <w:t>动作在可调校的载波频率调频模式，使得变频器及电动机能达到最佳的效能。</w:t>
            </w:r>
          </w:p>
          <w:p>
            <w:pPr>
              <w:rPr>
                <w:color w:val="auto"/>
                <w:highlight w:val="none"/>
                <w:lang w:eastAsia="zh-CN"/>
              </w:rPr>
            </w:pPr>
            <w:r>
              <w:rPr>
                <w:color w:val="auto"/>
                <w:highlight w:val="none"/>
                <w:lang w:eastAsia="zh-CN"/>
              </w:rPr>
              <w:t xml:space="preserve">10) </w:t>
            </w:r>
            <w:r>
              <w:rPr>
                <w:rFonts w:hint="eastAsia"/>
                <w:color w:val="auto"/>
                <w:highlight w:val="none"/>
                <w:lang w:eastAsia="zh-CN"/>
              </w:rPr>
              <w:t>主电源电压如下降或上升</w:t>
            </w:r>
            <w:r>
              <w:rPr>
                <w:color w:val="auto"/>
                <w:highlight w:val="none"/>
                <w:lang w:eastAsia="zh-CN"/>
              </w:rPr>
              <w:t>10%</w:t>
            </w:r>
            <w:r>
              <w:rPr>
                <w:rFonts w:hint="eastAsia"/>
                <w:color w:val="auto"/>
                <w:highlight w:val="none"/>
                <w:lang w:eastAsia="zh-CN"/>
              </w:rPr>
              <w:t>的时候，依然可以保持额定输出容量。</w:t>
            </w:r>
          </w:p>
          <w:p>
            <w:pPr>
              <w:rPr>
                <w:color w:val="auto"/>
                <w:highlight w:val="none"/>
                <w:lang w:eastAsia="zh-CN"/>
              </w:rPr>
            </w:pPr>
            <w:r>
              <w:rPr>
                <w:color w:val="auto"/>
                <w:highlight w:val="none"/>
                <w:lang w:eastAsia="zh-CN"/>
              </w:rPr>
              <w:t xml:space="preserve">11) </w:t>
            </w:r>
            <w:r>
              <w:rPr>
                <w:rFonts w:hint="eastAsia"/>
                <w:color w:val="auto"/>
                <w:highlight w:val="none"/>
                <w:lang w:eastAsia="zh-CN"/>
              </w:rPr>
              <w:t>附设</w:t>
            </w:r>
            <w:r>
              <w:rPr>
                <w:color w:val="auto"/>
                <w:highlight w:val="none"/>
                <w:lang w:eastAsia="zh-CN"/>
              </w:rPr>
              <w:t>3</w:t>
            </w:r>
            <w:r>
              <w:rPr>
                <w:rFonts w:hint="eastAsia"/>
                <w:color w:val="auto"/>
                <w:highlight w:val="none"/>
                <w:lang w:eastAsia="zh-CN"/>
              </w:rPr>
              <w:t>个可变宽频的跨越频率，能够克服由机械系统或空气系统引起的共振。</w:t>
            </w:r>
          </w:p>
          <w:p>
            <w:pPr>
              <w:rPr>
                <w:color w:val="auto"/>
                <w:highlight w:val="none"/>
                <w:lang w:eastAsia="zh-CN"/>
              </w:rPr>
            </w:pPr>
            <w:r>
              <w:rPr>
                <w:color w:val="auto"/>
                <w:highlight w:val="none"/>
                <w:lang w:eastAsia="zh-CN"/>
              </w:rPr>
              <w:t xml:space="preserve">12) </w:t>
            </w:r>
            <w:r>
              <w:rPr>
                <w:rFonts w:hint="eastAsia"/>
                <w:color w:val="auto"/>
                <w:highlight w:val="none"/>
                <w:lang w:eastAsia="zh-CN"/>
              </w:rPr>
              <w:t>提供两个可选择及能调节的加速</w:t>
            </w:r>
            <w:r>
              <w:rPr>
                <w:color w:val="auto"/>
                <w:highlight w:val="none"/>
                <w:lang w:eastAsia="zh-CN"/>
              </w:rPr>
              <w:t>/</w:t>
            </w:r>
            <w:r>
              <w:rPr>
                <w:rFonts w:hint="eastAsia"/>
                <w:color w:val="auto"/>
                <w:highlight w:val="none"/>
                <w:lang w:eastAsia="zh-CN"/>
              </w:rPr>
              <w:t>减速坡道。</w:t>
            </w:r>
          </w:p>
          <w:p>
            <w:pPr>
              <w:rPr>
                <w:color w:val="auto"/>
                <w:highlight w:val="none"/>
                <w:lang w:eastAsia="zh-CN"/>
              </w:rPr>
            </w:pPr>
            <w:r>
              <w:rPr>
                <w:color w:val="auto"/>
                <w:highlight w:val="none"/>
                <w:lang w:eastAsia="zh-CN"/>
              </w:rPr>
              <w:t xml:space="preserve">13) </w:t>
            </w:r>
            <w:r>
              <w:rPr>
                <w:rFonts w:hint="eastAsia"/>
                <w:color w:val="auto"/>
                <w:highlight w:val="none"/>
                <w:lang w:eastAsia="zh-CN"/>
              </w:rPr>
              <w:t>内置</w:t>
            </w:r>
            <w:r>
              <w:rPr>
                <w:color w:val="auto"/>
                <w:highlight w:val="none"/>
                <w:lang w:eastAsia="zh-CN"/>
              </w:rPr>
              <w:t>PID</w:t>
            </w:r>
            <w:r>
              <w:rPr>
                <w:rFonts w:hint="eastAsia"/>
                <w:color w:val="auto"/>
                <w:highlight w:val="none"/>
                <w:lang w:eastAsia="zh-CN"/>
              </w:rPr>
              <w:t>控制器，不需加接任何调节器就能提供配套设备的压力或流量之循环控制。能接收由发送器发出的</w:t>
            </w:r>
            <w:r>
              <w:rPr>
                <w:color w:val="auto"/>
                <w:highlight w:val="none"/>
                <w:lang w:eastAsia="zh-CN"/>
              </w:rPr>
              <w:t>0</w:t>
            </w:r>
            <w:r>
              <w:rPr>
                <w:rFonts w:hint="eastAsia"/>
                <w:color w:val="auto"/>
                <w:highlight w:val="none"/>
                <w:lang w:eastAsia="zh-CN"/>
              </w:rPr>
              <w:t>－</w:t>
            </w:r>
            <w:r>
              <w:rPr>
                <w:color w:val="auto"/>
                <w:highlight w:val="none"/>
                <w:lang w:eastAsia="zh-CN"/>
              </w:rPr>
              <w:t>10V</w:t>
            </w:r>
            <w:r>
              <w:rPr>
                <w:rFonts w:hint="eastAsia"/>
                <w:color w:val="auto"/>
                <w:highlight w:val="none"/>
                <w:lang w:eastAsia="zh-CN"/>
              </w:rPr>
              <w:t>，</w:t>
            </w:r>
            <w:r>
              <w:rPr>
                <w:color w:val="auto"/>
                <w:highlight w:val="none"/>
                <w:lang w:eastAsia="zh-CN"/>
              </w:rPr>
              <w:t>4</w:t>
            </w:r>
            <w:r>
              <w:rPr>
                <w:rFonts w:hint="eastAsia"/>
                <w:color w:val="auto"/>
                <w:highlight w:val="none"/>
                <w:lang w:eastAsia="zh-CN"/>
              </w:rPr>
              <w:t>－</w:t>
            </w:r>
            <w:r>
              <w:rPr>
                <w:color w:val="auto"/>
                <w:highlight w:val="none"/>
                <w:lang w:eastAsia="zh-CN"/>
              </w:rPr>
              <w:t>20MA</w:t>
            </w:r>
            <w:r>
              <w:rPr>
                <w:rFonts w:hint="eastAsia"/>
                <w:color w:val="auto"/>
                <w:highlight w:val="none"/>
                <w:lang w:eastAsia="zh-CN"/>
              </w:rPr>
              <w:t>，有</w:t>
            </w:r>
            <w:r>
              <w:rPr>
                <w:color w:val="auto"/>
                <w:highlight w:val="none"/>
                <w:lang w:eastAsia="zh-CN"/>
              </w:rPr>
              <w:t>2</w:t>
            </w:r>
            <w:r>
              <w:rPr>
                <w:rFonts w:hint="eastAsia"/>
                <w:color w:val="auto"/>
                <w:highlight w:val="none"/>
                <w:lang w:eastAsia="zh-CN"/>
              </w:rPr>
              <w:t>个模拟输入和</w:t>
            </w:r>
            <w:r>
              <w:rPr>
                <w:color w:val="auto"/>
                <w:highlight w:val="none"/>
                <w:lang w:eastAsia="zh-CN"/>
              </w:rPr>
              <w:t>2</w:t>
            </w:r>
            <w:r>
              <w:rPr>
                <w:rFonts w:hint="eastAsia"/>
                <w:color w:val="auto"/>
                <w:highlight w:val="none"/>
                <w:lang w:eastAsia="zh-CN"/>
              </w:rPr>
              <w:t>个模拟量输出。</w:t>
            </w:r>
          </w:p>
          <w:p>
            <w:pPr>
              <w:rPr>
                <w:color w:val="auto"/>
                <w:highlight w:val="none"/>
                <w:lang w:eastAsia="zh-CN"/>
              </w:rPr>
            </w:pPr>
            <w:r>
              <w:rPr>
                <w:color w:val="auto"/>
                <w:highlight w:val="none"/>
                <w:lang w:eastAsia="zh-CN"/>
              </w:rPr>
              <w:t xml:space="preserve">14) </w:t>
            </w:r>
            <w:r>
              <w:rPr>
                <w:rFonts w:hint="eastAsia"/>
                <w:color w:val="auto"/>
                <w:highlight w:val="none"/>
                <w:lang w:eastAsia="zh-CN"/>
              </w:rPr>
              <w:t>支持飞速起动，能立刻自动把仍在转动中的风机、水泵重新起动及运行至指定速度。</w:t>
            </w:r>
          </w:p>
          <w:p>
            <w:pPr>
              <w:rPr>
                <w:color w:val="auto"/>
                <w:highlight w:val="none"/>
                <w:lang w:eastAsia="zh-CN"/>
              </w:rPr>
            </w:pPr>
            <w:r>
              <w:rPr>
                <w:color w:val="auto"/>
                <w:highlight w:val="none"/>
                <w:lang w:eastAsia="zh-CN"/>
              </w:rPr>
              <w:t>15</w:t>
            </w:r>
            <w:r>
              <w:rPr>
                <w:rFonts w:hint="eastAsia"/>
                <w:color w:val="auto"/>
                <w:highlight w:val="none"/>
                <w:lang w:eastAsia="zh-CN"/>
              </w:rPr>
              <w:t>）设有现场操作及遥控操作二者选择，以配合管理系统应用。</w:t>
            </w:r>
          </w:p>
          <w:p>
            <w:pPr>
              <w:rPr>
                <w:color w:val="auto"/>
                <w:highlight w:val="none"/>
                <w:lang w:eastAsia="zh-CN"/>
              </w:rPr>
            </w:pPr>
            <w:r>
              <w:rPr>
                <w:color w:val="auto"/>
                <w:highlight w:val="none"/>
                <w:lang w:eastAsia="zh-CN"/>
              </w:rPr>
              <w:t xml:space="preserve">16) </w:t>
            </w:r>
            <w:r>
              <w:rPr>
                <w:rFonts w:hint="eastAsia"/>
                <w:color w:val="auto"/>
                <w:highlight w:val="none"/>
                <w:lang w:eastAsia="zh-CN"/>
              </w:rPr>
              <w:t>设有软件锁以防止未经批准之设定更改。</w:t>
            </w:r>
          </w:p>
          <w:p>
            <w:pPr>
              <w:rPr>
                <w:color w:val="auto"/>
                <w:highlight w:val="none"/>
                <w:lang w:eastAsia="zh-CN"/>
              </w:rPr>
            </w:pPr>
            <w:r>
              <w:rPr>
                <w:color w:val="auto"/>
                <w:highlight w:val="none"/>
                <w:lang w:eastAsia="zh-CN"/>
              </w:rPr>
              <w:t xml:space="preserve">17) </w:t>
            </w:r>
            <w:r>
              <w:rPr>
                <w:rFonts w:hint="eastAsia"/>
                <w:color w:val="auto"/>
                <w:highlight w:val="none"/>
                <w:lang w:eastAsia="zh-CN"/>
              </w:rPr>
              <w:t>具有继电器输出卡</w:t>
            </w:r>
            <w:r>
              <w:rPr>
                <w:color w:val="auto"/>
                <w:highlight w:val="none"/>
                <w:lang w:eastAsia="zh-CN"/>
              </w:rPr>
              <w:t>,</w:t>
            </w:r>
            <w:r>
              <w:rPr>
                <w:rFonts w:hint="eastAsia"/>
                <w:color w:val="auto"/>
                <w:highlight w:val="none"/>
                <w:lang w:eastAsia="zh-CN"/>
              </w:rPr>
              <w:t>最多可以控制三台线电源驱动的电机和一台变频器驱动的电机；若电机为一用一备</w:t>
            </w:r>
            <w:r>
              <w:rPr>
                <w:color w:val="auto"/>
                <w:highlight w:val="none"/>
                <w:lang w:eastAsia="zh-CN"/>
              </w:rPr>
              <w:t>,</w:t>
            </w:r>
            <w:r>
              <w:rPr>
                <w:rFonts w:hint="eastAsia"/>
                <w:color w:val="auto"/>
                <w:highlight w:val="none"/>
                <w:lang w:eastAsia="zh-CN"/>
              </w:rPr>
              <w:t>自身可以实现定时自动切换。</w:t>
            </w:r>
          </w:p>
          <w:p>
            <w:pPr>
              <w:rPr>
                <w:color w:val="auto"/>
                <w:highlight w:val="none"/>
                <w:lang w:eastAsia="zh-CN"/>
              </w:rPr>
            </w:pPr>
            <w:r>
              <w:rPr>
                <w:color w:val="auto"/>
                <w:highlight w:val="none"/>
                <w:lang w:eastAsia="zh-CN"/>
              </w:rPr>
              <w:t>18)</w:t>
            </w:r>
            <w:r>
              <w:rPr>
                <w:rFonts w:hint="eastAsia"/>
                <w:color w:val="auto"/>
                <w:highlight w:val="none"/>
                <w:lang w:eastAsia="zh-CN"/>
              </w:rPr>
              <w:t>变频器之间允许采用零间隙并排式安装</w:t>
            </w:r>
            <w:r>
              <w:rPr>
                <w:color w:val="auto"/>
                <w:highlight w:val="none"/>
                <w:lang w:eastAsia="zh-CN"/>
              </w:rPr>
              <w:t>(</w:t>
            </w:r>
            <w:r>
              <w:rPr>
                <w:rFonts w:hint="eastAsia"/>
                <w:color w:val="auto"/>
                <w:highlight w:val="none"/>
                <w:lang w:eastAsia="zh-CN"/>
              </w:rPr>
              <w:t>书架式设计</w:t>
            </w:r>
            <w:r>
              <w:rPr>
                <w:color w:val="auto"/>
                <w:highlight w:val="none"/>
                <w:lang w:eastAsia="zh-CN"/>
              </w:rPr>
              <w:t xml:space="preserve">), </w:t>
            </w:r>
            <w:r>
              <w:rPr>
                <w:rFonts w:hint="eastAsia"/>
                <w:color w:val="auto"/>
                <w:highlight w:val="none"/>
                <w:lang w:eastAsia="zh-CN"/>
              </w:rPr>
              <w:t>在</w:t>
            </w:r>
            <w:r>
              <w:rPr>
                <w:color w:val="auto"/>
                <w:highlight w:val="none"/>
                <w:lang w:eastAsia="zh-CN"/>
              </w:rPr>
              <w:t>500C</w:t>
            </w:r>
            <w:r>
              <w:rPr>
                <w:rFonts w:hint="eastAsia"/>
                <w:color w:val="auto"/>
                <w:highlight w:val="none"/>
                <w:lang w:eastAsia="zh-CN"/>
              </w:rPr>
              <w:t>的工作环境下不需降容使用。</w:t>
            </w:r>
          </w:p>
          <w:p>
            <w:pPr>
              <w:rPr>
                <w:color w:val="auto"/>
                <w:highlight w:val="none"/>
                <w:lang w:eastAsia="zh-CN"/>
              </w:rPr>
            </w:pPr>
            <w:r>
              <w:rPr>
                <w:color w:val="auto"/>
                <w:highlight w:val="none"/>
                <w:lang w:eastAsia="zh-CN"/>
              </w:rPr>
              <w:t>19)</w:t>
            </w:r>
            <w:r>
              <w:rPr>
                <w:rFonts w:hint="eastAsia"/>
                <w:color w:val="auto"/>
                <w:highlight w:val="none"/>
                <w:lang w:eastAsia="zh-CN"/>
              </w:rPr>
              <w:t>控制模式：可以编程选择使用无速度传感器矢量控制模式或电压</w:t>
            </w:r>
            <w:r>
              <w:rPr>
                <w:color w:val="auto"/>
                <w:highlight w:val="none"/>
                <w:lang w:eastAsia="zh-CN"/>
              </w:rPr>
              <w:t>/</w:t>
            </w:r>
            <w:r>
              <w:rPr>
                <w:rFonts w:hint="eastAsia"/>
                <w:color w:val="auto"/>
                <w:highlight w:val="none"/>
                <w:lang w:eastAsia="zh-CN"/>
              </w:rPr>
              <w:t>频率控制模式。电压</w:t>
            </w:r>
            <w:r>
              <w:rPr>
                <w:color w:val="auto"/>
                <w:highlight w:val="none"/>
                <w:lang w:eastAsia="zh-CN"/>
              </w:rPr>
              <w:t>/</w:t>
            </w:r>
            <w:r>
              <w:rPr>
                <w:rFonts w:hint="eastAsia"/>
                <w:color w:val="auto"/>
                <w:highlight w:val="none"/>
                <w:lang w:eastAsia="zh-CN"/>
              </w:rPr>
              <w:t>频率控制模式可以设置为直线、风机</w:t>
            </w:r>
            <w:r>
              <w:rPr>
                <w:color w:val="auto"/>
                <w:highlight w:val="none"/>
                <w:lang w:eastAsia="zh-CN"/>
              </w:rPr>
              <w:t>/</w:t>
            </w:r>
            <w:r>
              <w:rPr>
                <w:rFonts w:hint="eastAsia"/>
                <w:color w:val="auto"/>
                <w:highlight w:val="none"/>
                <w:lang w:eastAsia="zh-CN"/>
              </w:rPr>
              <w:t>水泵曲线或完全自定义模式。</w:t>
            </w:r>
          </w:p>
          <w:p>
            <w:pPr>
              <w:rPr>
                <w:color w:val="auto"/>
                <w:highlight w:val="none"/>
                <w:lang w:eastAsia="zh-CN"/>
              </w:rPr>
            </w:pPr>
            <w:r>
              <w:rPr>
                <w:color w:val="auto"/>
                <w:highlight w:val="none"/>
                <w:lang w:eastAsia="zh-CN"/>
              </w:rPr>
              <w:t>20)</w:t>
            </w:r>
            <w:r>
              <w:rPr>
                <w:rFonts w:hint="eastAsia"/>
                <w:color w:val="auto"/>
                <w:highlight w:val="none"/>
                <w:lang w:eastAsia="zh-CN"/>
              </w:rPr>
              <w:t>变频器有多种可编程停止模式，包括：斜坡运行、惯性、直流制动、斜坡保持和</w:t>
            </w:r>
            <w:r>
              <w:rPr>
                <w:color w:val="auto"/>
                <w:highlight w:val="none"/>
                <w:lang w:eastAsia="zh-CN"/>
              </w:rPr>
              <w:t>S</w:t>
            </w:r>
            <w:r>
              <w:rPr>
                <w:rFonts w:hint="eastAsia"/>
                <w:color w:val="auto"/>
                <w:highlight w:val="none"/>
                <w:lang w:eastAsia="zh-CN"/>
              </w:rPr>
              <w:t>曲线运行</w:t>
            </w:r>
          </w:p>
          <w:p>
            <w:pPr>
              <w:rPr>
                <w:color w:val="auto"/>
                <w:highlight w:val="none"/>
                <w:lang w:eastAsia="zh-CN"/>
              </w:rPr>
            </w:pPr>
            <w:r>
              <w:rPr>
                <w:color w:val="auto"/>
                <w:highlight w:val="none"/>
                <w:lang w:eastAsia="zh-CN"/>
              </w:rPr>
              <w:t>21)PF400P</w:t>
            </w:r>
            <w:r>
              <w:rPr>
                <w:rFonts w:hint="eastAsia"/>
                <w:color w:val="auto"/>
                <w:highlight w:val="none"/>
                <w:lang w:eastAsia="zh-CN"/>
              </w:rPr>
              <w:t>变频器可以有总线控制、端子控制和操作面板控制三种方式，这几种方式可通过逻辑输入</w:t>
            </w:r>
            <w:r>
              <w:rPr>
                <w:color w:val="auto"/>
                <w:highlight w:val="none"/>
                <w:lang w:eastAsia="zh-CN"/>
              </w:rPr>
              <w:t>/</w:t>
            </w:r>
            <w:r>
              <w:rPr>
                <w:rFonts w:hint="eastAsia"/>
                <w:color w:val="auto"/>
                <w:highlight w:val="none"/>
                <w:lang w:eastAsia="zh-CN"/>
              </w:rPr>
              <w:t>或平稳切换，切换时不会影响系统的正常运行</w:t>
            </w:r>
            <w:r>
              <w:rPr>
                <w:color w:val="auto"/>
                <w:highlight w:val="none"/>
                <w:lang w:eastAsia="zh-CN"/>
              </w:rPr>
              <w:t>,</w:t>
            </w:r>
            <w:r>
              <w:rPr>
                <w:rFonts w:hint="eastAsia"/>
                <w:color w:val="auto"/>
                <w:highlight w:val="none"/>
                <w:lang w:eastAsia="zh-CN"/>
              </w:rPr>
              <w:t>自动到手动的切换没有速度波动。</w:t>
            </w:r>
          </w:p>
          <w:p>
            <w:pPr>
              <w:rPr>
                <w:color w:val="auto"/>
                <w:highlight w:val="none"/>
              </w:rPr>
            </w:pPr>
            <w:r>
              <w:rPr>
                <w:color w:val="auto"/>
                <w:highlight w:val="none"/>
              </w:rPr>
              <w:t xml:space="preserve">22) </w:t>
            </w:r>
            <w:r>
              <w:rPr>
                <w:rFonts w:hint="eastAsia"/>
                <w:color w:val="auto"/>
                <w:highlight w:val="none"/>
              </w:rPr>
              <w:t>变频器的通讯</w:t>
            </w:r>
            <w:r>
              <w:rPr>
                <w:color w:val="auto"/>
                <w:highlight w:val="none"/>
              </w:rPr>
              <w:t>:</w:t>
            </w:r>
          </w:p>
          <w:p>
            <w:pPr>
              <w:rPr>
                <w:color w:val="auto"/>
                <w:highlight w:val="none"/>
              </w:rPr>
            </w:pPr>
            <w:r>
              <w:rPr>
                <w:color w:val="auto"/>
                <w:highlight w:val="none"/>
              </w:rPr>
              <w:t xml:space="preserve">a. </w:t>
            </w:r>
            <w:r>
              <w:rPr>
                <w:rFonts w:hint="eastAsia"/>
                <w:color w:val="auto"/>
                <w:highlight w:val="none"/>
              </w:rPr>
              <w:t>内置</w:t>
            </w:r>
            <w:r>
              <w:rPr>
                <w:color w:val="auto"/>
                <w:highlight w:val="none"/>
              </w:rPr>
              <w:t>RS485</w:t>
            </w:r>
            <w:r>
              <w:rPr>
                <w:rFonts w:hint="eastAsia"/>
                <w:color w:val="auto"/>
                <w:highlight w:val="none"/>
              </w:rPr>
              <w:t>口支持</w:t>
            </w:r>
            <w:r>
              <w:rPr>
                <w:color w:val="auto"/>
                <w:highlight w:val="none"/>
              </w:rPr>
              <w:t>Modbus RTU, Metasys N2,SIEMENS P1</w:t>
            </w:r>
            <w:r>
              <w:rPr>
                <w:rFonts w:hint="eastAsia"/>
                <w:color w:val="auto"/>
                <w:highlight w:val="none"/>
              </w:rPr>
              <w:t>协议；</w:t>
            </w:r>
          </w:p>
          <w:p>
            <w:pPr>
              <w:rPr>
                <w:color w:val="auto"/>
                <w:highlight w:val="none"/>
              </w:rPr>
            </w:pPr>
            <w:r>
              <w:rPr>
                <w:rFonts w:hint="eastAsia"/>
                <w:color w:val="auto"/>
                <w:highlight w:val="none"/>
              </w:rPr>
              <w:t>可外配</w:t>
            </w:r>
            <w:r>
              <w:rPr>
                <w:color w:val="auto"/>
                <w:highlight w:val="none"/>
              </w:rPr>
              <w:t xml:space="preserve">DeviceNet, EtherNet/IP, PROFIBUS DP, ControlNet,LONWORKS </w:t>
            </w:r>
            <w:r>
              <w:rPr>
                <w:rFonts w:hint="eastAsia"/>
                <w:color w:val="auto"/>
                <w:highlight w:val="none"/>
              </w:rPr>
              <w:t>通讯卡。</w:t>
            </w:r>
          </w:p>
          <w:p>
            <w:pPr>
              <w:rPr>
                <w:color w:val="auto"/>
                <w:highlight w:val="none"/>
                <w:lang w:eastAsia="zh-CN"/>
              </w:rPr>
            </w:pPr>
            <w:r>
              <w:rPr>
                <w:rFonts w:hint="eastAsia"/>
                <w:color w:val="auto"/>
                <w:highlight w:val="none"/>
                <w:lang w:eastAsia="zh-CN"/>
              </w:rPr>
              <w:t>电机：</w:t>
            </w:r>
          </w:p>
          <w:p>
            <w:pPr>
              <w:rPr>
                <w:color w:val="auto"/>
                <w:highlight w:val="none"/>
                <w:lang w:eastAsia="zh-CN"/>
              </w:rPr>
            </w:pPr>
            <w:r>
              <w:rPr>
                <w:color w:val="auto"/>
                <w:highlight w:val="none"/>
                <w:lang w:eastAsia="zh-CN"/>
              </w:rPr>
              <w:t>1</w:t>
            </w:r>
            <w:r>
              <w:rPr>
                <w:rFonts w:hint="eastAsia"/>
                <w:color w:val="auto"/>
                <w:highlight w:val="none"/>
                <w:lang w:eastAsia="zh-CN"/>
              </w:rPr>
              <w:t>、电机能效为</w:t>
            </w:r>
            <w:r>
              <w:rPr>
                <w:color w:val="auto"/>
                <w:highlight w:val="none"/>
                <w:lang w:eastAsia="zh-CN"/>
              </w:rPr>
              <w:t>EFF1</w:t>
            </w:r>
            <w:r>
              <w:rPr>
                <w:rFonts w:hint="eastAsia"/>
                <w:color w:val="auto"/>
                <w:highlight w:val="none"/>
                <w:lang w:eastAsia="zh-CN"/>
              </w:rPr>
              <w:t>级高效电机</w:t>
            </w:r>
            <w:r>
              <w:rPr>
                <w:color w:val="auto"/>
                <w:highlight w:val="none"/>
                <w:lang w:eastAsia="zh-CN"/>
              </w:rPr>
              <w:t>,</w:t>
            </w:r>
            <w:r>
              <w:rPr>
                <w:rFonts w:hint="eastAsia"/>
                <w:color w:val="auto"/>
                <w:highlight w:val="none"/>
                <w:lang w:eastAsia="zh-CN"/>
              </w:rPr>
              <w:t>同时应符合我国有关电机技术及安全标准要求。</w:t>
            </w:r>
          </w:p>
          <w:p>
            <w:pPr>
              <w:rPr>
                <w:color w:val="auto"/>
                <w:highlight w:val="none"/>
                <w:lang w:eastAsia="zh-CN"/>
              </w:rPr>
            </w:pPr>
            <w:r>
              <w:rPr>
                <w:color w:val="auto"/>
                <w:highlight w:val="none"/>
                <w:lang w:eastAsia="zh-CN"/>
              </w:rPr>
              <w:t>2</w:t>
            </w:r>
            <w:r>
              <w:rPr>
                <w:rFonts w:hint="eastAsia"/>
                <w:color w:val="auto"/>
                <w:highlight w:val="none"/>
                <w:lang w:eastAsia="zh-CN"/>
              </w:rPr>
              <w:t>、电动机应为耐湿热型的风冷全封闭异步电动机，绝缘等级不低于</w:t>
            </w:r>
            <w:r>
              <w:rPr>
                <w:color w:val="auto"/>
                <w:highlight w:val="none"/>
                <w:lang w:eastAsia="zh-CN"/>
              </w:rPr>
              <w:t>F</w:t>
            </w:r>
            <w:r>
              <w:rPr>
                <w:rFonts w:hint="eastAsia"/>
                <w:color w:val="auto"/>
                <w:highlight w:val="none"/>
                <w:lang w:eastAsia="zh-CN"/>
              </w:rPr>
              <w:t>级，防护等级不低于</w:t>
            </w:r>
            <w:r>
              <w:rPr>
                <w:color w:val="auto"/>
                <w:highlight w:val="none"/>
                <w:lang w:eastAsia="zh-CN"/>
              </w:rPr>
              <w:t>IP54</w:t>
            </w:r>
            <w:r>
              <w:rPr>
                <w:rFonts w:hint="eastAsia"/>
                <w:color w:val="auto"/>
                <w:highlight w:val="none"/>
                <w:lang w:eastAsia="zh-CN"/>
              </w:rPr>
              <w:t>，电机配置</w:t>
            </w:r>
            <w:r>
              <w:rPr>
                <w:color w:val="auto"/>
                <w:highlight w:val="none"/>
                <w:lang w:eastAsia="zh-CN"/>
              </w:rPr>
              <w:t>PTC</w:t>
            </w:r>
            <w:r>
              <w:rPr>
                <w:rFonts w:hint="eastAsia"/>
                <w:color w:val="auto"/>
                <w:highlight w:val="none"/>
                <w:lang w:eastAsia="zh-CN"/>
              </w:rPr>
              <w:t>过热保护装置，电机应方便安装、调整。</w:t>
            </w:r>
          </w:p>
          <w:p>
            <w:pPr>
              <w:rPr>
                <w:color w:val="auto"/>
                <w:highlight w:val="none"/>
                <w:lang w:eastAsia="zh-CN"/>
              </w:rPr>
            </w:pPr>
            <w:r>
              <w:rPr>
                <w:color w:val="auto"/>
                <w:highlight w:val="none"/>
                <w:lang w:eastAsia="zh-CN"/>
              </w:rPr>
              <w:t>3</w:t>
            </w:r>
            <w:r>
              <w:rPr>
                <w:rFonts w:hint="eastAsia"/>
                <w:color w:val="auto"/>
                <w:highlight w:val="none"/>
                <w:lang w:eastAsia="zh-CN"/>
              </w:rPr>
              <w:t>、电机配套功率必须大于风机吸收功率</w:t>
            </w:r>
            <w:r>
              <w:rPr>
                <w:color w:val="auto"/>
                <w:highlight w:val="none"/>
                <w:lang w:eastAsia="zh-CN"/>
              </w:rPr>
              <w:t>20%</w:t>
            </w:r>
            <w:r>
              <w:rPr>
                <w:rFonts w:hint="eastAsia"/>
                <w:color w:val="auto"/>
                <w:highlight w:val="none"/>
                <w:lang w:eastAsia="zh-CN"/>
              </w:rPr>
              <w:t>；</w:t>
            </w:r>
            <w:r>
              <w:rPr>
                <w:color w:val="auto"/>
                <w:highlight w:val="none"/>
                <w:lang w:eastAsia="zh-CN"/>
              </w:rPr>
              <w:t xml:space="preserve"> </w:t>
            </w:r>
            <w:r>
              <w:rPr>
                <w:rFonts w:hint="eastAsia"/>
                <w:color w:val="auto"/>
                <w:highlight w:val="none"/>
                <w:lang w:eastAsia="zh-CN"/>
              </w:rPr>
              <w:t>电机功率不得超过设计功率的</w:t>
            </w:r>
            <w:r>
              <w:rPr>
                <w:color w:val="auto"/>
                <w:highlight w:val="none"/>
                <w:lang w:eastAsia="zh-CN"/>
              </w:rPr>
              <w:t>110%</w:t>
            </w:r>
            <w:r>
              <w:rPr>
                <w:rFonts w:hint="eastAsia"/>
                <w:color w:val="auto"/>
                <w:highlight w:val="none"/>
                <w:lang w:eastAsia="zh-CN"/>
              </w:rPr>
              <w:t>。</w:t>
            </w:r>
          </w:p>
          <w:p>
            <w:pPr>
              <w:rPr>
                <w:color w:val="auto"/>
                <w:highlight w:val="none"/>
                <w:lang w:eastAsia="zh-CN"/>
              </w:rPr>
            </w:pPr>
            <w:r>
              <w:rPr>
                <w:color w:val="auto"/>
                <w:highlight w:val="none"/>
                <w:lang w:eastAsia="zh-CN"/>
              </w:rPr>
              <w:t>4</w:t>
            </w:r>
            <w:r>
              <w:rPr>
                <w:rFonts w:hint="eastAsia"/>
                <w:color w:val="auto"/>
                <w:highlight w:val="none"/>
                <w:lang w:eastAsia="zh-CN"/>
              </w:rPr>
              <w:t>、电动机应能在温度≤</w:t>
            </w:r>
            <w:r>
              <w:rPr>
                <w:color w:val="auto"/>
                <w:highlight w:val="none"/>
                <w:lang w:eastAsia="zh-CN"/>
              </w:rPr>
              <w:t>40</w:t>
            </w:r>
            <w:r>
              <w:rPr>
                <w:rFonts w:hint="eastAsia"/>
                <w:color w:val="auto"/>
                <w:highlight w:val="none"/>
                <w:lang w:eastAsia="zh-CN"/>
              </w:rPr>
              <w:t>℃，相对湿度≤</w:t>
            </w:r>
            <w:r>
              <w:rPr>
                <w:color w:val="auto"/>
                <w:highlight w:val="none"/>
                <w:lang w:eastAsia="zh-CN"/>
              </w:rPr>
              <w:t>90%</w:t>
            </w:r>
            <w:r>
              <w:rPr>
                <w:rFonts w:hint="eastAsia"/>
                <w:color w:val="auto"/>
                <w:highlight w:val="none"/>
                <w:lang w:eastAsia="zh-CN"/>
              </w:rPr>
              <w:t>的环境中存储和连续运行，电动机应按原产地所在国有关标准制造并提供应所采用的制造标准，同时应符合我国有关电机安全标准要求。</w:t>
            </w:r>
          </w:p>
          <w:p>
            <w:pPr>
              <w:rPr>
                <w:color w:val="auto"/>
                <w:highlight w:val="none"/>
                <w:lang w:eastAsia="zh-CN"/>
              </w:rPr>
            </w:pPr>
            <w:r>
              <w:rPr>
                <w:color w:val="auto"/>
                <w:highlight w:val="none"/>
                <w:lang w:eastAsia="zh-CN"/>
              </w:rPr>
              <w:t>5</w:t>
            </w:r>
            <w:r>
              <w:rPr>
                <w:rFonts w:hint="eastAsia"/>
                <w:color w:val="auto"/>
                <w:highlight w:val="none"/>
                <w:lang w:eastAsia="zh-CN"/>
              </w:rPr>
              <w:t>、电机应方便安装、调整，与风机组成的机架应有双向调节功能（电机可前后、左右调节）。</w:t>
            </w:r>
          </w:p>
          <w:p>
            <w:pPr>
              <w:rPr>
                <w:color w:val="auto"/>
                <w:highlight w:val="none"/>
                <w:lang w:eastAsia="zh-CN"/>
              </w:rPr>
            </w:pPr>
            <w:r>
              <w:rPr>
                <w:rFonts w:hint="eastAsia"/>
                <w:color w:val="auto"/>
                <w:highlight w:val="none"/>
                <w:lang w:eastAsia="zh-CN"/>
              </w:rPr>
              <w:t>换热盘管：</w:t>
            </w:r>
          </w:p>
          <w:p>
            <w:pPr>
              <w:rPr>
                <w:color w:val="auto"/>
                <w:highlight w:val="none"/>
                <w:lang w:eastAsia="zh-CN"/>
              </w:rPr>
            </w:pPr>
            <w:r>
              <w:rPr>
                <w:color w:val="auto"/>
                <w:highlight w:val="none"/>
                <w:lang w:eastAsia="zh-CN"/>
              </w:rPr>
              <w:t>1</w:t>
            </w:r>
            <w:r>
              <w:rPr>
                <w:rFonts w:hint="eastAsia"/>
                <w:color w:val="auto"/>
                <w:highlight w:val="none"/>
                <w:lang w:eastAsia="zh-CN"/>
              </w:rPr>
              <w:t>、铜管采用优质紫铜管。</w:t>
            </w:r>
          </w:p>
          <w:p>
            <w:pPr>
              <w:rPr>
                <w:color w:val="auto"/>
                <w:highlight w:val="none"/>
                <w:lang w:eastAsia="zh-CN"/>
              </w:rPr>
            </w:pPr>
            <w:r>
              <w:rPr>
                <w:color w:val="auto"/>
                <w:highlight w:val="none"/>
                <w:lang w:eastAsia="zh-CN"/>
              </w:rPr>
              <w:t>2</w:t>
            </w:r>
            <w:r>
              <w:rPr>
                <w:rFonts w:hint="eastAsia"/>
                <w:color w:val="auto"/>
                <w:highlight w:val="none"/>
                <w:lang w:eastAsia="zh-CN"/>
              </w:rPr>
              <w:t>、翅片采用优质铝箔制作，应采用高效翅片型式。</w:t>
            </w:r>
          </w:p>
          <w:p>
            <w:pPr>
              <w:rPr>
                <w:color w:val="auto"/>
                <w:highlight w:val="none"/>
                <w:lang w:eastAsia="zh-CN"/>
              </w:rPr>
            </w:pPr>
            <w:r>
              <w:rPr>
                <w:color w:val="auto"/>
                <w:highlight w:val="none"/>
                <w:lang w:eastAsia="zh-CN"/>
              </w:rPr>
              <w:t>3</w:t>
            </w:r>
            <w:r>
              <w:rPr>
                <w:rFonts w:hint="eastAsia"/>
                <w:color w:val="auto"/>
                <w:highlight w:val="none"/>
                <w:lang w:eastAsia="zh-CN"/>
              </w:rPr>
              <w:t>、进出集水管应采用壁厚</w:t>
            </w:r>
            <w:r>
              <w:rPr>
                <w:color w:val="auto"/>
                <w:highlight w:val="none"/>
              </w:rPr>
              <w:t>δ</w:t>
            </w:r>
            <w:r>
              <w:rPr>
                <w:rFonts w:hint="eastAsia"/>
                <w:color w:val="auto"/>
                <w:highlight w:val="none"/>
                <w:lang w:eastAsia="zh-CN"/>
              </w:rPr>
              <w:t>≥</w:t>
            </w:r>
            <w:r>
              <w:rPr>
                <w:color w:val="auto"/>
                <w:highlight w:val="none"/>
                <w:lang w:eastAsia="zh-CN"/>
              </w:rPr>
              <w:t>3mm</w:t>
            </w:r>
            <w:r>
              <w:rPr>
                <w:rFonts w:hint="eastAsia"/>
                <w:color w:val="auto"/>
                <w:highlight w:val="none"/>
                <w:lang w:eastAsia="zh-CN"/>
              </w:rPr>
              <w:t>的铜管，顶端设排气阀，底部设排水阀或旋塞。</w:t>
            </w:r>
          </w:p>
          <w:p>
            <w:pPr>
              <w:rPr>
                <w:color w:val="auto"/>
                <w:highlight w:val="none"/>
                <w:lang w:eastAsia="zh-CN"/>
              </w:rPr>
            </w:pPr>
            <w:r>
              <w:rPr>
                <w:color w:val="auto"/>
                <w:highlight w:val="none"/>
                <w:lang w:eastAsia="zh-CN"/>
              </w:rPr>
              <w:t>4</w:t>
            </w:r>
            <w:r>
              <w:rPr>
                <w:rFonts w:hint="eastAsia"/>
                <w:color w:val="auto"/>
                <w:highlight w:val="none"/>
                <w:lang w:eastAsia="zh-CN"/>
              </w:rPr>
              <w:t>、盘管采用铜管串铝翅片通过整体机械胀管连接而成，铜管与翅片间应紧密结合，以减少接触热阻。</w:t>
            </w:r>
          </w:p>
          <w:p>
            <w:pPr>
              <w:rPr>
                <w:color w:val="auto"/>
                <w:highlight w:val="none"/>
                <w:lang w:eastAsia="zh-CN"/>
              </w:rPr>
            </w:pPr>
            <w:r>
              <w:rPr>
                <w:color w:val="auto"/>
                <w:highlight w:val="none"/>
                <w:lang w:eastAsia="zh-CN"/>
              </w:rPr>
              <w:t>5</w:t>
            </w:r>
            <w:r>
              <w:rPr>
                <w:rFonts w:hint="eastAsia"/>
                <w:color w:val="auto"/>
                <w:highlight w:val="none"/>
                <w:lang w:eastAsia="zh-CN"/>
              </w:rPr>
              <w:t>、凝结水盘采用不锈钢制作，水盘应加工成带有一定的坡度保证水盘内无积水。水盘底部采用难燃</w:t>
            </w:r>
            <w:r>
              <w:rPr>
                <w:color w:val="auto"/>
                <w:highlight w:val="none"/>
                <w:lang w:eastAsia="zh-CN"/>
              </w:rPr>
              <w:t>B1</w:t>
            </w:r>
            <w:r>
              <w:rPr>
                <w:rFonts w:hint="eastAsia"/>
                <w:color w:val="auto"/>
                <w:highlight w:val="none"/>
                <w:lang w:eastAsia="zh-CN"/>
              </w:rPr>
              <w:t>级的橡塑板材保温。</w:t>
            </w:r>
          </w:p>
          <w:p>
            <w:pPr>
              <w:rPr>
                <w:color w:val="auto"/>
                <w:highlight w:val="none"/>
                <w:lang w:eastAsia="zh-CN"/>
              </w:rPr>
            </w:pPr>
            <w:r>
              <w:rPr>
                <w:color w:val="auto"/>
                <w:highlight w:val="none"/>
                <w:lang w:eastAsia="zh-CN"/>
              </w:rPr>
              <w:t>6</w:t>
            </w:r>
            <w:r>
              <w:rPr>
                <w:rFonts w:hint="eastAsia"/>
                <w:color w:val="auto"/>
                <w:highlight w:val="none"/>
                <w:lang w:eastAsia="zh-CN"/>
              </w:rPr>
              <w:t>、盘管应经气压或水压试验合格，满足规定的工作压力要求。（附报告）</w:t>
            </w:r>
          </w:p>
          <w:p>
            <w:pPr>
              <w:rPr>
                <w:color w:val="auto"/>
                <w:highlight w:val="none"/>
                <w:lang w:eastAsia="zh-CN"/>
              </w:rPr>
            </w:pPr>
            <w:r>
              <w:rPr>
                <w:color w:val="auto"/>
                <w:highlight w:val="none"/>
                <w:lang w:eastAsia="zh-CN"/>
              </w:rPr>
              <w:t>7</w:t>
            </w:r>
            <w:r>
              <w:rPr>
                <w:rFonts w:hint="eastAsia"/>
                <w:color w:val="auto"/>
                <w:highlight w:val="none"/>
                <w:lang w:eastAsia="zh-CN"/>
              </w:rPr>
              <w:t>、水管接口方向应符合本招标文件设备清单中的要求，如采用法兰连接，每个接口应配带国标法兰。</w:t>
            </w:r>
          </w:p>
          <w:p>
            <w:pPr>
              <w:rPr>
                <w:color w:val="auto"/>
                <w:highlight w:val="none"/>
                <w:lang w:eastAsia="zh-CN"/>
              </w:rPr>
            </w:pPr>
            <w:r>
              <w:rPr>
                <w:color w:val="auto"/>
                <w:highlight w:val="none"/>
                <w:lang w:eastAsia="zh-CN"/>
              </w:rPr>
              <w:t>8</w:t>
            </w:r>
            <w:r>
              <w:rPr>
                <w:rFonts w:hint="eastAsia"/>
                <w:color w:val="auto"/>
                <w:highlight w:val="none"/>
                <w:lang w:eastAsia="zh-CN"/>
              </w:rPr>
              <w:t>、表冷器水阻不得超过</w:t>
            </w:r>
            <w:r>
              <w:rPr>
                <w:color w:val="auto"/>
                <w:highlight w:val="none"/>
                <w:lang w:eastAsia="zh-CN"/>
              </w:rPr>
              <w:t>60kPa</w:t>
            </w:r>
            <w:r>
              <w:rPr>
                <w:rFonts w:hint="eastAsia"/>
                <w:color w:val="auto"/>
                <w:highlight w:val="none"/>
                <w:lang w:eastAsia="zh-CN"/>
              </w:rPr>
              <w:t>。</w:t>
            </w:r>
          </w:p>
          <w:p>
            <w:pPr>
              <w:rPr>
                <w:color w:val="auto"/>
                <w:highlight w:val="none"/>
                <w:lang w:eastAsia="zh-CN"/>
              </w:rPr>
            </w:pPr>
            <w:r>
              <w:rPr>
                <w:color w:val="auto"/>
                <w:highlight w:val="none"/>
                <w:lang w:eastAsia="zh-CN"/>
              </w:rPr>
              <w:t>9</w:t>
            </w:r>
            <w:r>
              <w:rPr>
                <w:rFonts w:hint="eastAsia"/>
                <w:color w:val="auto"/>
                <w:highlight w:val="none"/>
                <w:lang w:eastAsia="zh-CN"/>
              </w:rPr>
              <w:t>、通过盘管的迎面风速超过</w:t>
            </w:r>
            <w:r>
              <w:rPr>
                <w:color w:val="auto"/>
                <w:highlight w:val="none"/>
                <w:lang w:eastAsia="zh-CN"/>
              </w:rPr>
              <w:t>2.5m/s</w:t>
            </w:r>
            <w:r>
              <w:rPr>
                <w:rFonts w:hint="eastAsia"/>
                <w:color w:val="auto"/>
                <w:highlight w:val="none"/>
                <w:lang w:eastAsia="zh-CN"/>
              </w:rPr>
              <w:t>时，应设挡水板，挡水板应采用玻璃钢或铝合金材料制作。</w:t>
            </w:r>
          </w:p>
          <w:p>
            <w:pPr>
              <w:rPr>
                <w:color w:val="auto"/>
                <w:highlight w:val="none"/>
                <w:lang w:eastAsia="zh-CN"/>
              </w:rPr>
            </w:pPr>
            <w:r>
              <w:rPr>
                <w:color w:val="auto"/>
                <w:highlight w:val="none"/>
                <w:lang w:eastAsia="zh-CN"/>
              </w:rPr>
              <w:t>10</w:t>
            </w:r>
            <w:r>
              <w:rPr>
                <w:rFonts w:hint="eastAsia"/>
                <w:color w:val="auto"/>
                <w:highlight w:val="none"/>
                <w:lang w:eastAsia="zh-CN"/>
              </w:rPr>
              <w:t>、表冷器盘管应满足招标要求的技术参数，在设计时应考虑一定的安全系数。</w:t>
            </w:r>
          </w:p>
          <w:p>
            <w:pPr>
              <w:rPr>
                <w:color w:val="auto"/>
                <w:highlight w:val="none"/>
                <w:lang w:eastAsia="zh-CN"/>
              </w:rPr>
            </w:pPr>
            <w:r>
              <w:rPr>
                <w:color w:val="auto"/>
                <w:highlight w:val="none"/>
                <w:lang w:eastAsia="zh-CN"/>
              </w:rPr>
              <w:t>11</w:t>
            </w:r>
            <w:r>
              <w:rPr>
                <w:rFonts w:hint="eastAsia"/>
                <w:color w:val="auto"/>
                <w:highlight w:val="none"/>
                <w:lang w:eastAsia="zh-CN"/>
              </w:rPr>
              <w:t>、冷热水盘管：优质紫铜管套具有环氧涂层防腐铝翅片，最大工作压力</w:t>
            </w:r>
            <w:r>
              <w:rPr>
                <w:color w:val="auto"/>
                <w:highlight w:val="none"/>
                <w:lang w:eastAsia="zh-CN"/>
              </w:rPr>
              <w:t>2.5MPa</w:t>
            </w:r>
            <w:r>
              <w:rPr>
                <w:rFonts w:hint="eastAsia"/>
                <w:color w:val="auto"/>
                <w:highlight w:val="none"/>
                <w:lang w:eastAsia="zh-CN"/>
              </w:rPr>
              <w:t>；</w:t>
            </w:r>
            <w:r>
              <w:rPr>
                <w:color w:val="auto"/>
                <w:highlight w:val="none"/>
                <w:lang w:eastAsia="zh-CN"/>
              </w:rPr>
              <w:t xml:space="preserve"> </w:t>
            </w:r>
          </w:p>
          <w:p>
            <w:pPr>
              <w:rPr>
                <w:color w:val="auto"/>
                <w:highlight w:val="none"/>
                <w:lang w:eastAsia="zh-CN"/>
              </w:rPr>
            </w:pPr>
            <w:r>
              <w:rPr>
                <w:color w:val="auto"/>
                <w:highlight w:val="none"/>
                <w:lang w:eastAsia="zh-CN"/>
              </w:rPr>
              <w:t>12</w:t>
            </w:r>
            <w:r>
              <w:rPr>
                <w:rFonts w:hint="eastAsia"/>
                <w:color w:val="auto"/>
                <w:highlight w:val="none"/>
                <w:lang w:eastAsia="zh-CN"/>
              </w:rPr>
              <w:t>、换热盘管边框采用不低于</w:t>
            </w:r>
            <w:r>
              <w:rPr>
                <w:color w:val="auto"/>
                <w:highlight w:val="none"/>
                <w:lang w:eastAsia="zh-CN"/>
              </w:rPr>
              <w:t>304</w:t>
            </w:r>
            <w:r>
              <w:rPr>
                <w:rFonts w:hint="eastAsia"/>
                <w:color w:val="auto"/>
                <w:highlight w:val="none"/>
                <w:lang w:eastAsia="zh-CN"/>
              </w:rPr>
              <w:t>不锈钢材料制作。</w:t>
            </w:r>
          </w:p>
          <w:p>
            <w:pPr>
              <w:rPr>
                <w:color w:val="auto"/>
                <w:highlight w:val="none"/>
                <w:lang w:eastAsia="zh-CN"/>
              </w:rPr>
            </w:pPr>
            <w:r>
              <w:rPr>
                <w:rFonts w:hint="eastAsia"/>
                <w:color w:val="auto"/>
                <w:highlight w:val="none"/>
                <w:lang w:eastAsia="zh-CN"/>
              </w:rPr>
              <w:t>其他：</w:t>
            </w:r>
          </w:p>
          <w:p>
            <w:pPr>
              <w:rPr>
                <w:color w:val="auto"/>
                <w:highlight w:val="none"/>
                <w:lang w:eastAsia="zh-CN"/>
              </w:rPr>
            </w:pPr>
            <w:r>
              <w:rPr>
                <w:color w:val="auto"/>
                <w:highlight w:val="none"/>
                <w:lang w:eastAsia="zh-CN"/>
              </w:rPr>
              <w:t>1</w:t>
            </w:r>
            <w:r>
              <w:rPr>
                <w:rFonts w:hint="eastAsia"/>
                <w:color w:val="auto"/>
                <w:highlight w:val="none"/>
                <w:lang w:eastAsia="zh-CN"/>
              </w:rPr>
              <w:t>、风量和风压：风量投标值不得低于招标值（设计值）的</w:t>
            </w:r>
            <w:r>
              <w:rPr>
                <w:color w:val="auto"/>
                <w:highlight w:val="none"/>
                <w:lang w:eastAsia="zh-CN"/>
              </w:rPr>
              <w:t>97%</w:t>
            </w:r>
            <w:r>
              <w:rPr>
                <w:rFonts w:hint="eastAsia"/>
                <w:color w:val="auto"/>
                <w:highlight w:val="none"/>
                <w:lang w:eastAsia="zh-CN"/>
              </w:rPr>
              <w:t>，风量投标值不得高于招标值（设计值）的</w:t>
            </w:r>
            <w:r>
              <w:rPr>
                <w:color w:val="auto"/>
                <w:highlight w:val="none"/>
                <w:lang w:eastAsia="zh-CN"/>
              </w:rPr>
              <w:t>103%</w:t>
            </w:r>
            <w:r>
              <w:rPr>
                <w:rFonts w:hint="eastAsia"/>
                <w:color w:val="auto"/>
                <w:highlight w:val="none"/>
                <w:lang w:eastAsia="zh-CN"/>
              </w:rPr>
              <w:t>。风量、风压实测值不得低于投标值的</w:t>
            </w:r>
            <w:r>
              <w:rPr>
                <w:color w:val="auto"/>
                <w:highlight w:val="none"/>
                <w:lang w:eastAsia="zh-CN"/>
              </w:rPr>
              <w:t>95%</w:t>
            </w:r>
            <w:r>
              <w:rPr>
                <w:rFonts w:hint="eastAsia"/>
                <w:color w:val="auto"/>
                <w:highlight w:val="none"/>
                <w:lang w:eastAsia="zh-CN"/>
              </w:rPr>
              <w:t>，风量、风压实测值不得高于投标值的</w:t>
            </w:r>
            <w:r>
              <w:rPr>
                <w:color w:val="auto"/>
                <w:highlight w:val="none"/>
                <w:lang w:eastAsia="zh-CN"/>
              </w:rPr>
              <w:t>105%</w:t>
            </w:r>
            <w:r>
              <w:rPr>
                <w:rFonts w:hint="eastAsia"/>
                <w:color w:val="auto"/>
                <w:highlight w:val="none"/>
                <w:lang w:eastAsia="zh-CN"/>
              </w:rPr>
              <w:t>。</w:t>
            </w:r>
          </w:p>
          <w:p>
            <w:pPr>
              <w:rPr>
                <w:color w:val="auto"/>
                <w:highlight w:val="none"/>
                <w:lang w:eastAsia="zh-CN"/>
              </w:rPr>
            </w:pPr>
            <w:r>
              <w:rPr>
                <w:color w:val="auto"/>
                <w:highlight w:val="none"/>
                <w:lang w:eastAsia="zh-CN"/>
              </w:rPr>
              <w:t>2</w:t>
            </w:r>
            <w:r>
              <w:rPr>
                <w:rFonts w:hint="eastAsia"/>
                <w:color w:val="auto"/>
                <w:highlight w:val="none"/>
                <w:lang w:eastAsia="zh-CN"/>
              </w:rPr>
              <w:t>、漏风量：机组内静压保存</w:t>
            </w:r>
            <w:r>
              <w:rPr>
                <w:color w:val="auto"/>
                <w:highlight w:val="none"/>
                <w:lang w:eastAsia="zh-CN"/>
              </w:rPr>
              <w:t>700Pa</w:t>
            </w:r>
            <w:r>
              <w:rPr>
                <w:rFonts w:hint="eastAsia"/>
                <w:color w:val="auto"/>
                <w:highlight w:val="none"/>
                <w:lang w:eastAsia="zh-CN"/>
              </w:rPr>
              <w:t>时，机组漏风量不大于</w:t>
            </w:r>
            <w:r>
              <w:rPr>
                <w:color w:val="auto"/>
                <w:highlight w:val="none"/>
                <w:lang w:eastAsia="zh-CN"/>
              </w:rPr>
              <w:t>2%</w:t>
            </w:r>
            <w:r>
              <w:rPr>
                <w:rFonts w:hint="eastAsia"/>
                <w:color w:val="auto"/>
                <w:highlight w:val="none"/>
                <w:lang w:eastAsia="zh-CN"/>
              </w:rPr>
              <w:t>。</w:t>
            </w:r>
          </w:p>
          <w:p>
            <w:pPr>
              <w:rPr>
                <w:color w:val="auto"/>
                <w:highlight w:val="none"/>
                <w:lang w:eastAsia="zh-CN"/>
              </w:rPr>
            </w:pPr>
            <w:r>
              <w:rPr>
                <w:color w:val="auto"/>
                <w:highlight w:val="none"/>
                <w:lang w:eastAsia="zh-CN"/>
              </w:rPr>
              <w:t>3</w:t>
            </w:r>
            <w:r>
              <w:rPr>
                <w:rFonts w:hint="eastAsia"/>
                <w:color w:val="auto"/>
                <w:highlight w:val="none"/>
                <w:lang w:eastAsia="zh-CN"/>
              </w:rPr>
              <w:t>、供冷量：投标值不得低于招标值（设计值）的</w:t>
            </w:r>
            <w:r>
              <w:rPr>
                <w:color w:val="auto"/>
                <w:highlight w:val="none"/>
                <w:lang w:eastAsia="zh-CN"/>
              </w:rPr>
              <w:t>97%</w:t>
            </w:r>
            <w:r>
              <w:rPr>
                <w:rFonts w:hint="eastAsia"/>
                <w:color w:val="auto"/>
                <w:highlight w:val="none"/>
                <w:lang w:eastAsia="zh-CN"/>
              </w:rPr>
              <w:t>，实测值不得低于投标值的</w:t>
            </w:r>
            <w:r>
              <w:rPr>
                <w:color w:val="auto"/>
                <w:highlight w:val="none"/>
                <w:lang w:eastAsia="zh-CN"/>
              </w:rPr>
              <w:t>95%</w:t>
            </w:r>
            <w:r>
              <w:rPr>
                <w:rFonts w:hint="eastAsia"/>
                <w:color w:val="auto"/>
                <w:highlight w:val="none"/>
                <w:lang w:eastAsia="zh-CN"/>
              </w:rPr>
              <w:t>，投标值不得高于招标值（设计值）的</w:t>
            </w:r>
            <w:r>
              <w:rPr>
                <w:color w:val="auto"/>
                <w:highlight w:val="none"/>
                <w:lang w:eastAsia="zh-CN"/>
              </w:rPr>
              <w:t>103%</w:t>
            </w:r>
            <w:r>
              <w:rPr>
                <w:rFonts w:hint="eastAsia"/>
                <w:color w:val="auto"/>
                <w:highlight w:val="none"/>
                <w:lang w:eastAsia="zh-CN"/>
              </w:rPr>
              <w:t>，实测值不得高于投标值的</w:t>
            </w:r>
            <w:r>
              <w:rPr>
                <w:color w:val="auto"/>
                <w:highlight w:val="none"/>
                <w:lang w:eastAsia="zh-CN"/>
              </w:rPr>
              <w:t>105%</w:t>
            </w:r>
            <w:r>
              <w:rPr>
                <w:rFonts w:hint="eastAsia"/>
                <w:color w:val="auto"/>
                <w:highlight w:val="none"/>
                <w:lang w:eastAsia="zh-CN"/>
              </w:rPr>
              <w:t>。</w:t>
            </w:r>
          </w:p>
          <w:p>
            <w:pPr>
              <w:rPr>
                <w:color w:val="auto"/>
                <w:highlight w:val="none"/>
                <w:lang w:eastAsia="zh-CN"/>
              </w:rPr>
            </w:pPr>
            <w:r>
              <w:rPr>
                <w:color w:val="auto"/>
                <w:highlight w:val="none"/>
                <w:lang w:eastAsia="zh-CN"/>
              </w:rPr>
              <w:t>4</w:t>
            </w:r>
            <w:r>
              <w:rPr>
                <w:rFonts w:hint="eastAsia"/>
                <w:color w:val="auto"/>
                <w:highlight w:val="none"/>
                <w:lang w:eastAsia="zh-CN"/>
              </w:rPr>
              <w:t>、机组噪声：满足</w:t>
            </w:r>
            <w:r>
              <w:rPr>
                <w:color w:val="auto"/>
                <w:highlight w:val="none"/>
                <w:lang w:eastAsia="zh-CN"/>
              </w:rPr>
              <w:t>JB/T9066-1999</w:t>
            </w:r>
            <w:r>
              <w:rPr>
                <w:rFonts w:hint="eastAsia"/>
                <w:color w:val="auto"/>
                <w:highlight w:val="none"/>
                <w:lang w:eastAsia="zh-CN"/>
              </w:rPr>
              <w:t>和</w:t>
            </w:r>
            <w:r>
              <w:rPr>
                <w:color w:val="auto"/>
                <w:highlight w:val="none"/>
                <w:lang w:eastAsia="zh-CN"/>
              </w:rPr>
              <w:t>GB/T14294-93</w:t>
            </w:r>
            <w:r>
              <w:rPr>
                <w:rFonts w:hint="eastAsia"/>
                <w:color w:val="auto"/>
                <w:highlight w:val="none"/>
                <w:lang w:eastAsia="zh-CN"/>
              </w:rPr>
              <w:t>要求。</w:t>
            </w:r>
          </w:p>
          <w:p>
            <w:pPr>
              <w:rPr>
                <w:color w:val="auto"/>
                <w:highlight w:val="none"/>
                <w:lang w:eastAsia="zh-CN"/>
              </w:rPr>
            </w:pPr>
            <w:r>
              <w:rPr>
                <w:color w:val="auto"/>
                <w:highlight w:val="none"/>
                <w:lang w:eastAsia="zh-CN"/>
              </w:rPr>
              <w:t>5</w:t>
            </w:r>
            <w:r>
              <w:rPr>
                <w:rFonts w:hint="eastAsia"/>
                <w:color w:val="auto"/>
                <w:highlight w:val="none"/>
                <w:lang w:eastAsia="zh-CN"/>
              </w:rPr>
              <w:t>、机组振动：风机转速大于</w:t>
            </w:r>
            <w:r>
              <w:rPr>
                <w:color w:val="auto"/>
                <w:highlight w:val="none"/>
                <w:lang w:eastAsia="zh-CN"/>
              </w:rPr>
              <w:t>800rpm</w:t>
            </w:r>
            <w:r>
              <w:rPr>
                <w:rFonts w:hint="eastAsia"/>
                <w:color w:val="auto"/>
                <w:highlight w:val="none"/>
                <w:lang w:eastAsia="zh-CN"/>
              </w:rPr>
              <w:t>时，振动速度不大于</w:t>
            </w:r>
            <w:r>
              <w:rPr>
                <w:color w:val="auto"/>
                <w:highlight w:val="none"/>
                <w:lang w:eastAsia="zh-CN"/>
              </w:rPr>
              <w:t>4mm/s</w:t>
            </w:r>
            <w:r>
              <w:rPr>
                <w:rFonts w:hint="eastAsia"/>
                <w:color w:val="auto"/>
                <w:highlight w:val="none"/>
                <w:lang w:eastAsia="zh-CN"/>
              </w:rPr>
              <w:t>；风机转速小于等于</w:t>
            </w:r>
            <w:r>
              <w:rPr>
                <w:color w:val="auto"/>
                <w:highlight w:val="none"/>
                <w:lang w:eastAsia="zh-CN"/>
              </w:rPr>
              <w:t>800rpm</w:t>
            </w:r>
            <w:r>
              <w:rPr>
                <w:rFonts w:hint="eastAsia"/>
                <w:color w:val="auto"/>
                <w:highlight w:val="none"/>
                <w:lang w:eastAsia="zh-CN"/>
              </w:rPr>
              <w:t>时，振动速度不大于</w:t>
            </w:r>
            <w:r>
              <w:rPr>
                <w:color w:val="auto"/>
                <w:highlight w:val="none"/>
                <w:lang w:eastAsia="zh-CN"/>
              </w:rPr>
              <w:t>3mm/s</w:t>
            </w:r>
            <w:r>
              <w:rPr>
                <w:rFonts w:hint="eastAsia"/>
                <w:color w:val="auto"/>
                <w:highlight w:val="none"/>
                <w:lang w:eastAsia="zh-CN"/>
              </w:rPr>
              <w:t>。</w:t>
            </w:r>
          </w:p>
          <w:p>
            <w:pPr>
              <w:rPr>
                <w:color w:val="auto"/>
                <w:highlight w:val="none"/>
                <w:lang w:eastAsia="zh-CN"/>
              </w:rPr>
            </w:pPr>
            <w:r>
              <w:rPr>
                <w:color w:val="auto"/>
                <w:highlight w:val="none"/>
                <w:lang w:eastAsia="zh-CN"/>
              </w:rPr>
              <w:t>6</w:t>
            </w:r>
            <w:r>
              <w:rPr>
                <w:rFonts w:hint="eastAsia"/>
                <w:color w:val="auto"/>
                <w:highlight w:val="none"/>
                <w:lang w:eastAsia="zh-CN"/>
              </w:rPr>
              <w:t>、断面风速均匀度：不小于</w:t>
            </w:r>
            <w:r>
              <w:rPr>
                <w:color w:val="auto"/>
                <w:highlight w:val="none"/>
                <w:lang w:eastAsia="zh-CN"/>
              </w:rPr>
              <w:t>80%</w:t>
            </w:r>
            <w:r>
              <w:rPr>
                <w:rFonts w:hint="eastAsia"/>
                <w:color w:val="auto"/>
                <w:highlight w:val="none"/>
                <w:lang w:eastAsia="zh-CN"/>
              </w:rPr>
              <w:t>。</w:t>
            </w:r>
          </w:p>
          <w:p>
            <w:pPr>
              <w:rPr>
                <w:color w:val="auto"/>
                <w:highlight w:val="none"/>
                <w:lang w:eastAsia="zh-CN"/>
              </w:rPr>
            </w:pPr>
            <w:r>
              <w:rPr>
                <w:color w:val="auto"/>
                <w:highlight w:val="none"/>
                <w:lang w:eastAsia="zh-CN"/>
              </w:rPr>
              <w:t>7</w:t>
            </w:r>
            <w:r>
              <w:rPr>
                <w:rFonts w:hint="eastAsia"/>
                <w:color w:val="auto"/>
                <w:highlight w:val="none"/>
                <w:lang w:eastAsia="zh-CN"/>
              </w:rPr>
              <w:t>、设备制造商须根据设备层、设备机房等安装区域的空间要求设计机组外形尺寸，保证方便安装和维修。</w:t>
            </w:r>
          </w:p>
          <w:p>
            <w:pPr>
              <w:rPr>
                <w:color w:val="auto"/>
                <w:highlight w:val="none"/>
                <w:lang w:eastAsia="zh-CN"/>
              </w:rPr>
            </w:pPr>
            <w:r>
              <w:rPr>
                <w:color w:val="auto"/>
                <w:highlight w:val="none"/>
                <w:lang w:eastAsia="zh-CN"/>
              </w:rPr>
              <w:t>8</w:t>
            </w:r>
            <w:r>
              <w:rPr>
                <w:rFonts w:hint="eastAsia"/>
                <w:color w:val="auto"/>
                <w:highlight w:val="none"/>
                <w:lang w:eastAsia="zh-CN"/>
              </w:rPr>
              <w:t>、投标人应负责将机组内所有用电设备的电源线引至箱体外合适位置的接线盒或配电箱上。</w:t>
            </w:r>
          </w:p>
          <w:p>
            <w:pPr>
              <w:rPr>
                <w:color w:val="auto"/>
                <w:highlight w:val="none"/>
                <w:lang w:eastAsia="zh-CN"/>
              </w:rPr>
            </w:pPr>
            <w:r>
              <w:rPr>
                <w:color w:val="auto"/>
                <w:highlight w:val="none"/>
                <w:lang w:eastAsia="zh-CN"/>
              </w:rPr>
              <w:t>9</w:t>
            </w:r>
            <w:r>
              <w:rPr>
                <w:rFonts w:hint="eastAsia"/>
                <w:color w:val="auto"/>
                <w:highlight w:val="none"/>
                <w:lang w:eastAsia="zh-CN"/>
              </w:rPr>
              <w:t>、整机性能参数为负偏差的设备数量不允许超过总数量的</w:t>
            </w:r>
            <w:r>
              <w:rPr>
                <w:color w:val="auto"/>
                <w:highlight w:val="none"/>
                <w:lang w:eastAsia="zh-CN"/>
              </w:rPr>
              <w:t>50</w:t>
            </w:r>
            <w:r>
              <w:rPr>
                <w:rFonts w:hint="eastAsia"/>
                <w:color w:val="auto"/>
                <w:highlight w:val="none"/>
                <w:lang w:eastAsia="zh-CN"/>
              </w:rPr>
              <w:t>％。采用锥套型皮带轮，皮带应采用优质品牌，机组的减振支、吊架和基座，强度应满足机组重量支承及隔振要求。基座应进行防腐处理。</w:t>
            </w:r>
          </w:p>
          <w:p>
            <w:pPr>
              <w:rPr>
                <w:color w:val="auto"/>
                <w:highlight w:val="none"/>
                <w:lang w:eastAsia="zh-CN"/>
              </w:rPr>
            </w:pPr>
            <w:r>
              <w:rPr>
                <w:color w:val="auto"/>
                <w:highlight w:val="none"/>
                <w:lang w:eastAsia="zh-CN"/>
              </w:rPr>
              <w:t>11</w:t>
            </w:r>
            <w:r>
              <w:rPr>
                <w:rFonts w:hint="eastAsia"/>
                <w:color w:val="auto"/>
                <w:highlight w:val="none"/>
                <w:lang w:eastAsia="zh-CN"/>
              </w:rPr>
              <w:t>、机组冷（热）水管软接头、膨胀节均采用不锈钢波纹补偿器（软接头）。</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728" w:type="dxa"/>
            <w:vAlign w:val="center"/>
          </w:tcPr>
          <w:p>
            <w:pPr>
              <w:rPr>
                <w:color w:val="auto"/>
                <w:highlight w:val="none"/>
              </w:rPr>
            </w:pPr>
            <w:r>
              <w:rPr>
                <w:color w:val="auto"/>
                <w:highlight w:val="none"/>
              </w:rPr>
              <w:t>2</w:t>
            </w:r>
          </w:p>
        </w:tc>
        <w:tc>
          <w:tcPr>
            <w:tcW w:w="1260" w:type="dxa"/>
            <w:vAlign w:val="center"/>
          </w:tcPr>
          <w:p>
            <w:pPr>
              <w:rPr>
                <w:color w:val="auto"/>
                <w:highlight w:val="none"/>
              </w:rPr>
            </w:pPr>
            <w:r>
              <w:rPr>
                <w:color w:val="auto"/>
                <w:szCs w:val="24"/>
                <w:highlight w:val="none"/>
              </w:rPr>
              <w:t>风机盘管</w:t>
            </w:r>
          </w:p>
        </w:tc>
        <w:tc>
          <w:tcPr>
            <w:tcW w:w="7736" w:type="dxa"/>
            <w:vAlign w:val="center"/>
          </w:tcPr>
          <w:p>
            <w:pPr>
              <w:spacing w:line="360" w:lineRule="auto"/>
              <w:ind w:firstLine="480" w:firstLineChars="200"/>
              <w:rPr>
                <w:bCs/>
                <w:color w:val="auto"/>
                <w:szCs w:val="24"/>
                <w:highlight w:val="none"/>
                <w:lang w:eastAsia="zh-CN"/>
              </w:rPr>
            </w:pPr>
            <w:r>
              <w:rPr>
                <w:rFonts w:hint="eastAsia"/>
                <w:bCs/>
                <w:color w:val="auto"/>
                <w:szCs w:val="24"/>
                <w:highlight w:val="none"/>
                <w:lang w:eastAsia="zh-CN"/>
              </w:rPr>
              <w:t>技术要求：</w:t>
            </w:r>
          </w:p>
          <w:p>
            <w:pPr>
              <w:spacing w:line="360" w:lineRule="auto"/>
              <w:ind w:firstLine="480" w:firstLineChars="200"/>
              <w:rPr>
                <w:bCs/>
                <w:color w:val="auto"/>
                <w:szCs w:val="24"/>
                <w:highlight w:val="none"/>
                <w:lang w:eastAsia="zh-CN"/>
              </w:rPr>
            </w:pPr>
            <w:r>
              <w:rPr>
                <w:rFonts w:hint="eastAsia"/>
                <w:bCs/>
                <w:color w:val="auto"/>
                <w:szCs w:val="24"/>
                <w:highlight w:val="none"/>
                <w:lang w:eastAsia="zh-CN"/>
              </w:rPr>
              <w:t>1原材料及零部件质量要求</w:t>
            </w:r>
          </w:p>
          <w:p>
            <w:pPr>
              <w:spacing w:line="360" w:lineRule="auto"/>
              <w:ind w:firstLine="480" w:firstLineChars="200"/>
              <w:rPr>
                <w:bCs/>
                <w:color w:val="auto"/>
                <w:szCs w:val="24"/>
                <w:highlight w:val="none"/>
                <w:lang w:eastAsia="zh-CN"/>
              </w:rPr>
            </w:pPr>
            <w:r>
              <w:rPr>
                <w:rFonts w:hint="eastAsia"/>
                <w:bCs/>
                <w:color w:val="auto"/>
                <w:szCs w:val="24"/>
                <w:highlight w:val="none"/>
                <w:lang w:eastAsia="zh-CN"/>
              </w:rPr>
              <w:t>1)机组内配置的风机、电机、表冷器以及其他零部件应符合国家有关标准的规定。</w:t>
            </w:r>
          </w:p>
          <w:p>
            <w:pPr>
              <w:spacing w:line="360" w:lineRule="auto"/>
              <w:ind w:firstLine="480" w:firstLineChars="200"/>
              <w:rPr>
                <w:bCs/>
                <w:color w:val="auto"/>
                <w:szCs w:val="24"/>
                <w:highlight w:val="none"/>
                <w:lang w:eastAsia="zh-CN"/>
              </w:rPr>
            </w:pPr>
            <w:r>
              <w:rPr>
                <w:rFonts w:hint="eastAsia"/>
                <w:bCs/>
                <w:color w:val="auto"/>
                <w:szCs w:val="24"/>
                <w:highlight w:val="none"/>
                <w:lang w:eastAsia="zh-CN"/>
              </w:rPr>
              <w:t>2)机组所采用的钢板、型材、管材等应符合有关标准规定。</w:t>
            </w:r>
          </w:p>
          <w:p>
            <w:pPr>
              <w:spacing w:line="360" w:lineRule="auto"/>
              <w:ind w:firstLine="480" w:firstLineChars="200"/>
              <w:rPr>
                <w:bCs/>
                <w:color w:val="auto"/>
                <w:szCs w:val="24"/>
                <w:highlight w:val="none"/>
                <w:lang w:eastAsia="zh-CN"/>
              </w:rPr>
            </w:pPr>
            <w:r>
              <w:rPr>
                <w:rFonts w:hint="eastAsia"/>
                <w:bCs/>
                <w:color w:val="auto"/>
                <w:szCs w:val="24"/>
                <w:highlight w:val="none"/>
                <w:lang w:eastAsia="zh-CN"/>
              </w:rPr>
              <w:t>3)采用的保温、隔声材料应无毒、无腐蚀、无异味，并具有非燃或难燃、不易吸水等特性。须提供这些材料的相应检测报告。</w:t>
            </w:r>
          </w:p>
          <w:p>
            <w:pPr>
              <w:spacing w:line="360" w:lineRule="auto"/>
              <w:ind w:firstLine="480" w:firstLineChars="200"/>
              <w:rPr>
                <w:bCs/>
                <w:color w:val="auto"/>
                <w:szCs w:val="24"/>
                <w:highlight w:val="none"/>
                <w:lang w:eastAsia="zh-CN"/>
              </w:rPr>
            </w:pPr>
            <w:r>
              <w:rPr>
                <w:rFonts w:hint="eastAsia"/>
                <w:bCs/>
                <w:color w:val="auto"/>
                <w:szCs w:val="24"/>
                <w:highlight w:val="none"/>
                <w:lang w:eastAsia="zh-CN"/>
              </w:rPr>
              <w:t>4)除了轴承、密封圈及转动部件可能在正常寿命期间更换外，其余的材料和部件应在正常情况下运行不少于15年。厂家还应提供主要部件使用年限</w:t>
            </w:r>
          </w:p>
          <w:p>
            <w:pPr>
              <w:spacing w:line="360" w:lineRule="auto"/>
              <w:ind w:firstLine="480" w:firstLineChars="200"/>
              <w:rPr>
                <w:bCs/>
                <w:color w:val="auto"/>
                <w:szCs w:val="24"/>
                <w:highlight w:val="none"/>
                <w:lang w:eastAsia="zh-CN"/>
              </w:rPr>
            </w:pPr>
            <w:r>
              <w:rPr>
                <w:rFonts w:hint="eastAsia"/>
                <w:bCs/>
                <w:color w:val="auto"/>
                <w:szCs w:val="24"/>
                <w:highlight w:val="none"/>
                <w:lang w:eastAsia="zh-CN"/>
              </w:rPr>
              <w:t>2整机性能要求</w:t>
            </w:r>
          </w:p>
          <w:p>
            <w:pPr>
              <w:spacing w:line="360" w:lineRule="auto"/>
              <w:ind w:firstLine="480" w:firstLineChars="200"/>
              <w:rPr>
                <w:bCs/>
                <w:color w:val="auto"/>
                <w:szCs w:val="24"/>
                <w:highlight w:val="none"/>
                <w:lang w:eastAsia="zh-CN"/>
              </w:rPr>
            </w:pPr>
            <w:r>
              <w:rPr>
                <w:rFonts w:hint="eastAsia"/>
                <w:bCs/>
                <w:color w:val="auto"/>
                <w:szCs w:val="24"/>
                <w:highlight w:val="none"/>
                <w:lang w:eastAsia="zh-CN"/>
              </w:rPr>
              <w:t>1)风量和风压：风量投标值不得低于招标值（设计值）的97%，风量投标值不得高于招标值（设计值）的110%。风量、风压实测值不得低于投标值的95%，风量、风压实测值不得高于投标值的115%。</w:t>
            </w:r>
          </w:p>
          <w:p>
            <w:pPr>
              <w:spacing w:line="360" w:lineRule="auto"/>
              <w:ind w:firstLine="480" w:firstLineChars="200"/>
              <w:rPr>
                <w:bCs/>
                <w:color w:val="auto"/>
                <w:szCs w:val="24"/>
                <w:highlight w:val="none"/>
                <w:lang w:eastAsia="zh-CN"/>
              </w:rPr>
            </w:pPr>
            <w:r>
              <w:rPr>
                <w:rFonts w:hint="eastAsia"/>
                <w:bCs/>
                <w:color w:val="auto"/>
                <w:szCs w:val="24"/>
                <w:highlight w:val="none"/>
                <w:lang w:eastAsia="zh-CN"/>
              </w:rPr>
              <w:t>2)供冷量：投标值不得低于招标值（设计值）的97%，实测值不得低于投标值的95%，投标值不得高于招标值（设计值）的110%，实测值不得低于投标值的97%。</w:t>
            </w:r>
          </w:p>
          <w:p>
            <w:pPr>
              <w:spacing w:line="360" w:lineRule="auto"/>
              <w:ind w:firstLine="480" w:firstLineChars="200"/>
              <w:rPr>
                <w:bCs/>
                <w:color w:val="auto"/>
                <w:szCs w:val="24"/>
                <w:highlight w:val="none"/>
                <w:lang w:eastAsia="zh-CN"/>
              </w:rPr>
            </w:pPr>
            <w:r>
              <w:rPr>
                <w:rFonts w:hint="eastAsia"/>
                <w:bCs/>
                <w:color w:val="auto"/>
                <w:szCs w:val="24"/>
                <w:highlight w:val="none"/>
                <w:lang w:eastAsia="zh-CN"/>
              </w:rPr>
              <w:t>3)噪声：满足GB/T19232-2003要求。</w:t>
            </w:r>
          </w:p>
          <w:p>
            <w:pPr>
              <w:spacing w:line="360" w:lineRule="auto"/>
              <w:ind w:firstLine="480" w:firstLineChars="200"/>
              <w:rPr>
                <w:bCs/>
                <w:color w:val="auto"/>
                <w:szCs w:val="24"/>
                <w:highlight w:val="none"/>
                <w:lang w:eastAsia="zh-CN"/>
              </w:rPr>
            </w:pPr>
            <w:r>
              <w:rPr>
                <w:rFonts w:hint="eastAsia"/>
                <w:bCs/>
                <w:color w:val="auto"/>
                <w:szCs w:val="24"/>
                <w:highlight w:val="none"/>
                <w:lang w:eastAsia="zh-CN"/>
              </w:rPr>
              <w:t>4)整机性能参数值为负偏差的设备数量不允许超过总数量的50％。</w:t>
            </w:r>
          </w:p>
          <w:p>
            <w:pPr>
              <w:spacing w:line="360" w:lineRule="auto"/>
              <w:ind w:firstLine="480" w:firstLineChars="200"/>
              <w:rPr>
                <w:bCs/>
                <w:color w:val="auto"/>
                <w:szCs w:val="24"/>
                <w:highlight w:val="none"/>
                <w:lang w:eastAsia="zh-CN"/>
              </w:rPr>
            </w:pPr>
            <w:r>
              <w:rPr>
                <w:rFonts w:hint="eastAsia"/>
                <w:bCs/>
                <w:color w:val="auto"/>
                <w:szCs w:val="24"/>
                <w:highlight w:val="none"/>
                <w:lang w:eastAsia="zh-CN"/>
              </w:rPr>
              <w:t>3风机</w:t>
            </w:r>
          </w:p>
          <w:p>
            <w:pPr>
              <w:spacing w:line="360" w:lineRule="auto"/>
              <w:ind w:firstLine="480" w:firstLineChars="200"/>
              <w:rPr>
                <w:bCs/>
                <w:color w:val="auto"/>
                <w:szCs w:val="24"/>
                <w:highlight w:val="none"/>
                <w:lang w:eastAsia="zh-CN"/>
              </w:rPr>
            </w:pPr>
            <w:r>
              <w:rPr>
                <w:rFonts w:hint="eastAsia"/>
                <w:bCs/>
                <w:color w:val="auto"/>
                <w:szCs w:val="24"/>
                <w:highlight w:val="none"/>
                <w:lang w:eastAsia="zh-CN"/>
              </w:rPr>
              <w:t>2)采用双进风、离心式前曲叶片型风机，叶轮采用铝合金或镀锌钢板制作。</w:t>
            </w:r>
          </w:p>
          <w:p>
            <w:pPr>
              <w:spacing w:line="360" w:lineRule="auto"/>
              <w:ind w:firstLine="480" w:firstLineChars="200"/>
              <w:rPr>
                <w:bCs/>
                <w:color w:val="auto"/>
                <w:szCs w:val="24"/>
                <w:highlight w:val="none"/>
                <w:lang w:eastAsia="zh-CN"/>
              </w:rPr>
            </w:pPr>
            <w:r>
              <w:rPr>
                <w:rFonts w:hint="eastAsia"/>
                <w:bCs/>
                <w:color w:val="auto"/>
                <w:szCs w:val="24"/>
                <w:highlight w:val="none"/>
                <w:lang w:eastAsia="zh-CN"/>
              </w:rPr>
              <w:t>3)采用的风机应满足三档调速的要求。</w:t>
            </w:r>
          </w:p>
          <w:p>
            <w:pPr>
              <w:spacing w:line="360" w:lineRule="auto"/>
              <w:ind w:firstLine="480" w:firstLineChars="200"/>
              <w:rPr>
                <w:bCs/>
                <w:color w:val="auto"/>
                <w:szCs w:val="24"/>
                <w:highlight w:val="none"/>
                <w:lang w:eastAsia="zh-CN"/>
              </w:rPr>
            </w:pPr>
            <w:r>
              <w:rPr>
                <w:rFonts w:hint="eastAsia"/>
                <w:bCs/>
                <w:color w:val="auto"/>
                <w:szCs w:val="24"/>
                <w:highlight w:val="none"/>
                <w:lang w:eastAsia="zh-CN"/>
              </w:rPr>
              <w:t>4)风机叶轮和轴需在制造厂内进行静平衡和动平衡试验（提供测试报告）。</w:t>
            </w:r>
          </w:p>
          <w:p>
            <w:pPr>
              <w:spacing w:line="360" w:lineRule="auto"/>
              <w:ind w:firstLine="480" w:firstLineChars="200"/>
              <w:rPr>
                <w:bCs/>
                <w:color w:val="auto"/>
                <w:szCs w:val="24"/>
                <w:highlight w:val="none"/>
                <w:lang w:eastAsia="zh-CN"/>
              </w:rPr>
            </w:pPr>
            <w:r>
              <w:rPr>
                <w:rFonts w:hint="eastAsia"/>
                <w:bCs/>
                <w:color w:val="auto"/>
                <w:szCs w:val="24"/>
                <w:highlight w:val="none"/>
                <w:lang w:eastAsia="zh-CN"/>
              </w:rPr>
              <w:t>4电机</w:t>
            </w:r>
          </w:p>
          <w:p>
            <w:pPr>
              <w:spacing w:line="360" w:lineRule="auto"/>
              <w:ind w:firstLine="480" w:firstLineChars="200"/>
              <w:rPr>
                <w:bCs/>
                <w:color w:val="auto"/>
                <w:szCs w:val="24"/>
                <w:highlight w:val="none"/>
                <w:lang w:eastAsia="zh-CN"/>
              </w:rPr>
            </w:pPr>
            <w:r>
              <w:rPr>
                <w:rFonts w:hint="eastAsia"/>
                <w:bCs/>
                <w:color w:val="auto"/>
                <w:szCs w:val="24"/>
                <w:highlight w:val="none"/>
                <w:lang w:eastAsia="zh-CN"/>
              </w:rPr>
              <w:t>2)采用电容式电机，应满足三档调速的要求。</w:t>
            </w:r>
          </w:p>
          <w:p>
            <w:pPr>
              <w:spacing w:line="360" w:lineRule="auto"/>
              <w:ind w:firstLine="480" w:firstLineChars="200"/>
              <w:rPr>
                <w:bCs/>
                <w:color w:val="auto"/>
                <w:szCs w:val="24"/>
                <w:highlight w:val="none"/>
                <w:lang w:eastAsia="zh-CN"/>
              </w:rPr>
            </w:pPr>
            <w:r>
              <w:rPr>
                <w:rFonts w:hint="eastAsia"/>
                <w:bCs/>
                <w:color w:val="auto"/>
                <w:szCs w:val="24"/>
                <w:highlight w:val="none"/>
                <w:lang w:eastAsia="zh-CN"/>
              </w:rPr>
              <w:t>3) 应能在温度≤40℃，相对湿度≤90%的环境中存储和连续运行。</w:t>
            </w:r>
          </w:p>
          <w:p>
            <w:pPr>
              <w:spacing w:line="360" w:lineRule="auto"/>
              <w:ind w:firstLine="480" w:firstLineChars="200"/>
              <w:rPr>
                <w:bCs/>
                <w:color w:val="auto"/>
                <w:szCs w:val="24"/>
                <w:highlight w:val="none"/>
                <w:lang w:eastAsia="zh-CN"/>
              </w:rPr>
            </w:pPr>
            <w:r>
              <w:rPr>
                <w:rFonts w:hint="eastAsia"/>
                <w:bCs/>
                <w:color w:val="auto"/>
                <w:szCs w:val="24"/>
                <w:highlight w:val="none"/>
                <w:lang w:eastAsia="zh-CN"/>
              </w:rPr>
              <w:t>4) 电机轴承选用油膜自封免维护形式。</w:t>
            </w:r>
          </w:p>
          <w:p>
            <w:pPr>
              <w:spacing w:line="360" w:lineRule="auto"/>
              <w:ind w:firstLine="480" w:firstLineChars="200"/>
              <w:rPr>
                <w:bCs/>
                <w:color w:val="auto"/>
                <w:szCs w:val="24"/>
                <w:highlight w:val="none"/>
                <w:lang w:eastAsia="zh-CN"/>
              </w:rPr>
            </w:pPr>
            <w:r>
              <w:rPr>
                <w:rFonts w:hint="eastAsia"/>
                <w:bCs/>
                <w:color w:val="auto"/>
                <w:szCs w:val="24"/>
                <w:highlight w:val="none"/>
                <w:lang w:eastAsia="zh-CN"/>
              </w:rPr>
              <w:t>5表冷器</w:t>
            </w:r>
          </w:p>
          <w:p>
            <w:pPr>
              <w:spacing w:line="360" w:lineRule="auto"/>
              <w:ind w:firstLine="480" w:firstLineChars="200"/>
              <w:rPr>
                <w:bCs/>
                <w:color w:val="auto"/>
                <w:szCs w:val="24"/>
                <w:highlight w:val="none"/>
                <w:lang w:eastAsia="zh-CN"/>
              </w:rPr>
            </w:pPr>
            <w:r>
              <w:rPr>
                <w:rFonts w:hint="eastAsia"/>
                <w:bCs/>
                <w:color w:val="auto"/>
                <w:szCs w:val="24"/>
                <w:highlight w:val="none"/>
                <w:lang w:eastAsia="zh-CN"/>
              </w:rPr>
              <w:t>1)铜管采用紫铜管。</w:t>
            </w:r>
          </w:p>
          <w:p>
            <w:pPr>
              <w:spacing w:line="360" w:lineRule="auto"/>
              <w:ind w:firstLine="480" w:firstLineChars="200"/>
              <w:rPr>
                <w:bCs/>
                <w:color w:val="auto"/>
                <w:szCs w:val="24"/>
                <w:highlight w:val="none"/>
                <w:lang w:eastAsia="zh-CN"/>
              </w:rPr>
            </w:pPr>
            <w:r>
              <w:rPr>
                <w:rFonts w:hint="eastAsia"/>
                <w:bCs/>
                <w:color w:val="auto"/>
                <w:szCs w:val="24"/>
                <w:highlight w:val="none"/>
                <w:lang w:eastAsia="zh-CN"/>
              </w:rPr>
              <w:t>2)翅片采用国产优质亲水铝箔制作。应采用高效翅片型式。</w:t>
            </w:r>
          </w:p>
          <w:p>
            <w:pPr>
              <w:spacing w:line="360" w:lineRule="auto"/>
              <w:ind w:firstLine="480" w:firstLineChars="200"/>
              <w:rPr>
                <w:bCs/>
                <w:color w:val="auto"/>
                <w:szCs w:val="24"/>
                <w:highlight w:val="none"/>
                <w:lang w:eastAsia="zh-CN"/>
              </w:rPr>
            </w:pPr>
            <w:r>
              <w:rPr>
                <w:rFonts w:hint="eastAsia"/>
                <w:bCs/>
                <w:color w:val="auto"/>
                <w:szCs w:val="24"/>
                <w:highlight w:val="none"/>
                <w:lang w:eastAsia="zh-CN"/>
              </w:rPr>
              <w:t>3)盘管管路顶端应设排气阀。</w:t>
            </w:r>
          </w:p>
          <w:p>
            <w:pPr>
              <w:spacing w:line="360" w:lineRule="auto"/>
              <w:ind w:firstLine="480" w:firstLineChars="200"/>
              <w:rPr>
                <w:bCs/>
                <w:color w:val="auto"/>
                <w:szCs w:val="24"/>
                <w:highlight w:val="none"/>
                <w:lang w:eastAsia="zh-CN"/>
              </w:rPr>
            </w:pPr>
            <w:r>
              <w:rPr>
                <w:rFonts w:hint="eastAsia"/>
                <w:bCs/>
                <w:color w:val="auto"/>
                <w:szCs w:val="24"/>
                <w:highlight w:val="none"/>
                <w:lang w:eastAsia="zh-CN"/>
              </w:rPr>
              <w:t>4)盘管采用铜管串铝翅片通过整体机械胀管连接而成，铜管与翅片间应紧密结合，以减少接触热阻。</w:t>
            </w:r>
          </w:p>
          <w:p>
            <w:pPr>
              <w:spacing w:line="360" w:lineRule="auto"/>
              <w:ind w:firstLine="480" w:firstLineChars="200"/>
              <w:rPr>
                <w:bCs/>
                <w:color w:val="auto"/>
                <w:szCs w:val="24"/>
                <w:highlight w:val="none"/>
                <w:lang w:eastAsia="zh-CN"/>
              </w:rPr>
            </w:pPr>
            <w:r>
              <w:rPr>
                <w:rFonts w:hint="eastAsia"/>
                <w:bCs/>
                <w:color w:val="auto"/>
                <w:szCs w:val="24"/>
                <w:highlight w:val="none"/>
                <w:lang w:eastAsia="zh-CN"/>
              </w:rPr>
              <w:t>5)盘管排数应不少于3排（含3排）。</w:t>
            </w:r>
          </w:p>
          <w:p>
            <w:pPr>
              <w:spacing w:line="360" w:lineRule="auto"/>
              <w:ind w:firstLine="480" w:firstLineChars="200"/>
              <w:rPr>
                <w:bCs/>
                <w:color w:val="auto"/>
                <w:szCs w:val="24"/>
                <w:highlight w:val="none"/>
                <w:lang w:eastAsia="zh-CN"/>
              </w:rPr>
            </w:pPr>
            <w:r>
              <w:rPr>
                <w:rFonts w:hint="eastAsia"/>
                <w:bCs/>
                <w:color w:val="auto"/>
                <w:szCs w:val="24"/>
                <w:highlight w:val="none"/>
                <w:lang w:eastAsia="zh-CN"/>
              </w:rPr>
              <w:t>6)盘管应经气压或水压试验合格，满足规定的工作压力要求。（附报告）</w:t>
            </w:r>
          </w:p>
          <w:p>
            <w:pPr>
              <w:spacing w:line="360" w:lineRule="auto"/>
              <w:ind w:firstLine="480" w:firstLineChars="200"/>
              <w:rPr>
                <w:bCs/>
                <w:color w:val="auto"/>
                <w:szCs w:val="24"/>
                <w:highlight w:val="none"/>
                <w:lang w:eastAsia="zh-CN"/>
              </w:rPr>
            </w:pPr>
            <w:r>
              <w:rPr>
                <w:rFonts w:hint="eastAsia"/>
                <w:bCs/>
                <w:color w:val="auto"/>
                <w:szCs w:val="24"/>
                <w:highlight w:val="none"/>
                <w:lang w:eastAsia="zh-CN"/>
              </w:rPr>
              <w:t>7)水管接口方向应符合设计施工图纸的要求。</w:t>
            </w:r>
          </w:p>
          <w:p>
            <w:pPr>
              <w:spacing w:line="360" w:lineRule="auto"/>
              <w:ind w:firstLine="480" w:firstLineChars="200"/>
              <w:rPr>
                <w:bCs/>
                <w:color w:val="auto"/>
                <w:szCs w:val="24"/>
                <w:highlight w:val="none"/>
                <w:lang w:eastAsia="zh-CN"/>
              </w:rPr>
            </w:pPr>
            <w:r>
              <w:rPr>
                <w:rFonts w:hint="eastAsia"/>
                <w:bCs/>
                <w:color w:val="auto"/>
                <w:szCs w:val="24"/>
                <w:highlight w:val="none"/>
                <w:lang w:eastAsia="zh-CN"/>
              </w:rPr>
              <w:t>8)表冷器盘管应满足招标要求的技术参数，在设计时应考虑一定的安全系数，应提供每种盘管的设计计算书。</w:t>
            </w:r>
          </w:p>
          <w:p>
            <w:pPr>
              <w:spacing w:line="360" w:lineRule="auto"/>
              <w:ind w:firstLine="480" w:firstLineChars="200"/>
              <w:rPr>
                <w:bCs/>
                <w:color w:val="auto"/>
                <w:szCs w:val="24"/>
                <w:highlight w:val="none"/>
                <w:lang w:eastAsia="zh-CN"/>
              </w:rPr>
            </w:pPr>
            <w:r>
              <w:rPr>
                <w:rFonts w:hint="eastAsia"/>
                <w:bCs/>
                <w:color w:val="auto"/>
                <w:szCs w:val="24"/>
                <w:highlight w:val="none"/>
                <w:lang w:eastAsia="zh-CN"/>
              </w:rPr>
              <w:t>6机壳</w:t>
            </w:r>
          </w:p>
          <w:p>
            <w:pPr>
              <w:spacing w:line="360" w:lineRule="auto"/>
              <w:ind w:firstLine="480" w:firstLineChars="200"/>
              <w:rPr>
                <w:bCs/>
                <w:color w:val="auto"/>
                <w:szCs w:val="24"/>
                <w:highlight w:val="none"/>
                <w:lang w:eastAsia="zh-CN"/>
              </w:rPr>
            </w:pPr>
            <w:r>
              <w:rPr>
                <w:rFonts w:hint="eastAsia"/>
                <w:bCs/>
                <w:color w:val="auto"/>
                <w:szCs w:val="24"/>
                <w:highlight w:val="none"/>
                <w:lang w:eastAsia="zh-CN"/>
              </w:rPr>
              <w:t>机壳采用</w:t>
            </w:r>
            <w:r>
              <w:rPr>
                <w:rFonts w:hint="eastAsia"/>
                <w:bCs/>
                <w:color w:val="auto"/>
                <w:szCs w:val="24"/>
                <w:highlight w:val="none"/>
              </w:rPr>
              <w:t>δ</w:t>
            </w:r>
            <w:r>
              <w:rPr>
                <w:rFonts w:hint="eastAsia"/>
                <w:bCs/>
                <w:color w:val="auto"/>
                <w:szCs w:val="24"/>
                <w:highlight w:val="none"/>
                <w:lang w:eastAsia="zh-CN"/>
              </w:rPr>
              <w:t>≥1.0mm优质镀锌板，并贴绝热材料保温。</w:t>
            </w:r>
          </w:p>
          <w:p>
            <w:pPr>
              <w:spacing w:line="360" w:lineRule="auto"/>
              <w:ind w:firstLine="480" w:firstLineChars="200"/>
              <w:rPr>
                <w:bCs/>
                <w:color w:val="auto"/>
                <w:szCs w:val="24"/>
                <w:highlight w:val="none"/>
                <w:lang w:eastAsia="zh-CN"/>
              </w:rPr>
            </w:pPr>
            <w:r>
              <w:rPr>
                <w:rFonts w:hint="eastAsia"/>
                <w:bCs/>
                <w:color w:val="auto"/>
                <w:szCs w:val="24"/>
                <w:highlight w:val="none"/>
                <w:lang w:eastAsia="zh-CN"/>
              </w:rPr>
              <w:t>7凝结水盘</w:t>
            </w:r>
          </w:p>
          <w:p>
            <w:pPr>
              <w:spacing w:line="360" w:lineRule="auto"/>
              <w:ind w:firstLine="480" w:firstLineChars="200"/>
              <w:rPr>
                <w:b/>
                <w:bCs/>
                <w:color w:val="auto"/>
                <w:szCs w:val="24"/>
                <w:highlight w:val="none"/>
                <w:lang w:eastAsia="zh-CN"/>
              </w:rPr>
            </w:pPr>
            <w:r>
              <w:rPr>
                <w:rFonts w:hint="eastAsia"/>
                <w:bCs/>
                <w:color w:val="auto"/>
                <w:szCs w:val="24"/>
                <w:highlight w:val="none"/>
                <w:lang w:eastAsia="zh-CN"/>
              </w:rPr>
              <w:t>凝结水盘采用采用加长型凝结水盘，用钢板一次整体冲压成型，并进行防腐和保温；水盘底部采用PE或橡塑板材保温；采用的保温、隔声材料应无毒、无腐蚀、无异味，并具有非燃或难燃、不易吸水等特性。须提供这些材料的相应检测报告。保温厚度采用加厚型。</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728" w:type="dxa"/>
            <w:vAlign w:val="center"/>
          </w:tcPr>
          <w:p>
            <w:pPr>
              <w:rPr>
                <w:color w:val="auto"/>
                <w:highlight w:val="none"/>
              </w:rPr>
            </w:pPr>
            <w:r>
              <w:rPr>
                <w:color w:val="auto"/>
                <w:highlight w:val="none"/>
              </w:rPr>
              <w:t>3</w:t>
            </w:r>
          </w:p>
        </w:tc>
        <w:tc>
          <w:tcPr>
            <w:tcW w:w="1260" w:type="dxa"/>
            <w:vAlign w:val="center"/>
          </w:tcPr>
          <w:p>
            <w:pPr>
              <w:spacing w:line="360" w:lineRule="exact"/>
              <w:rPr>
                <w:color w:val="auto"/>
                <w:highlight w:val="none"/>
                <w:lang w:val="zh-CN"/>
              </w:rPr>
            </w:pPr>
          </w:p>
          <w:p>
            <w:pPr>
              <w:spacing w:line="360" w:lineRule="exact"/>
              <w:rPr>
                <w:color w:val="auto"/>
                <w:highlight w:val="none"/>
                <w:lang w:val="zh-CN"/>
              </w:rPr>
            </w:pPr>
            <w:r>
              <w:rPr>
                <w:color w:val="auto"/>
                <w:highlight w:val="none"/>
                <w:lang w:val="zh-CN"/>
              </w:rPr>
              <w:t>电动蝶阀</w:t>
            </w:r>
          </w:p>
        </w:tc>
        <w:tc>
          <w:tcPr>
            <w:tcW w:w="7736" w:type="dxa"/>
            <w:vAlign w:val="center"/>
          </w:tcPr>
          <w:p>
            <w:pPr>
              <w:spacing w:line="360" w:lineRule="exact"/>
              <w:rPr>
                <w:b/>
                <w:bCs/>
                <w:color w:val="auto"/>
                <w:highlight w:val="none"/>
                <w:lang w:val="zh-CN" w:eastAsia="zh-CN"/>
              </w:rPr>
            </w:pPr>
            <w:r>
              <w:rPr>
                <w:b/>
                <w:bCs/>
                <w:color w:val="auto"/>
                <w:highlight w:val="none"/>
                <w:lang w:val="zh-CN" w:eastAsia="zh-CN"/>
              </w:rPr>
              <w:t>技术要求：</w:t>
            </w:r>
          </w:p>
          <w:p>
            <w:pPr>
              <w:spacing w:line="360" w:lineRule="exact"/>
              <w:rPr>
                <w:color w:val="auto"/>
                <w:highlight w:val="none"/>
                <w:lang w:val="zh-CN" w:eastAsia="zh-CN"/>
              </w:rPr>
            </w:pPr>
            <w:r>
              <w:rPr>
                <w:color w:val="auto"/>
                <w:highlight w:val="none"/>
                <w:lang w:val="zh-CN" w:eastAsia="zh-CN"/>
              </w:rPr>
              <w:t>1.现场工作电源：220VAC，50Hz</w:t>
            </w:r>
          </w:p>
          <w:p>
            <w:pPr>
              <w:spacing w:line="360" w:lineRule="exact"/>
              <w:rPr>
                <w:color w:val="auto"/>
                <w:highlight w:val="none"/>
                <w:lang w:val="zh-CN" w:eastAsia="zh-CN"/>
              </w:rPr>
            </w:pPr>
            <w:r>
              <w:rPr>
                <w:color w:val="auto"/>
                <w:highlight w:val="none"/>
                <w:lang w:val="zh-CN" w:eastAsia="zh-CN"/>
              </w:rPr>
              <w:t>2.工作压力：1.6MPa</w:t>
            </w:r>
          </w:p>
          <w:p>
            <w:pPr>
              <w:spacing w:line="360" w:lineRule="exact"/>
              <w:rPr>
                <w:color w:val="auto"/>
                <w:highlight w:val="none"/>
                <w:lang w:val="zh-CN" w:eastAsia="zh-CN"/>
              </w:rPr>
            </w:pPr>
            <w:r>
              <w:rPr>
                <w:color w:val="auto"/>
                <w:highlight w:val="none"/>
                <w:lang w:val="zh-CN" w:eastAsia="zh-CN"/>
              </w:rPr>
              <w:t>3.工作介质：水，工作温度：2-800℃</w:t>
            </w:r>
          </w:p>
          <w:p>
            <w:pPr>
              <w:spacing w:line="360" w:lineRule="exact"/>
              <w:rPr>
                <w:color w:val="auto"/>
                <w:highlight w:val="none"/>
                <w:lang w:val="zh-CN" w:eastAsia="zh-CN"/>
              </w:rPr>
            </w:pPr>
            <w:r>
              <w:rPr>
                <w:color w:val="auto"/>
                <w:highlight w:val="none"/>
                <w:lang w:val="zh-CN" w:eastAsia="zh-CN"/>
              </w:rPr>
              <w:t>4.具备阀门开关状态显示装置</w:t>
            </w:r>
          </w:p>
          <w:p>
            <w:pPr>
              <w:spacing w:line="360" w:lineRule="exact"/>
              <w:rPr>
                <w:color w:val="auto"/>
                <w:highlight w:val="none"/>
                <w:lang w:val="zh-CN" w:eastAsia="zh-CN"/>
              </w:rPr>
            </w:pPr>
            <w:r>
              <w:rPr>
                <w:color w:val="auto"/>
                <w:highlight w:val="none"/>
                <w:lang w:val="zh-CN" w:eastAsia="zh-CN"/>
              </w:rPr>
              <w:t>5.具有手动开关</w:t>
            </w:r>
          </w:p>
          <w:p>
            <w:pPr>
              <w:spacing w:line="360" w:lineRule="exact"/>
              <w:rPr>
                <w:color w:val="auto"/>
                <w:highlight w:val="none"/>
                <w:lang w:val="zh-CN" w:eastAsia="zh-CN"/>
              </w:rPr>
            </w:pPr>
            <w:r>
              <w:rPr>
                <w:color w:val="auto"/>
                <w:highlight w:val="none"/>
                <w:lang w:val="zh-CN" w:eastAsia="zh-CN"/>
              </w:rPr>
              <w:t>6.具有过载保护</w:t>
            </w:r>
          </w:p>
          <w:p>
            <w:pPr>
              <w:spacing w:line="360" w:lineRule="exact"/>
              <w:rPr>
                <w:color w:val="auto"/>
                <w:highlight w:val="none"/>
                <w:lang w:val="zh-CN" w:eastAsia="zh-CN"/>
              </w:rPr>
            </w:pPr>
            <w:r>
              <w:rPr>
                <w:color w:val="auto"/>
                <w:highlight w:val="none"/>
                <w:lang w:val="zh-CN" w:eastAsia="zh-CN"/>
              </w:rPr>
              <w:t>7.具有防腐蚀及防生锈措施，并应注明</w:t>
            </w:r>
          </w:p>
          <w:p>
            <w:pPr>
              <w:spacing w:line="360" w:lineRule="exact"/>
              <w:rPr>
                <w:color w:val="auto"/>
                <w:highlight w:val="none"/>
                <w:lang w:val="zh-CN" w:eastAsia="zh-CN"/>
              </w:rPr>
            </w:pPr>
            <w:r>
              <w:rPr>
                <w:color w:val="auto"/>
                <w:highlight w:val="none"/>
                <w:lang w:val="zh-CN" w:eastAsia="zh-CN"/>
              </w:rPr>
              <w:t>8.材料：阀体：铸铁；阀板：不锈钢；</w:t>
            </w:r>
          </w:p>
          <w:p>
            <w:pPr>
              <w:spacing w:line="360" w:lineRule="exact"/>
              <w:rPr>
                <w:color w:val="auto"/>
                <w:highlight w:val="none"/>
                <w:lang w:val="zh-CN" w:eastAsia="zh-CN"/>
              </w:rPr>
            </w:pPr>
            <w:r>
              <w:rPr>
                <w:color w:val="auto"/>
                <w:highlight w:val="none"/>
                <w:lang w:val="zh-CN" w:eastAsia="zh-CN"/>
              </w:rPr>
              <w:t>9.阀杆：不锈钢；密封：三元乙丙橡胶</w:t>
            </w:r>
          </w:p>
          <w:p>
            <w:pPr>
              <w:spacing w:line="360" w:lineRule="exact"/>
              <w:rPr>
                <w:color w:val="auto"/>
                <w:highlight w:val="none"/>
                <w:lang w:val="zh-CN" w:eastAsia="zh-CN"/>
              </w:rPr>
            </w:pPr>
            <w:r>
              <w:rPr>
                <w:color w:val="auto"/>
                <w:highlight w:val="none"/>
                <w:lang w:val="zh-CN" w:eastAsia="zh-CN"/>
              </w:rPr>
              <w:t>11.控制信号：开/关</w:t>
            </w:r>
          </w:p>
          <w:p>
            <w:pPr>
              <w:spacing w:line="360" w:lineRule="exact"/>
              <w:rPr>
                <w:color w:val="auto"/>
                <w:highlight w:val="none"/>
                <w:lang w:val="zh-CN" w:eastAsia="zh-CN"/>
              </w:rPr>
            </w:pPr>
            <w:r>
              <w:rPr>
                <w:color w:val="auto"/>
                <w:highlight w:val="none"/>
                <w:lang w:val="zh-CN" w:eastAsia="zh-CN"/>
              </w:rPr>
              <w:t>12.泄漏率：0</w:t>
            </w:r>
          </w:p>
          <w:p>
            <w:pPr>
              <w:spacing w:line="360" w:lineRule="exact"/>
              <w:rPr>
                <w:color w:val="auto"/>
                <w:highlight w:val="none"/>
                <w:lang w:val="zh-CN" w:eastAsia="zh-CN"/>
              </w:rPr>
            </w:pPr>
            <w:r>
              <w:rPr>
                <w:color w:val="auto"/>
                <w:highlight w:val="none"/>
                <w:lang w:val="zh-CN" w:eastAsia="zh-CN"/>
              </w:rPr>
              <w:t>13.连接方式：对夹式或法兰连接</w:t>
            </w:r>
          </w:p>
          <w:p>
            <w:pPr>
              <w:spacing w:line="360" w:lineRule="exact"/>
              <w:rPr>
                <w:color w:val="auto"/>
                <w:highlight w:val="none"/>
                <w:lang w:val="zh-CN" w:eastAsia="zh-CN"/>
              </w:rPr>
            </w:pPr>
            <w:r>
              <w:rPr>
                <w:color w:val="auto"/>
                <w:highlight w:val="none"/>
                <w:lang w:val="zh-CN" w:eastAsia="zh-CN"/>
              </w:rPr>
              <w:t>14.阀门全行程时间：≤130s（除去非正常钮矩配置外，均能达到）</w:t>
            </w:r>
          </w:p>
          <w:p>
            <w:pPr>
              <w:spacing w:line="360" w:lineRule="exact"/>
              <w:rPr>
                <w:color w:val="auto"/>
                <w:highlight w:val="none"/>
                <w:lang w:val="zh-CN" w:eastAsia="zh-CN"/>
              </w:rPr>
            </w:pPr>
            <w:r>
              <w:rPr>
                <w:color w:val="auto"/>
                <w:highlight w:val="none"/>
                <w:lang w:val="zh-CN" w:eastAsia="zh-CN"/>
              </w:rPr>
              <w:t>15.驱动器防护等级：≥IP45(安装于室内),  ≥IP65(安装于室外)。</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728" w:type="dxa"/>
            <w:vAlign w:val="center"/>
          </w:tcPr>
          <w:p>
            <w:pPr>
              <w:rPr>
                <w:color w:val="auto"/>
                <w:highlight w:val="none"/>
              </w:rPr>
            </w:pPr>
            <w:r>
              <w:rPr>
                <w:color w:val="auto"/>
                <w:highlight w:val="none"/>
              </w:rPr>
              <w:t>4</w:t>
            </w:r>
          </w:p>
        </w:tc>
        <w:tc>
          <w:tcPr>
            <w:tcW w:w="1260" w:type="dxa"/>
            <w:vAlign w:val="center"/>
          </w:tcPr>
          <w:p>
            <w:pPr>
              <w:spacing w:line="360" w:lineRule="exact"/>
              <w:rPr>
                <w:color w:val="auto"/>
                <w:highlight w:val="none"/>
                <w:lang w:val="zh-CN" w:eastAsia="zh-CN"/>
              </w:rPr>
            </w:pPr>
          </w:p>
          <w:p>
            <w:pPr>
              <w:spacing w:line="360" w:lineRule="exact"/>
              <w:rPr>
                <w:color w:val="auto"/>
                <w:highlight w:val="none"/>
                <w:u w:val="single"/>
                <w:lang w:val="zh-CN" w:eastAsia="zh-CN"/>
              </w:rPr>
            </w:pPr>
            <w:r>
              <w:rPr>
                <w:color w:val="auto"/>
                <w:highlight w:val="none"/>
                <w:lang w:val="zh-CN" w:eastAsia="zh-CN"/>
              </w:rPr>
              <w:t>电动二通阀</w:t>
            </w:r>
          </w:p>
          <w:p>
            <w:pPr>
              <w:spacing w:line="360" w:lineRule="exact"/>
              <w:rPr>
                <w:color w:val="auto"/>
                <w:highlight w:val="none"/>
                <w:lang w:val="zh-CN" w:eastAsia="zh-CN"/>
              </w:rPr>
            </w:pPr>
          </w:p>
        </w:tc>
        <w:tc>
          <w:tcPr>
            <w:tcW w:w="7736" w:type="dxa"/>
            <w:vAlign w:val="center"/>
          </w:tcPr>
          <w:p>
            <w:pPr>
              <w:spacing w:line="360" w:lineRule="exact"/>
              <w:rPr>
                <w:b/>
                <w:bCs/>
                <w:color w:val="auto"/>
                <w:highlight w:val="none"/>
                <w:lang w:val="zh-CN" w:eastAsia="zh-CN"/>
              </w:rPr>
            </w:pPr>
            <w:r>
              <w:rPr>
                <w:b/>
                <w:bCs/>
                <w:color w:val="auto"/>
                <w:highlight w:val="none"/>
                <w:lang w:val="zh-CN" w:eastAsia="zh-CN"/>
              </w:rPr>
              <w:t>技术要求：</w:t>
            </w:r>
          </w:p>
          <w:p>
            <w:pPr>
              <w:spacing w:line="360" w:lineRule="exact"/>
              <w:rPr>
                <w:color w:val="auto"/>
                <w:highlight w:val="none"/>
                <w:lang w:val="zh-CN" w:eastAsia="zh-CN"/>
              </w:rPr>
            </w:pPr>
            <w:r>
              <w:rPr>
                <w:color w:val="auto"/>
                <w:highlight w:val="none"/>
                <w:lang w:val="zh-CN" w:eastAsia="zh-CN"/>
              </w:rPr>
              <w:t>1.现场工作电源：220VAC，50Hz</w:t>
            </w:r>
          </w:p>
          <w:p>
            <w:pPr>
              <w:spacing w:line="360" w:lineRule="exact"/>
              <w:rPr>
                <w:color w:val="auto"/>
                <w:highlight w:val="none"/>
                <w:lang w:val="zh-CN" w:eastAsia="zh-CN"/>
              </w:rPr>
            </w:pPr>
            <w:r>
              <w:rPr>
                <w:color w:val="auto"/>
                <w:highlight w:val="none"/>
                <w:lang w:val="zh-CN" w:eastAsia="zh-CN"/>
              </w:rPr>
              <w:t>2.工作压力：1.6MPa</w:t>
            </w:r>
          </w:p>
          <w:p>
            <w:pPr>
              <w:spacing w:line="360" w:lineRule="exact"/>
              <w:rPr>
                <w:color w:val="auto"/>
                <w:highlight w:val="none"/>
                <w:lang w:val="zh-CN" w:eastAsia="zh-CN"/>
              </w:rPr>
            </w:pPr>
            <w:r>
              <w:rPr>
                <w:color w:val="auto"/>
                <w:highlight w:val="none"/>
                <w:lang w:val="zh-CN" w:eastAsia="zh-CN"/>
              </w:rPr>
              <w:t>3.工作介质：水，工作温度：2-800℃</w:t>
            </w:r>
          </w:p>
          <w:p>
            <w:pPr>
              <w:spacing w:line="360" w:lineRule="exact"/>
              <w:rPr>
                <w:color w:val="auto"/>
                <w:highlight w:val="none"/>
                <w:lang w:val="zh-CN" w:eastAsia="zh-CN"/>
              </w:rPr>
            </w:pPr>
            <w:r>
              <w:rPr>
                <w:color w:val="auto"/>
                <w:highlight w:val="none"/>
                <w:lang w:val="zh-CN" w:eastAsia="zh-CN"/>
              </w:rPr>
              <w:t>5.具备阀门开关状态显示装置</w:t>
            </w:r>
          </w:p>
          <w:p>
            <w:pPr>
              <w:spacing w:line="360" w:lineRule="exact"/>
              <w:rPr>
                <w:color w:val="auto"/>
                <w:highlight w:val="none"/>
                <w:lang w:val="zh-CN" w:eastAsia="zh-CN"/>
              </w:rPr>
            </w:pPr>
            <w:r>
              <w:rPr>
                <w:color w:val="auto"/>
                <w:highlight w:val="none"/>
                <w:lang w:val="zh-CN" w:eastAsia="zh-CN"/>
              </w:rPr>
              <w:t>6.具有手动开关</w:t>
            </w:r>
          </w:p>
          <w:p>
            <w:pPr>
              <w:spacing w:line="360" w:lineRule="exact"/>
              <w:rPr>
                <w:color w:val="auto"/>
                <w:highlight w:val="none"/>
                <w:lang w:val="zh-CN" w:eastAsia="zh-CN"/>
              </w:rPr>
            </w:pPr>
            <w:r>
              <w:rPr>
                <w:color w:val="auto"/>
                <w:highlight w:val="none"/>
                <w:lang w:val="zh-CN" w:eastAsia="zh-CN"/>
              </w:rPr>
              <w:t>7.具有过载保护</w:t>
            </w:r>
          </w:p>
          <w:p>
            <w:pPr>
              <w:spacing w:line="360" w:lineRule="exact"/>
              <w:rPr>
                <w:color w:val="auto"/>
                <w:highlight w:val="none"/>
                <w:lang w:val="zh-CN" w:eastAsia="zh-CN"/>
              </w:rPr>
            </w:pPr>
            <w:r>
              <w:rPr>
                <w:color w:val="auto"/>
                <w:highlight w:val="none"/>
                <w:lang w:val="zh-CN" w:eastAsia="zh-CN"/>
              </w:rPr>
              <w:t>8.具有防腐蚀及防生锈措施，并应注明</w:t>
            </w:r>
          </w:p>
          <w:p>
            <w:pPr>
              <w:spacing w:line="360" w:lineRule="exact"/>
              <w:rPr>
                <w:color w:val="auto"/>
                <w:highlight w:val="none"/>
                <w:lang w:val="zh-CN" w:eastAsia="zh-CN"/>
              </w:rPr>
            </w:pPr>
            <w:r>
              <w:rPr>
                <w:color w:val="auto"/>
                <w:highlight w:val="none"/>
                <w:lang w:val="zh-CN" w:eastAsia="zh-CN"/>
              </w:rPr>
              <w:t>9.材料：阀体：铜；阀板：不锈钢或铝青铜合金材料；阀杆：不锈钢或铜；密封：三元乙丙橡胶。</w:t>
            </w:r>
          </w:p>
          <w:p>
            <w:pPr>
              <w:spacing w:line="360" w:lineRule="exact"/>
              <w:rPr>
                <w:color w:val="auto"/>
                <w:highlight w:val="none"/>
                <w:lang w:val="zh-CN" w:eastAsia="zh-CN"/>
              </w:rPr>
            </w:pPr>
            <w:r>
              <w:rPr>
                <w:color w:val="auto"/>
                <w:highlight w:val="none"/>
                <w:lang w:val="zh-CN" w:eastAsia="zh-CN"/>
              </w:rPr>
              <w:t>10.控制信号：开/关</w:t>
            </w:r>
          </w:p>
          <w:p>
            <w:pPr>
              <w:spacing w:line="360" w:lineRule="exact"/>
              <w:rPr>
                <w:color w:val="auto"/>
                <w:highlight w:val="none"/>
                <w:lang w:val="zh-CN" w:eastAsia="zh-CN"/>
              </w:rPr>
            </w:pPr>
            <w:r>
              <w:rPr>
                <w:color w:val="auto"/>
                <w:highlight w:val="none"/>
                <w:lang w:val="zh-CN" w:eastAsia="zh-CN"/>
              </w:rPr>
              <w:t>11.泄漏率：0</w:t>
            </w:r>
          </w:p>
          <w:p>
            <w:pPr>
              <w:spacing w:line="360" w:lineRule="exact"/>
              <w:rPr>
                <w:color w:val="auto"/>
                <w:highlight w:val="none"/>
                <w:lang w:val="zh-CN" w:eastAsia="zh-CN"/>
              </w:rPr>
            </w:pPr>
            <w:r>
              <w:rPr>
                <w:color w:val="auto"/>
                <w:highlight w:val="none"/>
                <w:lang w:val="zh-CN" w:eastAsia="zh-CN"/>
              </w:rPr>
              <w:t>12.连接方式：丝扣连接</w:t>
            </w:r>
          </w:p>
          <w:p>
            <w:pPr>
              <w:spacing w:line="360" w:lineRule="exact"/>
              <w:rPr>
                <w:color w:val="auto"/>
                <w:highlight w:val="none"/>
                <w:lang w:val="zh-CN" w:eastAsia="zh-CN"/>
              </w:rPr>
            </w:pPr>
            <w:r>
              <w:rPr>
                <w:color w:val="auto"/>
                <w:highlight w:val="none"/>
                <w:lang w:val="zh-CN" w:eastAsia="zh-CN"/>
              </w:rPr>
              <w:t>13. 驱动器防护等级：≥IP45</w:t>
            </w:r>
          </w:p>
          <w:p>
            <w:pPr>
              <w:spacing w:line="360" w:lineRule="exact"/>
              <w:rPr>
                <w:color w:val="auto"/>
                <w:highlight w:val="none"/>
                <w:lang w:val="zh-CN" w:eastAsia="zh-CN"/>
              </w:rPr>
            </w:pPr>
            <w:r>
              <w:rPr>
                <w:color w:val="auto"/>
                <w:highlight w:val="none"/>
                <w:lang w:val="zh-CN" w:eastAsia="zh-CN"/>
              </w:rPr>
              <w:t>15. 房间温控器应具备温度控制和风机三速控制功能，调温范围10～30℃。设置点调节限位、通用安装板适用于标准的管线盒。</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650" w:hRule="atLeast"/>
        </w:trPr>
        <w:tc>
          <w:tcPr>
            <w:tcW w:w="728" w:type="dxa"/>
            <w:vAlign w:val="center"/>
          </w:tcPr>
          <w:p>
            <w:pPr>
              <w:rPr>
                <w:color w:val="auto"/>
                <w:highlight w:val="none"/>
              </w:rPr>
            </w:pPr>
            <w:r>
              <w:rPr>
                <w:color w:val="auto"/>
                <w:highlight w:val="none"/>
              </w:rPr>
              <w:t>5</w:t>
            </w:r>
          </w:p>
        </w:tc>
        <w:tc>
          <w:tcPr>
            <w:tcW w:w="1260" w:type="dxa"/>
            <w:vAlign w:val="center"/>
          </w:tcPr>
          <w:p>
            <w:pPr>
              <w:spacing w:line="360" w:lineRule="exact"/>
              <w:rPr>
                <w:color w:val="auto"/>
                <w:highlight w:val="none"/>
                <w:lang w:val="zh-CN"/>
              </w:rPr>
            </w:pPr>
          </w:p>
          <w:p>
            <w:pPr>
              <w:spacing w:line="360" w:lineRule="exact"/>
              <w:rPr>
                <w:color w:val="auto"/>
                <w:highlight w:val="none"/>
                <w:lang w:val="zh-CN"/>
              </w:rPr>
            </w:pPr>
            <w:r>
              <w:rPr>
                <w:color w:val="auto"/>
                <w:highlight w:val="none"/>
                <w:lang w:val="zh-CN"/>
              </w:rPr>
              <w:t>电动比例积分调节阀</w:t>
            </w:r>
          </w:p>
        </w:tc>
        <w:tc>
          <w:tcPr>
            <w:tcW w:w="7736" w:type="dxa"/>
            <w:vAlign w:val="center"/>
          </w:tcPr>
          <w:p>
            <w:pPr>
              <w:spacing w:line="360" w:lineRule="exact"/>
              <w:rPr>
                <w:b/>
                <w:bCs/>
                <w:color w:val="auto"/>
                <w:highlight w:val="none"/>
                <w:lang w:val="zh-CN" w:eastAsia="zh-CN"/>
              </w:rPr>
            </w:pPr>
            <w:r>
              <w:rPr>
                <w:b/>
                <w:bCs/>
                <w:color w:val="auto"/>
                <w:highlight w:val="none"/>
                <w:lang w:val="zh-CN" w:eastAsia="zh-CN"/>
              </w:rPr>
              <w:t>技术要求：</w:t>
            </w:r>
          </w:p>
          <w:p>
            <w:pPr>
              <w:spacing w:line="360" w:lineRule="exact"/>
              <w:rPr>
                <w:color w:val="auto"/>
                <w:highlight w:val="none"/>
                <w:lang w:val="zh-CN" w:eastAsia="zh-CN"/>
              </w:rPr>
            </w:pPr>
            <w:r>
              <w:rPr>
                <w:color w:val="auto"/>
                <w:highlight w:val="none"/>
                <w:lang w:val="zh-CN" w:eastAsia="zh-CN"/>
              </w:rPr>
              <w:t>1.具备位置反馈功能</w:t>
            </w:r>
          </w:p>
          <w:p>
            <w:pPr>
              <w:spacing w:line="360" w:lineRule="exact"/>
              <w:rPr>
                <w:color w:val="auto"/>
                <w:highlight w:val="none"/>
                <w:lang w:val="zh-CN" w:eastAsia="zh-CN"/>
              </w:rPr>
            </w:pPr>
            <w:r>
              <w:rPr>
                <w:color w:val="auto"/>
                <w:highlight w:val="none"/>
                <w:lang w:val="zh-CN" w:eastAsia="zh-CN"/>
              </w:rPr>
              <w:t>2.具备手动开关</w:t>
            </w:r>
          </w:p>
          <w:p>
            <w:pPr>
              <w:keepNext/>
              <w:spacing w:line="360" w:lineRule="exact"/>
              <w:ind w:left="420" w:hanging="420"/>
              <w:outlineLvl w:val="2"/>
              <w:rPr>
                <w:color w:val="auto"/>
                <w:highlight w:val="none"/>
                <w:lang w:val="zh-CN" w:eastAsia="zh-CN"/>
              </w:rPr>
            </w:pPr>
            <w:r>
              <w:rPr>
                <w:color w:val="auto"/>
                <w:highlight w:val="none"/>
                <w:lang w:val="zh-CN" w:eastAsia="zh-CN"/>
              </w:rPr>
              <w:t>3. 工作压力：1.6MPa</w:t>
            </w:r>
          </w:p>
          <w:p>
            <w:pPr>
              <w:spacing w:line="360" w:lineRule="exact"/>
              <w:rPr>
                <w:color w:val="auto"/>
                <w:highlight w:val="none"/>
                <w:lang w:val="zh-CN" w:eastAsia="zh-CN"/>
              </w:rPr>
            </w:pPr>
            <w:r>
              <w:rPr>
                <w:color w:val="auto"/>
                <w:highlight w:val="none"/>
                <w:lang w:val="zh-CN" w:eastAsia="zh-CN"/>
              </w:rPr>
              <w:t>4.控制信号：0-10VDC</w:t>
            </w:r>
          </w:p>
          <w:p>
            <w:pPr>
              <w:spacing w:line="360" w:lineRule="exact"/>
              <w:rPr>
                <w:color w:val="auto"/>
                <w:highlight w:val="none"/>
                <w:lang w:val="zh-CN" w:eastAsia="zh-CN"/>
              </w:rPr>
            </w:pPr>
            <w:r>
              <w:rPr>
                <w:color w:val="auto"/>
                <w:highlight w:val="none"/>
                <w:lang w:val="zh-CN" w:eastAsia="zh-CN"/>
              </w:rPr>
              <w:t>5.泄漏率：≤0.1Kvs</w:t>
            </w:r>
          </w:p>
          <w:p>
            <w:pPr>
              <w:spacing w:line="360" w:lineRule="exact"/>
              <w:rPr>
                <w:color w:val="auto"/>
                <w:highlight w:val="none"/>
                <w:lang w:val="zh-CN" w:eastAsia="zh-CN"/>
              </w:rPr>
            </w:pPr>
            <w:r>
              <w:rPr>
                <w:color w:val="auto"/>
                <w:highlight w:val="none"/>
                <w:lang w:val="zh-CN" w:eastAsia="zh-CN"/>
              </w:rPr>
              <w:t>6.阀门全行程时间：≤120秒</w:t>
            </w:r>
          </w:p>
          <w:p>
            <w:pPr>
              <w:spacing w:line="360" w:lineRule="exact"/>
              <w:rPr>
                <w:color w:val="auto"/>
                <w:highlight w:val="none"/>
                <w:lang w:val="zh-CN" w:eastAsia="zh-CN"/>
              </w:rPr>
            </w:pPr>
            <w:r>
              <w:rPr>
                <w:color w:val="auto"/>
                <w:highlight w:val="none"/>
                <w:lang w:val="zh-CN" w:eastAsia="zh-CN"/>
              </w:rPr>
              <w:t>7.材料：阀体：≤DN50铜，&gt; DN50铸铁或球墨铸铁；阀杆：不锈钢；阀芯：铜或不锈钢；密封：三元乙丙橡胶</w:t>
            </w:r>
          </w:p>
          <w:p>
            <w:pPr>
              <w:spacing w:line="360" w:lineRule="exact"/>
              <w:rPr>
                <w:color w:val="auto"/>
                <w:highlight w:val="none"/>
                <w:lang w:val="zh-CN" w:eastAsia="zh-CN"/>
              </w:rPr>
            </w:pPr>
            <w:r>
              <w:rPr>
                <w:color w:val="auto"/>
                <w:highlight w:val="none"/>
                <w:lang w:val="zh-CN" w:eastAsia="zh-CN"/>
              </w:rPr>
              <w:t>8.连接方式：≤DN50丝扣连接； &gt;DN50法兰连接</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728" w:type="dxa"/>
            <w:vAlign w:val="center"/>
          </w:tcPr>
          <w:p>
            <w:pPr>
              <w:rPr>
                <w:color w:val="auto"/>
                <w:highlight w:val="none"/>
              </w:rPr>
            </w:pPr>
            <w:r>
              <w:rPr>
                <w:color w:val="auto"/>
                <w:highlight w:val="none"/>
              </w:rPr>
              <w:t>6</w:t>
            </w:r>
          </w:p>
        </w:tc>
        <w:tc>
          <w:tcPr>
            <w:tcW w:w="1260" w:type="dxa"/>
            <w:vAlign w:val="center"/>
          </w:tcPr>
          <w:p>
            <w:pPr>
              <w:rPr>
                <w:color w:val="auto"/>
                <w:highlight w:val="none"/>
                <w:lang w:eastAsia="zh-CN"/>
              </w:rPr>
            </w:pPr>
            <w:r>
              <w:rPr>
                <w:rFonts w:hint="eastAsia"/>
                <w:color w:val="auto"/>
                <w:highlight w:val="none"/>
                <w:lang w:eastAsia="zh-CN"/>
              </w:rPr>
              <w:t>水阀门</w:t>
            </w:r>
          </w:p>
          <w:p>
            <w:pPr>
              <w:rPr>
                <w:color w:val="auto"/>
                <w:highlight w:val="none"/>
                <w:lang w:eastAsia="zh-CN"/>
              </w:rPr>
            </w:pPr>
            <w:r>
              <w:rPr>
                <w:rFonts w:hint="eastAsia"/>
                <w:color w:val="auto"/>
                <w:highlight w:val="none"/>
                <w:lang w:eastAsia="zh-CN"/>
              </w:rPr>
              <w:t>（包含手动蝶阀、</w:t>
            </w:r>
            <w:r>
              <w:rPr>
                <w:color w:val="auto"/>
                <w:highlight w:val="none"/>
                <w:lang w:eastAsia="zh-CN"/>
              </w:rPr>
              <w:t>Y</w:t>
            </w:r>
            <w:r>
              <w:rPr>
                <w:rFonts w:hint="eastAsia"/>
                <w:color w:val="auto"/>
                <w:highlight w:val="none"/>
                <w:lang w:eastAsia="zh-CN"/>
              </w:rPr>
              <w:t>型过滤器、法兰止回阀、闸阀等）</w:t>
            </w:r>
          </w:p>
        </w:tc>
        <w:tc>
          <w:tcPr>
            <w:tcW w:w="7736" w:type="dxa"/>
            <w:vAlign w:val="center"/>
          </w:tcPr>
          <w:p>
            <w:pPr>
              <w:rPr>
                <w:color w:val="auto"/>
                <w:highlight w:val="none"/>
                <w:lang w:eastAsia="zh-CN"/>
              </w:rPr>
            </w:pPr>
            <w:r>
              <w:rPr>
                <w:rFonts w:hint="eastAsia"/>
                <w:color w:val="auto"/>
                <w:highlight w:val="none"/>
                <w:lang w:eastAsia="zh-CN"/>
              </w:rPr>
              <w:t>技术要求：</w:t>
            </w:r>
          </w:p>
          <w:p>
            <w:pPr>
              <w:rPr>
                <w:color w:val="auto"/>
                <w:highlight w:val="none"/>
                <w:lang w:eastAsia="zh-CN"/>
              </w:rPr>
            </w:pPr>
            <w:r>
              <w:rPr>
                <w:color w:val="auto"/>
                <w:highlight w:val="none"/>
                <w:lang w:eastAsia="zh-CN"/>
              </w:rPr>
              <w:t>1</w:t>
            </w:r>
            <w:r>
              <w:rPr>
                <w:rFonts w:hint="eastAsia"/>
                <w:color w:val="auto"/>
                <w:highlight w:val="none"/>
                <w:lang w:eastAsia="zh-CN"/>
              </w:rPr>
              <w:t>、阀门型号、规格、耐压强度和严密性试验结果符合设计及有关规范、标准要求；</w:t>
            </w:r>
          </w:p>
          <w:p>
            <w:pPr>
              <w:rPr>
                <w:color w:val="auto"/>
                <w:highlight w:val="none"/>
                <w:lang w:eastAsia="zh-CN"/>
              </w:rPr>
            </w:pPr>
            <w:r>
              <w:rPr>
                <w:color w:val="auto"/>
                <w:highlight w:val="none"/>
                <w:lang w:eastAsia="zh-CN"/>
              </w:rPr>
              <w:t>2</w:t>
            </w:r>
            <w:r>
              <w:rPr>
                <w:rFonts w:hint="eastAsia"/>
                <w:color w:val="auto"/>
                <w:highlight w:val="none"/>
                <w:lang w:eastAsia="zh-CN"/>
              </w:rPr>
              <w:t>、外观良好、无锈斑；阀门的铭牌应符合现行国家标准《通用阀门标志》（</w:t>
            </w:r>
            <w:r>
              <w:rPr>
                <w:color w:val="auto"/>
                <w:highlight w:val="none"/>
                <w:lang w:eastAsia="zh-CN"/>
              </w:rPr>
              <w:t>GB12220</w:t>
            </w:r>
            <w:r>
              <w:rPr>
                <w:rFonts w:hint="eastAsia"/>
                <w:color w:val="auto"/>
                <w:highlight w:val="none"/>
                <w:lang w:eastAsia="zh-CN"/>
              </w:rPr>
              <w:t>）的规定；</w:t>
            </w:r>
          </w:p>
          <w:p>
            <w:pPr>
              <w:rPr>
                <w:color w:val="auto"/>
                <w:highlight w:val="none"/>
                <w:lang w:eastAsia="zh-CN"/>
              </w:rPr>
            </w:pPr>
            <w:r>
              <w:rPr>
                <w:color w:val="auto"/>
                <w:highlight w:val="none"/>
                <w:lang w:eastAsia="zh-CN"/>
              </w:rPr>
              <w:t>3</w:t>
            </w:r>
            <w:r>
              <w:rPr>
                <w:rFonts w:hint="eastAsia"/>
                <w:color w:val="auto"/>
                <w:highlight w:val="none"/>
                <w:lang w:eastAsia="zh-CN"/>
              </w:rPr>
              <w:t>、启闭灵活、关闭严密性好；</w:t>
            </w:r>
          </w:p>
          <w:p>
            <w:pPr>
              <w:rPr>
                <w:color w:val="auto"/>
                <w:highlight w:val="none"/>
                <w:lang w:eastAsia="zh-CN"/>
              </w:rPr>
            </w:pPr>
            <w:r>
              <w:rPr>
                <w:color w:val="auto"/>
                <w:highlight w:val="none"/>
                <w:lang w:eastAsia="zh-CN"/>
              </w:rPr>
              <w:t>4</w:t>
            </w:r>
            <w:r>
              <w:rPr>
                <w:rFonts w:hint="eastAsia"/>
                <w:color w:val="auto"/>
                <w:highlight w:val="none"/>
                <w:lang w:eastAsia="zh-CN"/>
              </w:rPr>
              <w:t>、阀杆与阀体结合部位不渗漏，采用优质橡胶密封材料。严禁使用再生橡胶。具有较好的抗老化和耐磨性；</w:t>
            </w:r>
          </w:p>
          <w:p>
            <w:pPr>
              <w:rPr>
                <w:color w:val="auto"/>
                <w:highlight w:val="none"/>
                <w:lang w:eastAsia="zh-CN"/>
              </w:rPr>
            </w:pPr>
            <w:r>
              <w:rPr>
                <w:color w:val="auto"/>
                <w:highlight w:val="none"/>
                <w:lang w:eastAsia="zh-CN"/>
              </w:rPr>
              <w:t>5</w:t>
            </w:r>
            <w:r>
              <w:rPr>
                <w:rFonts w:hint="eastAsia"/>
                <w:color w:val="auto"/>
                <w:highlight w:val="none"/>
                <w:lang w:eastAsia="zh-CN"/>
              </w:rPr>
              <w:t>、钢制阀门应符合：</w:t>
            </w:r>
          </w:p>
          <w:p>
            <w:pPr>
              <w:rPr>
                <w:color w:val="auto"/>
                <w:highlight w:val="none"/>
                <w:lang w:eastAsia="zh-CN"/>
              </w:rPr>
            </w:pPr>
            <w:r>
              <w:rPr>
                <w:color w:val="auto"/>
                <w:highlight w:val="none"/>
                <w:lang w:eastAsia="zh-CN"/>
              </w:rPr>
              <w:t>5.1</w:t>
            </w:r>
            <w:r>
              <w:rPr>
                <w:rFonts w:hint="eastAsia"/>
                <w:color w:val="auto"/>
                <w:highlight w:val="none"/>
                <w:lang w:eastAsia="zh-CN"/>
              </w:rPr>
              <w:t>阀体、阀盖采用优质球墨铸铁材料，机械加工精度高。</w:t>
            </w:r>
          </w:p>
          <w:p>
            <w:pPr>
              <w:rPr>
                <w:color w:val="auto"/>
                <w:highlight w:val="none"/>
                <w:lang w:eastAsia="zh-CN"/>
              </w:rPr>
            </w:pPr>
            <w:r>
              <w:rPr>
                <w:color w:val="auto"/>
                <w:highlight w:val="none"/>
                <w:lang w:eastAsia="zh-CN"/>
              </w:rPr>
              <w:t xml:space="preserve">5.2 </w:t>
            </w:r>
            <w:r>
              <w:rPr>
                <w:rFonts w:hint="eastAsia"/>
                <w:color w:val="auto"/>
                <w:highlight w:val="none"/>
                <w:lang w:eastAsia="zh-CN"/>
              </w:rPr>
              <w:t>阀干采用不锈钢材料。</w:t>
            </w:r>
          </w:p>
          <w:p>
            <w:pPr>
              <w:rPr>
                <w:color w:val="auto"/>
                <w:highlight w:val="none"/>
                <w:lang w:eastAsia="zh-CN"/>
              </w:rPr>
            </w:pPr>
            <w:r>
              <w:rPr>
                <w:color w:val="auto"/>
                <w:highlight w:val="none"/>
                <w:lang w:eastAsia="zh-CN"/>
              </w:rPr>
              <w:t>5.3</w:t>
            </w:r>
            <w:r>
              <w:rPr>
                <w:rFonts w:hint="eastAsia"/>
                <w:color w:val="auto"/>
                <w:highlight w:val="none"/>
                <w:lang w:eastAsia="zh-CN"/>
              </w:rPr>
              <w:t>阀芯、阀板应采用优质球墨铸铁或不锈钢材料。</w:t>
            </w:r>
          </w:p>
          <w:p>
            <w:pPr>
              <w:rPr>
                <w:color w:val="auto"/>
                <w:highlight w:val="none"/>
                <w:lang w:eastAsia="zh-CN"/>
              </w:rPr>
            </w:pPr>
            <w:r>
              <w:rPr>
                <w:color w:val="auto"/>
                <w:highlight w:val="none"/>
                <w:lang w:eastAsia="zh-CN"/>
              </w:rPr>
              <w:t>5.4</w:t>
            </w:r>
            <w:r>
              <w:rPr>
                <w:rFonts w:hint="eastAsia"/>
                <w:color w:val="auto"/>
                <w:highlight w:val="none"/>
                <w:lang w:eastAsia="zh-CN"/>
              </w:rPr>
              <w:t>﹤</w:t>
            </w:r>
            <w:r>
              <w:rPr>
                <w:color w:val="auto"/>
                <w:highlight w:val="none"/>
                <w:lang w:eastAsia="zh-CN"/>
              </w:rPr>
              <w:t>DN100</w:t>
            </w:r>
            <w:r>
              <w:rPr>
                <w:rFonts w:hint="eastAsia"/>
                <w:color w:val="auto"/>
                <w:highlight w:val="none"/>
                <w:lang w:eastAsia="zh-CN"/>
              </w:rPr>
              <w:t>采用手柄式，≧</w:t>
            </w:r>
            <w:r>
              <w:rPr>
                <w:color w:val="auto"/>
                <w:highlight w:val="none"/>
                <w:lang w:eastAsia="zh-CN"/>
              </w:rPr>
              <w:t>DN100</w:t>
            </w:r>
            <w:r>
              <w:rPr>
                <w:rFonts w:hint="eastAsia"/>
                <w:color w:val="auto"/>
                <w:highlight w:val="none"/>
                <w:lang w:eastAsia="zh-CN"/>
              </w:rPr>
              <w:t>采用涡轮式。</w:t>
            </w:r>
          </w:p>
          <w:p>
            <w:pPr>
              <w:rPr>
                <w:color w:val="auto"/>
                <w:highlight w:val="none"/>
                <w:lang w:eastAsia="zh-CN"/>
              </w:rPr>
            </w:pPr>
            <w:r>
              <w:rPr>
                <w:color w:val="auto"/>
                <w:highlight w:val="none"/>
                <w:lang w:eastAsia="zh-CN"/>
              </w:rPr>
              <w:t>5.5</w:t>
            </w:r>
            <w:r>
              <w:rPr>
                <w:rFonts w:hint="eastAsia"/>
                <w:color w:val="auto"/>
                <w:highlight w:val="none"/>
                <w:lang w:eastAsia="zh-CN"/>
              </w:rPr>
              <w:t>阀体表面采用尼龙</w:t>
            </w:r>
            <w:r>
              <w:rPr>
                <w:color w:val="auto"/>
                <w:highlight w:val="none"/>
                <w:lang w:eastAsia="zh-CN"/>
              </w:rPr>
              <w:t>11</w:t>
            </w:r>
            <w:r>
              <w:rPr>
                <w:rFonts w:hint="eastAsia"/>
                <w:color w:val="auto"/>
                <w:highlight w:val="none"/>
                <w:lang w:eastAsia="zh-CN"/>
              </w:rPr>
              <w:t>耐腐涂料喷涂，或采用环氧树脂及其它优质防腐涂料喷涂，以保证具有较强的抗锈蚀性。</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728" w:type="dxa"/>
            <w:vAlign w:val="center"/>
          </w:tcPr>
          <w:p>
            <w:pPr>
              <w:rPr>
                <w:color w:val="auto"/>
                <w:highlight w:val="none"/>
              </w:rPr>
            </w:pPr>
            <w:r>
              <w:rPr>
                <w:color w:val="auto"/>
                <w:highlight w:val="none"/>
              </w:rPr>
              <w:t>7</w:t>
            </w:r>
          </w:p>
        </w:tc>
        <w:tc>
          <w:tcPr>
            <w:tcW w:w="1260" w:type="dxa"/>
            <w:vAlign w:val="center"/>
          </w:tcPr>
          <w:p>
            <w:pPr>
              <w:rPr>
                <w:color w:val="auto"/>
                <w:highlight w:val="none"/>
              </w:rPr>
            </w:pPr>
            <w:r>
              <w:rPr>
                <w:rFonts w:hint="eastAsia"/>
                <w:color w:val="auto"/>
                <w:highlight w:val="none"/>
              </w:rPr>
              <w:t>温度计</w:t>
            </w:r>
          </w:p>
          <w:p>
            <w:pPr>
              <w:rPr>
                <w:color w:val="auto"/>
                <w:highlight w:val="none"/>
              </w:rPr>
            </w:pPr>
            <w:r>
              <w:rPr>
                <w:rFonts w:hint="eastAsia"/>
                <w:color w:val="auto"/>
                <w:highlight w:val="none"/>
              </w:rPr>
              <w:t>压力表</w:t>
            </w:r>
          </w:p>
        </w:tc>
        <w:tc>
          <w:tcPr>
            <w:tcW w:w="7736" w:type="dxa"/>
            <w:vAlign w:val="center"/>
          </w:tcPr>
          <w:p>
            <w:pPr>
              <w:rPr>
                <w:color w:val="auto"/>
                <w:highlight w:val="none"/>
                <w:lang w:eastAsia="zh-CN"/>
              </w:rPr>
            </w:pPr>
            <w:r>
              <w:rPr>
                <w:color w:val="auto"/>
                <w:highlight w:val="none"/>
                <w:lang w:eastAsia="zh-CN"/>
              </w:rPr>
              <w:t>1</w:t>
            </w:r>
            <w:r>
              <w:rPr>
                <w:rFonts w:hint="eastAsia"/>
                <w:color w:val="auto"/>
                <w:highlight w:val="none"/>
                <w:lang w:eastAsia="zh-CN"/>
              </w:rPr>
              <w:t>、国产名优品牌；</w:t>
            </w:r>
          </w:p>
          <w:p>
            <w:pPr>
              <w:rPr>
                <w:color w:val="auto"/>
                <w:highlight w:val="none"/>
                <w:lang w:eastAsia="zh-CN"/>
              </w:rPr>
            </w:pPr>
            <w:r>
              <w:rPr>
                <w:color w:val="auto"/>
                <w:highlight w:val="none"/>
                <w:lang w:eastAsia="zh-CN"/>
              </w:rPr>
              <w:t>2</w:t>
            </w:r>
            <w:r>
              <w:rPr>
                <w:rFonts w:hint="eastAsia"/>
                <w:color w:val="auto"/>
                <w:highlight w:val="none"/>
                <w:lang w:eastAsia="zh-CN"/>
              </w:rPr>
              <w:t>、符合设计及有关规范、标准要求；</w:t>
            </w:r>
          </w:p>
          <w:p>
            <w:pPr>
              <w:rPr>
                <w:color w:val="auto"/>
                <w:highlight w:val="none"/>
                <w:lang w:eastAsia="zh-CN"/>
              </w:rPr>
            </w:pPr>
            <w:r>
              <w:rPr>
                <w:color w:val="auto"/>
                <w:highlight w:val="none"/>
                <w:lang w:eastAsia="zh-CN"/>
              </w:rPr>
              <w:t>3</w:t>
            </w:r>
            <w:r>
              <w:rPr>
                <w:rFonts w:hint="eastAsia"/>
                <w:color w:val="auto"/>
                <w:highlight w:val="none"/>
                <w:lang w:eastAsia="zh-CN"/>
              </w:rPr>
              <w:t>、温度计应采用适当长度、探温刻度符合系统操作要求及以红色读数显示的水银温度计。直身型不锈钢外壳连玻璃面板，并配有不锈钢管道温度探测井；</w:t>
            </w:r>
          </w:p>
          <w:p>
            <w:pPr>
              <w:rPr>
                <w:color w:val="auto"/>
                <w:highlight w:val="none"/>
                <w:lang w:eastAsia="zh-CN"/>
              </w:rPr>
            </w:pPr>
            <w:r>
              <w:rPr>
                <w:color w:val="auto"/>
                <w:highlight w:val="none"/>
                <w:lang w:eastAsia="zh-CN"/>
              </w:rPr>
              <w:t>4</w:t>
            </w:r>
            <w:r>
              <w:rPr>
                <w:rFonts w:hint="eastAsia"/>
                <w:color w:val="auto"/>
                <w:highlight w:val="none"/>
                <w:lang w:eastAsia="zh-CN"/>
              </w:rPr>
              <w:t>、压力仪表应采用青铜弹簧感应器、精密的移动和测微调节。须同时提供适合有关系统工作压力的脉冲缓冲器、钢管配件及铜制针状球型截止阀；</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728" w:type="dxa"/>
            <w:vAlign w:val="center"/>
          </w:tcPr>
          <w:p>
            <w:pPr>
              <w:rPr>
                <w:color w:val="auto"/>
                <w:highlight w:val="none"/>
              </w:rPr>
            </w:pPr>
            <w:r>
              <w:rPr>
                <w:color w:val="auto"/>
                <w:highlight w:val="none"/>
              </w:rPr>
              <w:t>8</w:t>
            </w:r>
          </w:p>
        </w:tc>
        <w:tc>
          <w:tcPr>
            <w:tcW w:w="1260" w:type="dxa"/>
            <w:vAlign w:val="center"/>
          </w:tcPr>
          <w:p>
            <w:pPr>
              <w:rPr>
                <w:color w:val="auto"/>
                <w:highlight w:val="none"/>
                <w:lang w:eastAsia="zh-CN"/>
              </w:rPr>
            </w:pPr>
            <w:r>
              <w:rPr>
                <w:rFonts w:hint="eastAsia"/>
                <w:color w:val="auto"/>
                <w:highlight w:val="none"/>
                <w:lang w:eastAsia="zh-CN"/>
              </w:rPr>
              <w:t>水管材</w:t>
            </w:r>
          </w:p>
          <w:p>
            <w:pPr>
              <w:rPr>
                <w:color w:val="auto"/>
                <w:highlight w:val="none"/>
                <w:lang w:eastAsia="zh-CN"/>
              </w:rPr>
            </w:pPr>
            <w:r>
              <w:rPr>
                <w:rFonts w:hint="eastAsia"/>
                <w:color w:val="auto"/>
                <w:highlight w:val="none"/>
                <w:lang w:eastAsia="zh-CN"/>
              </w:rPr>
              <w:t>（焊接钢管、热镀锌钢管、无缝钢管、螺旋电焊钢管、铜管、）</w:t>
            </w:r>
          </w:p>
        </w:tc>
        <w:tc>
          <w:tcPr>
            <w:tcW w:w="7736" w:type="dxa"/>
            <w:vAlign w:val="center"/>
          </w:tcPr>
          <w:p>
            <w:pPr>
              <w:rPr>
                <w:color w:val="auto"/>
                <w:highlight w:val="none"/>
                <w:lang w:eastAsia="zh-CN"/>
              </w:rPr>
            </w:pPr>
            <w:r>
              <w:rPr>
                <w:rFonts w:hint="eastAsia"/>
                <w:color w:val="auto"/>
                <w:highlight w:val="none"/>
                <w:lang w:eastAsia="zh-CN"/>
              </w:rPr>
              <w:t>技术要求</w:t>
            </w:r>
          </w:p>
          <w:p>
            <w:pPr>
              <w:rPr>
                <w:color w:val="auto"/>
                <w:highlight w:val="none"/>
                <w:lang w:eastAsia="zh-CN"/>
              </w:rPr>
            </w:pPr>
            <w:r>
              <w:rPr>
                <w:color w:val="auto"/>
                <w:highlight w:val="none"/>
                <w:lang w:eastAsia="zh-CN"/>
              </w:rPr>
              <w:t>1</w:t>
            </w:r>
            <w:r>
              <w:rPr>
                <w:rFonts w:hint="eastAsia"/>
                <w:color w:val="auto"/>
                <w:highlight w:val="none"/>
                <w:lang w:eastAsia="zh-CN"/>
              </w:rPr>
              <w:t>、产品的材质、规格应根据设计要求选用，质量符合要求，有出厂合格证；</w:t>
            </w:r>
          </w:p>
          <w:p>
            <w:pPr>
              <w:rPr>
                <w:color w:val="auto"/>
                <w:highlight w:val="none"/>
                <w:lang w:eastAsia="zh-CN"/>
              </w:rPr>
            </w:pPr>
            <w:r>
              <w:rPr>
                <w:color w:val="auto"/>
                <w:highlight w:val="none"/>
                <w:lang w:eastAsia="zh-CN"/>
              </w:rPr>
              <w:t>2</w:t>
            </w:r>
            <w:r>
              <w:rPr>
                <w:rFonts w:hint="eastAsia"/>
                <w:color w:val="auto"/>
                <w:highlight w:val="none"/>
                <w:lang w:eastAsia="zh-CN"/>
              </w:rPr>
              <w:t>、公称压力大于各系统设计要求的试验压力；</w:t>
            </w:r>
          </w:p>
          <w:p>
            <w:pPr>
              <w:rPr>
                <w:color w:val="auto"/>
                <w:highlight w:val="none"/>
                <w:lang w:eastAsia="zh-CN"/>
              </w:rPr>
            </w:pPr>
            <w:r>
              <w:rPr>
                <w:color w:val="auto"/>
                <w:highlight w:val="none"/>
                <w:lang w:eastAsia="zh-CN"/>
              </w:rPr>
              <w:t>3</w:t>
            </w:r>
            <w:r>
              <w:rPr>
                <w:rFonts w:hint="eastAsia"/>
                <w:color w:val="auto"/>
                <w:highlight w:val="none"/>
                <w:lang w:eastAsia="zh-CN"/>
              </w:rPr>
              <w:t>、热镀锌钢管内外表面镀锌完整，不得有未镀的黑斑、气泡。所用钢材的牌号及化学成分符合</w:t>
            </w:r>
            <w:r>
              <w:rPr>
                <w:color w:val="auto"/>
                <w:highlight w:val="none"/>
                <w:lang w:eastAsia="zh-CN"/>
              </w:rPr>
              <w:t>GB3029</w:t>
            </w:r>
            <w:r>
              <w:rPr>
                <w:rFonts w:hint="eastAsia"/>
                <w:color w:val="auto"/>
                <w:highlight w:val="none"/>
                <w:lang w:eastAsia="zh-CN"/>
              </w:rPr>
              <w:t>的规定；</w:t>
            </w:r>
          </w:p>
          <w:p>
            <w:pPr>
              <w:rPr>
                <w:color w:val="auto"/>
                <w:highlight w:val="none"/>
                <w:lang w:eastAsia="zh-CN"/>
              </w:rPr>
            </w:pPr>
            <w:r>
              <w:rPr>
                <w:color w:val="auto"/>
                <w:highlight w:val="none"/>
                <w:lang w:eastAsia="zh-CN"/>
              </w:rPr>
              <w:t>4</w:t>
            </w:r>
            <w:r>
              <w:rPr>
                <w:rFonts w:hint="eastAsia"/>
                <w:color w:val="auto"/>
                <w:highlight w:val="none"/>
                <w:lang w:eastAsia="zh-CN"/>
              </w:rPr>
              <w:t>、焊接钢管的管材和管件规格、压力等级、加工质量等，应符合现行的国家《</w:t>
            </w:r>
            <w:r>
              <w:rPr>
                <w:color w:val="auto"/>
                <w:highlight w:val="none"/>
                <w:lang w:eastAsia="zh-CN"/>
              </w:rPr>
              <w:t>GB/T3092-93</w:t>
            </w:r>
            <w:r>
              <w:rPr>
                <w:rFonts w:hint="eastAsia"/>
                <w:color w:val="auto"/>
                <w:highlight w:val="none"/>
                <w:lang w:eastAsia="zh-CN"/>
              </w:rPr>
              <w:t>》标准或行业生产技术标准。表面无裂纹、缩孔、夹渣、折叠、重皮等缺陷，不得有超过壁厚负偏差锈蚀或凹陷；</w:t>
            </w:r>
          </w:p>
          <w:p>
            <w:pPr>
              <w:rPr>
                <w:color w:val="auto"/>
                <w:highlight w:val="none"/>
              </w:rPr>
            </w:pPr>
            <w:r>
              <w:rPr>
                <w:color w:val="auto"/>
                <w:highlight w:val="none"/>
                <w:lang w:eastAsia="zh-CN"/>
              </w:rPr>
              <w:t>5</w:t>
            </w:r>
            <w:r>
              <w:rPr>
                <w:rFonts w:hint="eastAsia"/>
                <w:color w:val="auto"/>
                <w:highlight w:val="none"/>
                <w:lang w:eastAsia="zh-CN"/>
              </w:rPr>
              <w:t>、无缝钢管所用钢材的牌号及化学成分符合</w:t>
            </w:r>
            <w:r>
              <w:rPr>
                <w:color w:val="auto"/>
                <w:highlight w:val="none"/>
                <w:lang w:eastAsia="zh-CN"/>
              </w:rPr>
              <w:t>GB/T699</w:t>
            </w:r>
            <w:r>
              <w:rPr>
                <w:rFonts w:hint="eastAsia"/>
                <w:color w:val="auto"/>
                <w:highlight w:val="none"/>
                <w:lang w:eastAsia="zh-CN"/>
              </w:rPr>
              <w:t>、</w:t>
            </w:r>
            <w:r>
              <w:rPr>
                <w:color w:val="auto"/>
                <w:highlight w:val="none"/>
                <w:lang w:eastAsia="zh-CN"/>
              </w:rPr>
              <w:t>GB/T1591</w:t>
            </w:r>
            <w:r>
              <w:rPr>
                <w:rFonts w:hint="eastAsia"/>
                <w:color w:val="auto"/>
                <w:highlight w:val="none"/>
                <w:lang w:eastAsia="zh-CN"/>
              </w:rPr>
              <w:t>的规定。化学成分的偏差符合</w:t>
            </w:r>
            <w:r>
              <w:rPr>
                <w:color w:val="auto"/>
                <w:highlight w:val="none"/>
                <w:lang w:eastAsia="zh-CN"/>
              </w:rPr>
              <w:t>GB/T222-1984</w:t>
            </w:r>
            <w:r>
              <w:rPr>
                <w:rFonts w:hint="eastAsia"/>
                <w:color w:val="auto"/>
                <w:highlight w:val="none"/>
                <w:lang w:eastAsia="zh-CN"/>
              </w:rPr>
              <w:t>表</w:t>
            </w:r>
            <w:r>
              <w:rPr>
                <w:color w:val="auto"/>
                <w:highlight w:val="none"/>
                <w:lang w:eastAsia="zh-CN"/>
              </w:rPr>
              <w:t>1</w:t>
            </w:r>
            <w:r>
              <w:rPr>
                <w:rFonts w:hint="eastAsia"/>
                <w:color w:val="auto"/>
                <w:highlight w:val="none"/>
                <w:lang w:eastAsia="zh-CN"/>
              </w:rPr>
              <w:t>、表</w:t>
            </w:r>
            <w:r>
              <w:rPr>
                <w:color w:val="auto"/>
                <w:highlight w:val="none"/>
                <w:lang w:eastAsia="zh-CN"/>
              </w:rPr>
              <w:t>2</w:t>
            </w:r>
            <w:r>
              <w:rPr>
                <w:rFonts w:hint="eastAsia"/>
                <w:color w:val="auto"/>
                <w:highlight w:val="none"/>
                <w:lang w:eastAsia="zh-CN"/>
              </w:rPr>
              <w:t>的规定。</w:t>
            </w:r>
            <w:r>
              <w:rPr>
                <w:rFonts w:hint="eastAsia"/>
                <w:color w:val="auto"/>
                <w:highlight w:val="none"/>
              </w:rPr>
              <w:t>外径、壁厚符合</w:t>
            </w:r>
            <w:r>
              <w:rPr>
                <w:color w:val="auto"/>
                <w:highlight w:val="none"/>
              </w:rPr>
              <w:t>GB/T1739</w:t>
            </w:r>
            <w:r>
              <w:rPr>
                <w:rFonts w:hint="eastAsia"/>
                <w:color w:val="auto"/>
                <w:highlight w:val="none"/>
              </w:rPr>
              <w:t>的规定。</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728" w:type="dxa"/>
            <w:vAlign w:val="center"/>
          </w:tcPr>
          <w:p>
            <w:pPr>
              <w:rPr>
                <w:color w:val="auto"/>
                <w:highlight w:val="none"/>
              </w:rPr>
            </w:pPr>
            <w:r>
              <w:rPr>
                <w:color w:val="auto"/>
                <w:highlight w:val="none"/>
              </w:rPr>
              <w:t>9</w:t>
            </w:r>
          </w:p>
        </w:tc>
        <w:tc>
          <w:tcPr>
            <w:tcW w:w="1260" w:type="dxa"/>
            <w:vAlign w:val="center"/>
          </w:tcPr>
          <w:p>
            <w:pPr>
              <w:rPr>
                <w:color w:val="auto"/>
                <w:highlight w:val="none"/>
              </w:rPr>
            </w:pPr>
            <w:r>
              <w:rPr>
                <w:rFonts w:hint="eastAsia"/>
                <w:color w:val="auto"/>
                <w:highlight w:val="none"/>
              </w:rPr>
              <w:t>橡胶软接头</w:t>
            </w:r>
          </w:p>
        </w:tc>
        <w:tc>
          <w:tcPr>
            <w:tcW w:w="7736" w:type="dxa"/>
            <w:vAlign w:val="center"/>
          </w:tcPr>
          <w:p>
            <w:pPr>
              <w:rPr>
                <w:color w:val="auto"/>
                <w:highlight w:val="none"/>
                <w:lang w:eastAsia="zh-CN"/>
              </w:rPr>
            </w:pPr>
            <w:r>
              <w:rPr>
                <w:rFonts w:hint="eastAsia"/>
                <w:color w:val="auto"/>
                <w:highlight w:val="none"/>
                <w:lang w:eastAsia="zh-CN"/>
              </w:rPr>
              <w:t>技术要求：</w:t>
            </w:r>
          </w:p>
          <w:p>
            <w:pPr>
              <w:rPr>
                <w:color w:val="auto"/>
                <w:highlight w:val="none"/>
                <w:lang w:eastAsia="zh-CN"/>
              </w:rPr>
            </w:pPr>
            <w:r>
              <w:rPr>
                <w:color w:val="auto"/>
                <w:highlight w:val="none"/>
                <w:lang w:eastAsia="zh-CN"/>
              </w:rPr>
              <w:t>1</w:t>
            </w:r>
            <w:r>
              <w:rPr>
                <w:rFonts w:hint="eastAsia"/>
                <w:color w:val="auto"/>
                <w:highlight w:val="none"/>
                <w:lang w:eastAsia="zh-CN"/>
              </w:rPr>
              <w:t>、公称压力大于各系统设计要求的试验压力。符合国家或行业的生产技术标准。</w:t>
            </w:r>
          </w:p>
          <w:p>
            <w:pPr>
              <w:rPr>
                <w:color w:val="auto"/>
                <w:highlight w:val="none"/>
                <w:lang w:eastAsia="zh-CN"/>
              </w:rPr>
            </w:pPr>
            <w:r>
              <w:rPr>
                <w:color w:val="auto"/>
                <w:highlight w:val="none"/>
                <w:lang w:eastAsia="zh-CN"/>
              </w:rPr>
              <w:t>2</w:t>
            </w:r>
            <w:r>
              <w:rPr>
                <w:rFonts w:hint="eastAsia"/>
                <w:color w:val="auto"/>
                <w:highlight w:val="none"/>
                <w:lang w:eastAsia="zh-CN"/>
              </w:rPr>
              <w:t>、符合设计及有关规范要求。外观良好。材质优良、机械加工精度高。强度大，弹性好、抗疲劳度高</w:t>
            </w:r>
            <w:r>
              <w:rPr>
                <w:color w:val="auto"/>
                <w:highlight w:val="none"/>
                <w:lang w:eastAsia="zh-CN"/>
              </w:rPr>
              <w:t xml:space="preserve"> </w:t>
            </w:r>
            <w:r>
              <w:rPr>
                <w:rFonts w:hint="eastAsia"/>
                <w:color w:val="auto"/>
                <w:highlight w:val="none"/>
                <w:lang w:eastAsia="zh-CN"/>
              </w:rPr>
              <w:t>。</w:t>
            </w:r>
          </w:p>
          <w:p>
            <w:pPr>
              <w:rPr>
                <w:color w:val="auto"/>
                <w:highlight w:val="none"/>
                <w:lang w:eastAsia="zh-CN"/>
              </w:rPr>
            </w:pPr>
            <w:r>
              <w:rPr>
                <w:color w:val="auto"/>
                <w:highlight w:val="none"/>
                <w:lang w:eastAsia="zh-CN"/>
              </w:rPr>
              <w:t>3</w:t>
            </w:r>
            <w:r>
              <w:rPr>
                <w:rFonts w:hint="eastAsia"/>
                <w:color w:val="auto"/>
                <w:highlight w:val="none"/>
                <w:lang w:eastAsia="zh-CN"/>
              </w:rPr>
              <w:t>、材料：</w:t>
            </w:r>
          </w:p>
          <w:p>
            <w:pPr>
              <w:rPr>
                <w:color w:val="auto"/>
                <w:highlight w:val="none"/>
                <w:lang w:eastAsia="zh-CN"/>
              </w:rPr>
            </w:pPr>
            <w:r>
              <w:rPr>
                <w:color w:val="auto"/>
                <w:highlight w:val="none"/>
                <w:lang w:eastAsia="zh-CN"/>
              </w:rPr>
              <w:t>3.1</w:t>
            </w:r>
            <w:r>
              <w:rPr>
                <w:rFonts w:hint="eastAsia"/>
                <w:color w:val="auto"/>
                <w:highlight w:val="none"/>
                <w:lang w:eastAsia="zh-CN"/>
              </w:rPr>
              <w:t>主体：优质极性橡胶。</w:t>
            </w:r>
          </w:p>
          <w:p>
            <w:pPr>
              <w:rPr>
                <w:color w:val="auto"/>
                <w:highlight w:val="none"/>
                <w:lang w:eastAsia="zh-CN"/>
              </w:rPr>
            </w:pPr>
            <w:r>
              <w:rPr>
                <w:color w:val="auto"/>
                <w:highlight w:val="none"/>
                <w:lang w:eastAsia="zh-CN"/>
              </w:rPr>
              <w:t>3.2</w:t>
            </w:r>
            <w:r>
              <w:rPr>
                <w:rFonts w:hint="eastAsia"/>
                <w:color w:val="auto"/>
                <w:highlight w:val="none"/>
                <w:lang w:eastAsia="zh-CN"/>
              </w:rPr>
              <w:t>内衬：尼龙帘布。</w:t>
            </w:r>
          </w:p>
          <w:p>
            <w:pPr>
              <w:rPr>
                <w:color w:val="auto"/>
                <w:highlight w:val="none"/>
                <w:lang w:eastAsia="zh-CN"/>
              </w:rPr>
            </w:pPr>
            <w:r>
              <w:rPr>
                <w:color w:val="auto"/>
                <w:highlight w:val="none"/>
                <w:lang w:eastAsia="zh-CN"/>
              </w:rPr>
              <w:t>3.3</w:t>
            </w:r>
            <w:r>
              <w:rPr>
                <w:rFonts w:hint="eastAsia"/>
                <w:color w:val="auto"/>
                <w:highlight w:val="none"/>
                <w:lang w:eastAsia="zh-CN"/>
              </w:rPr>
              <w:t>骨架：优质硬钢丝。</w:t>
            </w:r>
          </w:p>
          <w:p>
            <w:pPr>
              <w:rPr>
                <w:color w:val="auto"/>
                <w:highlight w:val="none"/>
                <w:lang w:eastAsia="zh-CN"/>
              </w:rPr>
            </w:pPr>
            <w:r>
              <w:rPr>
                <w:color w:val="auto"/>
                <w:highlight w:val="none"/>
                <w:lang w:eastAsia="zh-CN"/>
              </w:rPr>
              <w:t>3.4</w:t>
            </w:r>
            <w:r>
              <w:rPr>
                <w:rFonts w:hint="eastAsia"/>
                <w:color w:val="auto"/>
                <w:highlight w:val="none"/>
                <w:lang w:eastAsia="zh-CN"/>
              </w:rPr>
              <w:t>法兰：优质碳钢。</w:t>
            </w:r>
          </w:p>
          <w:p>
            <w:pPr>
              <w:rPr>
                <w:color w:val="auto"/>
                <w:highlight w:val="none"/>
                <w:lang w:eastAsia="zh-CN"/>
              </w:rPr>
            </w:pPr>
            <w:r>
              <w:rPr>
                <w:color w:val="auto"/>
                <w:highlight w:val="none"/>
                <w:lang w:eastAsia="zh-CN"/>
              </w:rPr>
              <w:t>3.5</w:t>
            </w:r>
            <w:r>
              <w:rPr>
                <w:rFonts w:hint="eastAsia"/>
                <w:color w:val="auto"/>
                <w:highlight w:val="none"/>
                <w:lang w:eastAsia="zh-CN"/>
              </w:rPr>
              <w:t>偏转角度不小于</w:t>
            </w:r>
            <w:r>
              <w:rPr>
                <w:color w:val="auto"/>
                <w:highlight w:val="none"/>
                <w:lang w:eastAsia="zh-CN"/>
              </w:rPr>
              <w:t>15</w:t>
            </w:r>
            <w:r>
              <w:rPr>
                <w:rFonts w:hint="eastAsia"/>
                <w:color w:val="auto"/>
                <w:highlight w:val="none"/>
                <w:lang w:eastAsia="zh-CN"/>
              </w:rPr>
              <w:t>度。</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728" w:type="dxa"/>
            <w:vAlign w:val="center"/>
          </w:tcPr>
          <w:p>
            <w:pPr>
              <w:rPr>
                <w:color w:val="auto"/>
                <w:highlight w:val="none"/>
              </w:rPr>
            </w:pPr>
            <w:r>
              <w:rPr>
                <w:color w:val="auto"/>
                <w:highlight w:val="none"/>
              </w:rPr>
              <w:t>10</w:t>
            </w:r>
          </w:p>
        </w:tc>
        <w:tc>
          <w:tcPr>
            <w:tcW w:w="1260" w:type="dxa"/>
            <w:vAlign w:val="center"/>
          </w:tcPr>
          <w:p>
            <w:pPr>
              <w:rPr>
                <w:color w:val="auto"/>
                <w:highlight w:val="none"/>
                <w:lang w:eastAsia="zh-CN"/>
              </w:rPr>
            </w:pPr>
            <w:r>
              <w:rPr>
                <w:rFonts w:hint="eastAsia"/>
                <w:color w:val="auto"/>
                <w:highlight w:val="none"/>
                <w:lang w:eastAsia="zh-CN"/>
              </w:rPr>
              <w:t>不锈钢软接头、波纹补偿器</w:t>
            </w:r>
          </w:p>
        </w:tc>
        <w:tc>
          <w:tcPr>
            <w:tcW w:w="7736" w:type="dxa"/>
            <w:vAlign w:val="center"/>
          </w:tcPr>
          <w:p>
            <w:pPr>
              <w:rPr>
                <w:color w:val="auto"/>
                <w:highlight w:val="none"/>
                <w:lang w:eastAsia="zh-CN"/>
              </w:rPr>
            </w:pPr>
            <w:r>
              <w:rPr>
                <w:rFonts w:hint="eastAsia"/>
                <w:color w:val="auto"/>
                <w:highlight w:val="none"/>
                <w:lang w:eastAsia="zh-CN"/>
              </w:rPr>
              <w:t>技术要求：</w:t>
            </w:r>
          </w:p>
          <w:p>
            <w:pPr>
              <w:rPr>
                <w:color w:val="auto"/>
                <w:highlight w:val="none"/>
                <w:lang w:eastAsia="zh-CN"/>
              </w:rPr>
            </w:pPr>
            <w:r>
              <w:rPr>
                <w:color w:val="auto"/>
                <w:highlight w:val="none"/>
                <w:lang w:eastAsia="zh-CN"/>
              </w:rPr>
              <w:t>1</w:t>
            </w:r>
            <w:r>
              <w:rPr>
                <w:rFonts w:hint="eastAsia"/>
                <w:color w:val="auto"/>
                <w:highlight w:val="none"/>
                <w:lang w:eastAsia="zh-CN"/>
              </w:rPr>
              <w:t>、符合设计及有关规范、标准要求；</w:t>
            </w:r>
          </w:p>
          <w:p>
            <w:pPr>
              <w:rPr>
                <w:color w:val="auto"/>
                <w:highlight w:val="none"/>
                <w:lang w:eastAsia="zh-CN"/>
              </w:rPr>
            </w:pPr>
            <w:r>
              <w:rPr>
                <w:color w:val="auto"/>
                <w:highlight w:val="none"/>
                <w:lang w:eastAsia="zh-CN"/>
              </w:rPr>
              <w:t>2</w:t>
            </w:r>
            <w:r>
              <w:rPr>
                <w:rFonts w:hint="eastAsia"/>
                <w:color w:val="auto"/>
                <w:highlight w:val="none"/>
                <w:lang w:eastAsia="zh-CN"/>
              </w:rPr>
              <w:t>、公称压力大于各系统设计要求的试验压力；</w:t>
            </w:r>
          </w:p>
          <w:p>
            <w:pPr>
              <w:rPr>
                <w:color w:val="auto"/>
                <w:highlight w:val="none"/>
              </w:rPr>
            </w:pPr>
            <w:r>
              <w:rPr>
                <w:color w:val="auto"/>
                <w:highlight w:val="none"/>
              </w:rPr>
              <w:t>3</w:t>
            </w:r>
            <w:r>
              <w:rPr>
                <w:rFonts w:hint="eastAsia"/>
                <w:color w:val="auto"/>
                <w:highlight w:val="none"/>
              </w:rPr>
              <w:t>、使用温度</w:t>
            </w:r>
            <w:r>
              <w:rPr>
                <w:color w:val="auto"/>
                <w:highlight w:val="none"/>
              </w:rPr>
              <w:t>-20</w:t>
            </w:r>
            <w:r>
              <w:rPr>
                <w:rFonts w:hint="eastAsia"/>
                <w:color w:val="auto"/>
                <w:highlight w:val="none"/>
              </w:rPr>
              <w:t>℃</w:t>
            </w:r>
            <w:r>
              <w:rPr>
                <w:color w:val="auto"/>
                <w:highlight w:val="none"/>
              </w:rPr>
              <w:t xml:space="preserve"> ~ 250</w:t>
            </w:r>
            <w:r>
              <w:rPr>
                <w:rFonts w:hint="eastAsia"/>
                <w:color w:val="auto"/>
                <w:highlight w:val="none"/>
              </w:rPr>
              <w:t>℃。</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728" w:type="dxa"/>
            <w:vAlign w:val="center"/>
          </w:tcPr>
          <w:p>
            <w:pPr>
              <w:rPr>
                <w:color w:val="auto"/>
                <w:highlight w:val="none"/>
              </w:rPr>
            </w:pPr>
            <w:r>
              <w:rPr>
                <w:color w:val="auto"/>
                <w:highlight w:val="none"/>
              </w:rPr>
              <w:t>11</w:t>
            </w:r>
          </w:p>
        </w:tc>
        <w:tc>
          <w:tcPr>
            <w:tcW w:w="1260" w:type="dxa"/>
            <w:vAlign w:val="center"/>
          </w:tcPr>
          <w:p>
            <w:pPr>
              <w:rPr>
                <w:color w:val="auto"/>
                <w:highlight w:val="none"/>
              </w:rPr>
            </w:pPr>
            <w:r>
              <w:rPr>
                <w:rFonts w:hint="eastAsia"/>
                <w:color w:val="auto"/>
                <w:highlight w:val="none"/>
              </w:rPr>
              <w:t>水管、风管保温材料</w:t>
            </w:r>
          </w:p>
        </w:tc>
        <w:tc>
          <w:tcPr>
            <w:tcW w:w="7736" w:type="dxa"/>
            <w:vAlign w:val="center"/>
          </w:tcPr>
          <w:p>
            <w:pPr>
              <w:rPr>
                <w:color w:val="auto"/>
                <w:highlight w:val="none"/>
                <w:lang w:eastAsia="zh-CN"/>
              </w:rPr>
            </w:pPr>
            <w:r>
              <w:rPr>
                <w:rFonts w:hint="eastAsia"/>
                <w:color w:val="auto"/>
                <w:highlight w:val="none"/>
                <w:lang w:eastAsia="zh-CN"/>
              </w:rPr>
              <w:t>技术要求：</w:t>
            </w:r>
          </w:p>
          <w:p>
            <w:pPr>
              <w:rPr>
                <w:color w:val="auto"/>
                <w:highlight w:val="none"/>
                <w:lang w:eastAsia="zh-CN"/>
              </w:rPr>
            </w:pPr>
            <w:r>
              <w:rPr>
                <w:rFonts w:hint="eastAsia"/>
                <w:color w:val="auto"/>
                <w:highlight w:val="none"/>
                <w:lang w:eastAsia="zh-CN"/>
              </w:rPr>
              <w:t>b.2产品表面平整，允许有细微、均匀的绉折，但不应有明显的起泡、裂口等可见缺陷；</w:t>
            </w:r>
          </w:p>
          <w:p>
            <w:pPr>
              <w:rPr>
                <w:color w:val="auto"/>
                <w:highlight w:val="none"/>
                <w:lang w:eastAsia="zh-CN"/>
              </w:rPr>
            </w:pPr>
            <w:r>
              <w:rPr>
                <w:rFonts w:hint="eastAsia"/>
                <w:color w:val="auto"/>
                <w:highlight w:val="none"/>
                <w:lang w:eastAsia="zh-CN"/>
              </w:rPr>
              <w:t>b.3</w:t>
            </w:r>
            <w:r>
              <w:rPr>
                <w:rFonts w:hint="eastAsia"/>
                <w:color w:val="auto"/>
                <w:highlight w:val="none"/>
                <w:lang w:eastAsia="zh-CN"/>
              </w:rPr>
              <w:tab/>
            </w:r>
            <w:r>
              <w:rPr>
                <w:rFonts w:hint="eastAsia"/>
                <w:color w:val="auto"/>
                <w:highlight w:val="none"/>
                <w:lang w:eastAsia="zh-CN"/>
              </w:rPr>
              <w:t>产品应具有高发泡率、闭孔型独立微气泡结构，抗老化性能优异；柔性好、吸水率低、回弹率好、耐腐蚀、耐低温、防水、防结露，化学性能稳定，粘接、热合、分切等加工性能尤为优良，应符合GB/T 17794-2008《柔性泡沫橡塑绝热制品》的规定；</w:t>
            </w:r>
          </w:p>
          <w:p>
            <w:pPr>
              <w:rPr>
                <w:color w:val="auto"/>
                <w:highlight w:val="none"/>
                <w:lang w:eastAsia="zh-CN"/>
              </w:rPr>
            </w:pPr>
            <w:r>
              <w:rPr>
                <w:rFonts w:hint="eastAsia"/>
                <w:color w:val="auto"/>
                <w:highlight w:val="none"/>
                <w:lang w:eastAsia="zh-CN"/>
              </w:rPr>
              <w:t>b.4胶水配套需使用橡塑厂家专用胶水，针对橡塑发泡材料粘接力强、气味小、涂刷性好、固化后韧性好；胶水配套橡塑发泡保温材料一起使用时，须达到难燃B1-C级；胶水符合国家对有毒有害物质的限量要求和GB18583《室内装饰装修材料 胶粘剂中有害物质限量》的有关要求。</w:t>
            </w:r>
          </w:p>
          <w:p>
            <w:pPr>
              <w:rPr>
                <w:color w:val="auto"/>
                <w:highlight w:val="none"/>
                <w:lang w:eastAsia="zh-CN"/>
              </w:rPr>
            </w:pPr>
            <w:r>
              <w:rPr>
                <w:rFonts w:hint="eastAsia"/>
                <w:color w:val="auto"/>
                <w:highlight w:val="none"/>
                <w:lang w:eastAsia="zh-CN"/>
              </w:rPr>
              <w:t>b.5橡塑表面复合不燃铝箔（有热熔与胶粘方式，若是热熔须提供铝箔橡塑合成一体的检测报告），外表美观，铝箔表面不鼓包，与主材不易分离，能够更加有效的增强抗紫外线、抗氧化、耐酸碱、耐腐蚀等性能，可以提高防火性能，可以防止材料老化龟裂，增强抗撕裂强度、提高湿阻因子值，使防结露效果更好，能提供国家防火中心颁发的《产品质量跟踪证书（NFTC）》及《燃烧性能等级标识授权使用证书》。</w:t>
            </w:r>
          </w:p>
          <w:p>
            <w:pPr>
              <w:rPr>
                <w:color w:val="auto"/>
                <w:highlight w:val="none"/>
                <w:lang w:eastAsia="zh-CN"/>
              </w:rPr>
            </w:pPr>
            <w:r>
              <w:rPr>
                <w:rFonts w:hint="eastAsia"/>
                <w:color w:val="auto"/>
                <w:highlight w:val="none"/>
                <w:lang w:eastAsia="zh-CN"/>
              </w:rPr>
              <w:t xml:space="preserve">提供该橡塑保温产品的权威检验机构报告： </w:t>
            </w:r>
          </w:p>
          <w:p>
            <w:pPr>
              <w:rPr>
                <w:color w:val="auto"/>
                <w:highlight w:val="none"/>
                <w:lang w:eastAsia="zh-CN"/>
              </w:rPr>
            </w:pPr>
            <w:r>
              <w:rPr>
                <w:rFonts w:hint="eastAsia"/>
                <w:color w:val="auto"/>
                <w:highlight w:val="none"/>
                <w:lang w:eastAsia="zh-CN"/>
              </w:rPr>
              <w:t>（1）国家防火建筑材料质量监督检验中心的安全性能检测报告</w:t>
            </w:r>
          </w:p>
          <w:p>
            <w:pPr>
              <w:rPr>
                <w:color w:val="auto"/>
                <w:highlight w:val="none"/>
                <w:lang w:eastAsia="zh-CN"/>
              </w:rPr>
            </w:pPr>
            <w:r>
              <w:rPr>
                <w:rFonts w:hint="eastAsia"/>
                <w:color w:val="auto"/>
                <w:highlight w:val="none"/>
                <w:lang w:eastAsia="zh-CN"/>
              </w:rPr>
              <w:t>（2）国家建筑材料测试中心的理化性能检测报告</w:t>
            </w:r>
          </w:p>
          <w:p>
            <w:pPr>
              <w:rPr>
                <w:color w:val="auto"/>
                <w:highlight w:val="none"/>
                <w:lang w:eastAsia="zh-CN"/>
              </w:rPr>
            </w:pPr>
            <w:r>
              <w:rPr>
                <w:rFonts w:hint="eastAsia"/>
                <w:color w:val="auto"/>
                <w:highlight w:val="none"/>
                <w:lang w:eastAsia="zh-CN"/>
              </w:rPr>
              <w:t>（3）提供NFTC防火跟踪认证。</w:t>
            </w:r>
          </w:p>
          <w:p>
            <w:pPr>
              <w:rPr>
                <w:color w:val="auto"/>
                <w:highlight w:val="none"/>
                <w:lang w:eastAsia="zh-CN"/>
              </w:rPr>
            </w:pPr>
          </w:p>
          <w:p>
            <w:pPr>
              <w:rPr>
                <w:color w:val="auto"/>
                <w:highlight w:val="none"/>
                <w:lang w:eastAsia="zh-CN"/>
              </w:rPr>
            </w:pPr>
            <w:r>
              <w:rPr>
                <w:rFonts w:hint="eastAsia"/>
                <w:color w:val="auto"/>
                <w:highlight w:val="none"/>
                <w:lang w:eastAsia="zh-CN"/>
              </w:rPr>
              <w:t>c.空调冷冻水管和冷凝水管支座保温要求</w:t>
            </w:r>
          </w:p>
          <w:p>
            <w:pPr>
              <w:rPr>
                <w:color w:val="auto"/>
                <w:highlight w:val="none"/>
                <w:lang w:eastAsia="zh-CN"/>
              </w:rPr>
            </w:pPr>
            <w:r>
              <w:rPr>
                <w:rFonts w:hint="eastAsia"/>
                <w:color w:val="auto"/>
                <w:highlight w:val="none"/>
                <w:lang w:eastAsia="zh-CN"/>
              </w:rPr>
              <w:t xml:space="preserve">c.1保温支撑技术性能要求如下： </w:t>
            </w:r>
          </w:p>
          <w:p>
            <w:pPr>
              <w:rPr>
                <w:color w:val="auto"/>
                <w:highlight w:val="none"/>
                <w:lang w:eastAsia="zh-CN"/>
              </w:rPr>
            </w:pPr>
            <w:r>
              <w:rPr>
                <w:rFonts w:hint="eastAsia"/>
                <w:color w:val="auto"/>
                <w:highlight w:val="none"/>
                <w:lang w:eastAsia="zh-CN"/>
              </w:rPr>
              <w:t xml:space="preserve">   0℃时导热系数</w:t>
            </w:r>
            <w:r>
              <w:rPr>
                <w:rFonts w:hint="eastAsia"/>
                <w:color w:val="auto"/>
                <w:highlight w:val="none"/>
              </w:rPr>
              <w:t>λ</w:t>
            </w:r>
            <w:r>
              <w:rPr>
                <w:rFonts w:hint="eastAsia"/>
                <w:color w:val="auto"/>
                <w:highlight w:val="none"/>
                <w:lang w:eastAsia="zh-CN"/>
              </w:rPr>
              <w:t>≤0.036 W/(m.K) ；支撑抗压强度：≥1.5 Mpa；</w:t>
            </w:r>
          </w:p>
          <w:p>
            <w:pPr>
              <w:rPr>
                <w:color w:val="auto"/>
                <w:highlight w:val="none"/>
                <w:lang w:eastAsia="zh-CN"/>
              </w:rPr>
            </w:pPr>
            <w:r>
              <w:rPr>
                <w:rFonts w:hint="eastAsia"/>
                <w:color w:val="auto"/>
                <w:highlight w:val="none"/>
                <w:lang w:eastAsia="zh-CN"/>
              </w:rPr>
              <w:t>c.2保温支撑和橡塑材料一起测试应通过难燃B1级。</w:t>
            </w:r>
          </w:p>
          <w:p>
            <w:pPr>
              <w:rPr>
                <w:color w:val="auto"/>
                <w:highlight w:val="none"/>
                <w:lang w:eastAsia="zh-CN"/>
              </w:rPr>
            </w:pPr>
            <w:r>
              <w:rPr>
                <w:rFonts w:hint="eastAsia"/>
                <w:color w:val="auto"/>
                <w:highlight w:val="none"/>
                <w:lang w:eastAsia="zh-CN"/>
              </w:rPr>
              <w:t>c.3保温支撑材料需具有抗菌防霉作用。</w:t>
            </w:r>
          </w:p>
          <w:p>
            <w:pPr>
              <w:rPr>
                <w:color w:val="auto"/>
                <w:highlight w:val="none"/>
                <w:lang w:eastAsia="zh-CN"/>
              </w:rPr>
            </w:pPr>
          </w:p>
          <w:p>
            <w:pPr>
              <w:rPr>
                <w:color w:val="auto"/>
                <w:highlight w:val="none"/>
                <w:lang w:eastAsia="zh-CN"/>
              </w:rPr>
            </w:pPr>
            <w:r>
              <w:rPr>
                <w:rFonts w:hint="eastAsia"/>
                <w:color w:val="auto"/>
                <w:highlight w:val="none"/>
                <w:lang w:eastAsia="zh-CN"/>
              </w:rPr>
              <w:t>d.如因有吸音降噪需求而采用开孔橡塑发泡绝热吸声内衬材料时，应满足如下要求：</w:t>
            </w:r>
          </w:p>
          <w:p>
            <w:pPr>
              <w:rPr>
                <w:color w:val="auto"/>
                <w:highlight w:val="none"/>
                <w:lang w:eastAsia="zh-CN"/>
              </w:rPr>
            </w:pPr>
            <w:r>
              <w:rPr>
                <w:rFonts w:hint="eastAsia"/>
                <w:color w:val="auto"/>
                <w:highlight w:val="none"/>
                <w:lang w:eastAsia="zh-CN"/>
              </w:rPr>
              <w:t>d.1风管内衬绝热吸声材料选用不含粉尘、不含纤维的开孔橡塑绝热材料。</w:t>
            </w:r>
          </w:p>
          <w:p>
            <w:pPr>
              <w:rPr>
                <w:color w:val="auto"/>
                <w:highlight w:val="none"/>
                <w:lang w:eastAsia="zh-CN"/>
              </w:rPr>
            </w:pPr>
            <w:r>
              <w:rPr>
                <w:rFonts w:hint="eastAsia"/>
                <w:color w:val="auto"/>
                <w:highlight w:val="none"/>
                <w:lang w:eastAsia="zh-CN"/>
              </w:rPr>
              <w:t>d.2材料导热系数(0℃)≤0.036 W/m.K，降噪系数NRC≥0.45。</w:t>
            </w:r>
          </w:p>
          <w:p>
            <w:pPr>
              <w:rPr>
                <w:color w:val="auto"/>
                <w:highlight w:val="none"/>
                <w:lang w:eastAsia="zh-CN"/>
              </w:rPr>
            </w:pPr>
            <w:r>
              <w:rPr>
                <w:rFonts w:hint="eastAsia"/>
                <w:color w:val="auto"/>
                <w:highlight w:val="none"/>
                <w:lang w:eastAsia="zh-CN"/>
              </w:rPr>
              <w:t>d.3其防火性能满足难燃B1级要求。</w:t>
            </w:r>
          </w:p>
          <w:p>
            <w:pPr>
              <w:rPr>
                <w:color w:val="auto"/>
                <w:highlight w:val="none"/>
                <w:lang w:eastAsia="zh-CN"/>
              </w:rPr>
            </w:pPr>
            <w:r>
              <w:rPr>
                <w:rFonts w:hint="eastAsia"/>
                <w:color w:val="auto"/>
                <w:highlight w:val="none"/>
                <w:lang w:eastAsia="zh-CN"/>
              </w:rPr>
              <w:t>d.4不影响室内空气品质，依据国家有关标准通过气味性测试。</w:t>
            </w:r>
          </w:p>
          <w:p>
            <w:pPr>
              <w:rPr>
                <w:color w:val="auto"/>
                <w:highlight w:val="none"/>
                <w:lang w:eastAsia="zh-CN"/>
              </w:rPr>
            </w:pPr>
          </w:p>
          <w:p>
            <w:pPr>
              <w:rPr>
                <w:color w:val="auto"/>
                <w:highlight w:val="none"/>
                <w:lang w:eastAsia="zh-CN"/>
              </w:rPr>
            </w:pPr>
            <w:r>
              <w:rPr>
                <w:rFonts w:hint="eastAsia"/>
                <w:color w:val="auto"/>
                <w:highlight w:val="none"/>
                <w:lang w:eastAsia="zh-CN"/>
              </w:rPr>
              <w:t>e 施工要求</w:t>
            </w:r>
          </w:p>
          <w:p>
            <w:pPr>
              <w:rPr>
                <w:color w:val="auto"/>
                <w:highlight w:val="none"/>
                <w:lang w:eastAsia="zh-CN"/>
              </w:rPr>
            </w:pPr>
            <w:r>
              <w:rPr>
                <w:rFonts w:hint="eastAsia"/>
                <w:color w:val="auto"/>
                <w:highlight w:val="none"/>
                <w:lang w:eastAsia="zh-CN"/>
              </w:rPr>
              <w:t>e.1在进行任何保温工作前必须对需作保温的表面进行彻底清理，以确保有关表面清洁、干燥、没有任何污染物质。接缝或接头的粘接表面必须干燥的才可以涂胶水粘接。</w:t>
            </w:r>
          </w:p>
          <w:p>
            <w:pPr>
              <w:rPr>
                <w:color w:val="auto"/>
                <w:highlight w:val="none"/>
                <w:lang w:eastAsia="zh-CN"/>
              </w:rPr>
            </w:pPr>
            <w:r>
              <w:rPr>
                <w:rFonts w:hint="eastAsia"/>
                <w:color w:val="auto"/>
                <w:highlight w:val="none"/>
                <w:lang w:eastAsia="zh-CN"/>
              </w:rPr>
              <w:t>e.2保温材料要预留正确的余量，绝对不能使接头或接缝承受拉伸的力，一定要是所有接缝是相互挤压的。</w:t>
            </w:r>
          </w:p>
          <w:p>
            <w:pPr>
              <w:rPr>
                <w:color w:val="auto"/>
                <w:highlight w:val="none"/>
                <w:lang w:eastAsia="zh-CN"/>
              </w:rPr>
            </w:pPr>
            <w:r>
              <w:rPr>
                <w:rFonts w:hint="eastAsia"/>
                <w:color w:val="auto"/>
                <w:highlight w:val="none"/>
                <w:lang w:eastAsia="zh-CN"/>
              </w:rPr>
              <w:t>e.3管道外径在500mm以下的管道的保温，其所有的接缝和接头都要涂胶水，每一段管材和板材的末端都要与管道严密粘接在一起。</w:t>
            </w:r>
          </w:p>
          <w:p>
            <w:pPr>
              <w:rPr>
                <w:color w:val="auto"/>
                <w:highlight w:val="none"/>
                <w:lang w:eastAsia="zh-CN"/>
              </w:rPr>
            </w:pPr>
            <w:r>
              <w:rPr>
                <w:rFonts w:hint="eastAsia"/>
                <w:color w:val="auto"/>
                <w:highlight w:val="none"/>
                <w:lang w:eastAsia="zh-CN"/>
              </w:rPr>
              <w:t>e.4保温材料采用两层或多层时，外层保温的端头需要和内层保温粘接在一起。</w:t>
            </w:r>
          </w:p>
          <w:p>
            <w:pPr>
              <w:rPr>
                <w:color w:val="auto"/>
                <w:highlight w:val="none"/>
                <w:lang w:eastAsia="zh-CN"/>
              </w:rPr>
            </w:pPr>
            <w:r>
              <w:rPr>
                <w:rFonts w:hint="eastAsia"/>
                <w:color w:val="auto"/>
                <w:highlight w:val="none"/>
                <w:lang w:eastAsia="zh-CN"/>
              </w:rPr>
              <w:t>e.5保温支撑：保温材料要和管道保温支撑紧贴安装，并用胶水粘接严密，保证没有缝隙。</w:t>
            </w:r>
          </w:p>
          <w:p>
            <w:pPr>
              <w:rPr>
                <w:color w:val="auto"/>
                <w:highlight w:val="none"/>
                <w:lang w:eastAsia="zh-CN"/>
              </w:rPr>
            </w:pPr>
            <w:r>
              <w:rPr>
                <w:rFonts w:hint="eastAsia"/>
                <w:color w:val="auto"/>
                <w:highlight w:val="none"/>
                <w:lang w:eastAsia="zh-CN"/>
              </w:rPr>
              <w:t>e.6制冷机房、换热站及屋面外露的换热器、分集水器、水泵头、空调水管等保温层有紫外线照射或者需要防撞击处外加铝板保护层。</w:t>
            </w:r>
          </w:p>
          <w:p>
            <w:pPr>
              <w:rPr>
                <w:color w:val="auto"/>
                <w:highlight w:val="none"/>
                <w:lang w:eastAsia="zh-CN"/>
              </w:rPr>
            </w:pPr>
            <w:r>
              <w:rPr>
                <w:rFonts w:hint="eastAsia"/>
                <w:color w:val="auto"/>
                <w:highlight w:val="none"/>
                <w:lang w:eastAsia="zh-CN"/>
              </w:rPr>
              <w:t>e.7橡塑保温时，水管直径&lt;100时用管壳；直径≥DN100时用两层板材错缝保温。</w:t>
            </w:r>
          </w:p>
          <w:p>
            <w:pPr>
              <w:rPr>
                <w:color w:val="auto"/>
                <w:highlight w:val="none"/>
                <w:lang w:eastAsia="zh-CN"/>
              </w:rPr>
            </w:pPr>
            <w:r>
              <w:rPr>
                <w:rFonts w:hint="eastAsia"/>
                <w:color w:val="auto"/>
                <w:highlight w:val="none"/>
                <w:lang w:eastAsia="zh-CN"/>
              </w:rPr>
              <w:t>e.8管道保温做法见标准图集《管道与设备绝热－保温》、《管道与设备绝热－保冷》。</w:t>
            </w:r>
          </w:p>
          <w:p>
            <w:pPr>
              <w:rPr>
                <w:color w:val="auto"/>
                <w:highlight w:val="none"/>
                <w:lang w:eastAsia="zh-CN"/>
              </w:rPr>
            </w:pPr>
            <w:r>
              <w:rPr>
                <w:rFonts w:hint="eastAsia"/>
                <w:color w:val="auto"/>
                <w:highlight w:val="none"/>
                <w:lang w:eastAsia="zh-CN"/>
              </w:rPr>
              <w:t>e.9分体机、多联机等的保温由设备厂家负责。</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728" w:type="dxa"/>
            <w:vAlign w:val="center"/>
          </w:tcPr>
          <w:p>
            <w:pPr>
              <w:rPr>
                <w:color w:val="auto"/>
                <w:highlight w:val="none"/>
              </w:rPr>
            </w:pPr>
            <w:r>
              <w:rPr>
                <w:color w:val="auto"/>
                <w:highlight w:val="none"/>
              </w:rPr>
              <w:t>12</w:t>
            </w:r>
          </w:p>
        </w:tc>
        <w:tc>
          <w:tcPr>
            <w:tcW w:w="1260" w:type="dxa"/>
            <w:vAlign w:val="center"/>
          </w:tcPr>
          <w:p>
            <w:pPr>
              <w:rPr>
                <w:color w:val="auto"/>
                <w:highlight w:val="none"/>
              </w:rPr>
            </w:pPr>
            <w:r>
              <w:rPr>
                <w:rFonts w:hint="eastAsia"/>
                <w:color w:val="auto"/>
                <w:highlight w:val="none"/>
              </w:rPr>
              <w:t>分体式空调机组</w:t>
            </w:r>
          </w:p>
        </w:tc>
        <w:tc>
          <w:tcPr>
            <w:tcW w:w="7736" w:type="dxa"/>
            <w:vAlign w:val="center"/>
          </w:tcPr>
          <w:p>
            <w:pPr>
              <w:rPr>
                <w:color w:val="auto"/>
                <w:highlight w:val="none"/>
                <w:lang w:eastAsia="zh-CN"/>
              </w:rPr>
            </w:pPr>
            <w:r>
              <w:rPr>
                <w:rFonts w:hint="eastAsia"/>
                <w:color w:val="auto"/>
                <w:highlight w:val="none"/>
                <w:lang w:eastAsia="zh-CN"/>
              </w:rPr>
              <w:t>技术要求：</w:t>
            </w:r>
          </w:p>
          <w:p>
            <w:pPr>
              <w:rPr>
                <w:color w:val="auto"/>
                <w:highlight w:val="none"/>
                <w:lang w:eastAsia="zh-CN"/>
              </w:rPr>
            </w:pPr>
            <w:r>
              <w:rPr>
                <w:color w:val="auto"/>
                <w:highlight w:val="none"/>
                <w:lang w:eastAsia="zh-CN"/>
              </w:rPr>
              <w:t>1</w:t>
            </w:r>
            <w:r>
              <w:rPr>
                <w:rFonts w:hint="eastAsia"/>
                <w:color w:val="auto"/>
                <w:highlight w:val="none"/>
                <w:lang w:eastAsia="zh-CN"/>
              </w:rPr>
              <w:t>、机组在运行时所产生的噪音应满足设计噪音标准且必须低于当地环保处所订出的限制；</w:t>
            </w:r>
          </w:p>
          <w:p>
            <w:pPr>
              <w:rPr>
                <w:color w:val="auto"/>
                <w:highlight w:val="none"/>
                <w:lang w:eastAsia="zh-CN"/>
              </w:rPr>
            </w:pPr>
            <w:r>
              <w:rPr>
                <w:color w:val="auto"/>
                <w:highlight w:val="none"/>
                <w:lang w:eastAsia="zh-CN"/>
              </w:rPr>
              <w:t>2</w:t>
            </w:r>
            <w:r>
              <w:rPr>
                <w:rFonts w:hint="eastAsia"/>
                <w:color w:val="auto"/>
                <w:highlight w:val="none"/>
                <w:lang w:eastAsia="zh-CN"/>
              </w:rPr>
              <w:t>、每台机组须附有原厂的标志牌，标明厂家的名称、设备的编号、型号及有关的技术数据；</w:t>
            </w:r>
          </w:p>
          <w:p>
            <w:pPr>
              <w:rPr>
                <w:color w:val="auto"/>
                <w:highlight w:val="none"/>
                <w:lang w:eastAsia="zh-CN"/>
              </w:rPr>
            </w:pPr>
            <w:r>
              <w:rPr>
                <w:color w:val="auto"/>
                <w:highlight w:val="none"/>
                <w:lang w:eastAsia="zh-CN"/>
              </w:rPr>
              <w:t>3</w:t>
            </w:r>
            <w:r>
              <w:rPr>
                <w:rFonts w:hint="eastAsia"/>
                <w:color w:val="auto"/>
                <w:highlight w:val="none"/>
                <w:lang w:eastAsia="zh-CN"/>
              </w:rPr>
              <w:t>、每台机组配有由原厂提供的温度及速度控制板和遥控感应装置；</w:t>
            </w:r>
          </w:p>
          <w:p>
            <w:pPr>
              <w:rPr>
                <w:color w:val="auto"/>
                <w:highlight w:val="none"/>
                <w:lang w:eastAsia="zh-CN"/>
              </w:rPr>
            </w:pPr>
            <w:r>
              <w:rPr>
                <w:color w:val="auto"/>
                <w:highlight w:val="none"/>
                <w:lang w:eastAsia="zh-CN"/>
              </w:rPr>
              <w:t>4</w:t>
            </w:r>
            <w:r>
              <w:rPr>
                <w:rFonts w:hint="eastAsia"/>
                <w:color w:val="auto"/>
                <w:highlight w:val="none"/>
                <w:lang w:eastAsia="zh-CN"/>
              </w:rPr>
              <w:t>、制冷系统各部分不应有制冷剂泄露，其实测制冷量不小于名义制冷量的</w:t>
            </w:r>
            <w:r>
              <w:rPr>
                <w:color w:val="auto"/>
                <w:highlight w:val="none"/>
                <w:lang w:eastAsia="zh-CN"/>
              </w:rPr>
              <w:t>92%</w:t>
            </w:r>
            <w:r>
              <w:rPr>
                <w:rFonts w:hint="eastAsia"/>
                <w:color w:val="auto"/>
                <w:highlight w:val="none"/>
                <w:lang w:eastAsia="zh-CN"/>
              </w:rPr>
              <w:t>，实测制冷消耗功不大于名义制冷消耗功率的</w:t>
            </w:r>
            <w:r>
              <w:rPr>
                <w:color w:val="auto"/>
                <w:highlight w:val="none"/>
                <w:lang w:eastAsia="zh-CN"/>
              </w:rPr>
              <w:t>110%</w:t>
            </w:r>
            <w:r>
              <w:rPr>
                <w:rFonts w:hint="eastAsia"/>
                <w:color w:val="auto"/>
                <w:highlight w:val="none"/>
                <w:lang w:eastAsia="zh-CN"/>
              </w:rPr>
              <w:t>；</w:t>
            </w:r>
          </w:p>
          <w:p>
            <w:pPr>
              <w:rPr>
                <w:color w:val="auto"/>
                <w:highlight w:val="none"/>
                <w:lang w:eastAsia="zh-CN"/>
              </w:rPr>
            </w:pPr>
            <w:r>
              <w:rPr>
                <w:color w:val="auto"/>
                <w:highlight w:val="none"/>
                <w:lang w:eastAsia="zh-CN"/>
              </w:rPr>
              <w:t>5</w:t>
            </w:r>
            <w:r>
              <w:rPr>
                <w:rFonts w:hint="eastAsia"/>
                <w:color w:val="auto"/>
                <w:highlight w:val="none"/>
                <w:lang w:eastAsia="zh-CN"/>
              </w:rPr>
              <w:t>、分体空调机组能效比满足最新国家节能规范的要求。</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728" w:type="dxa"/>
            <w:vAlign w:val="center"/>
          </w:tcPr>
          <w:p>
            <w:pPr>
              <w:rPr>
                <w:color w:val="auto"/>
                <w:highlight w:val="none"/>
              </w:rPr>
            </w:pPr>
            <w:r>
              <w:rPr>
                <w:color w:val="auto"/>
                <w:highlight w:val="none"/>
              </w:rPr>
              <w:t>13</w:t>
            </w:r>
          </w:p>
        </w:tc>
        <w:tc>
          <w:tcPr>
            <w:tcW w:w="1260" w:type="dxa"/>
            <w:vAlign w:val="center"/>
          </w:tcPr>
          <w:p>
            <w:pPr>
              <w:rPr>
                <w:color w:val="auto"/>
                <w:highlight w:val="none"/>
              </w:rPr>
            </w:pPr>
            <w:r>
              <w:rPr>
                <w:rFonts w:hint="eastAsia"/>
                <w:color w:val="auto"/>
                <w:highlight w:val="none"/>
              </w:rPr>
              <w:t>多联机</w:t>
            </w:r>
          </w:p>
        </w:tc>
        <w:tc>
          <w:tcPr>
            <w:tcW w:w="7736" w:type="dxa"/>
            <w:vAlign w:val="center"/>
          </w:tcPr>
          <w:p>
            <w:pPr>
              <w:rPr>
                <w:color w:val="auto"/>
                <w:highlight w:val="none"/>
                <w:lang w:eastAsia="zh-CN"/>
              </w:rPr>
            </w:pPr>
            <w:r>
              <w:rPr>
                <w:rFonts w:hint="eastAsia"/>
                <w:color w:val="auto"/>
                <w:highlight w:val="none"/>
                <w:lang w:eastAsia="zh-CN"/>
              </w:rPr>
              <w:t>技术要求：</w:t>
            </w:r>
          </w:p>
          <w:p>
            <w:pPr>
              <w:rPr>
                <w:color w:val="auto"/>
                <w:highlight w:val="none"/>
                <w:lang w:eastAsia="zh-CN"/>
              </w:rPr>
            </w:pPr>
            <w:r>
              <w:rPr>
                <w:color w:val="auto"/>
                <w:highlight w:val="none"/>
                <w:lang w:eastAsia="zh-CN"/>
              </w:rPr>
              <w:t>1</w:t>
            </w:r>
            <w:r>
              <w:rPr>
                <w:rFonts w:hint="eastAsia"/>
                <w:color w:val="auto"/>
                <w:highlight w:val="none"/>
                <w:lang w:eastAsia="zh-CN"/>
              </w:rPr>
              <w:t>、基本描述：</w:t>
            </w:r>
          </w:p>
          <w:p>
            <w:pPr>
              <w:rPr>
                <w:color w:val="auto"/>
                <w:highlight w:val="none"/>
                <w:lang w:eastAsia="zh-CN"/>
              </w:rPr>
            </w:pPr>
            <w:r>
              <w:rPr>
                <w:color w:val="auto"/>
                <w:highlight w:val="none"/>
                <w:lang w:eastAsia="zh-CN"/>
              </w:rPr>
              <w:t>1</w:t>
            </w:r>
            <w:r>
              <w:rPr>
                <w:rFonts w:hint="eastAsia"/>
                <w:color w:val="auto"/>
                <w:highlight w:val="none"/>
                <w:lang w:eastAsia="zh-CN"/>
              </w:rPr>
              <w:t>）空调采用环保冷媒</w:t>
            </w:r>
            <w:r>
              <w:rPr>
                <w:color w:val="auto"/>
                <w:highlight w:val="none"/>
                <w:lang w:eastAsia="zh-CN"/>
              </w:rPr>
              <w:t>R410A</w:t>
            </w:r>
            <w:r>
              <w:rPr>
                <w:rFonts w:hint="eastAsia"/>
                <w:color w:val="auto"/>
                <w:highlight w:val="none"/>
                <w:lang w:eastAsia="zh-CN"/>
              </w:rPr>
              <w:t>；</w:t>
            </w:r>
          </w:p>
          <w:p>
            <w:pPr>
              <w:rPr>
                <w:color w:val="auto"/>
                <w:highlight w:val="none"/>
                <w:lang w:eastAsia="zh-CN"/>
              </w:rPr>
            </w:pPr>
            <w:r>
              <w:rPr>
                <w:color w:val="auto"/>
                <w:highlight w:val="none"/>
                <w:lang w:eastAsia="zh-CN"/>
              </w:rPr>
              <w:t>2</w:t>
            </w:r>
            <w:r>
              <w:rPr>
                <w:rFonts w:hint="eastAsia"/>
                <w:color w:val="auto"/>
                <w:highlight w:val="none"/>
                <w:lang w:eastAsia="zh-CN"/>
              </w:rPr>
              <w:t>）满足空调主机在部分负荷状态下系统高效、经济的运行。</w:t>
            </w:r>
            <w:r>
              <w:rPr>
                <w:color w:val="auto"/>
                <w:highlight w:val="none"/>
                <w:lang w:eastAsia="zh-CN"/>
              </w:rPr>
              <w:t xml:space="preserve"> </w:t>
            </w:r>
          </w:p>
          <w:p>
            <w:pPr>
              <w:rPr>
                <w:color w:val="auto"/>
                <w:highlight w:val="none"/>
                <w:lang w:eastAsia="zh-CN"/>
              </w:rPr>
            </w:pPr>
            <w:r>
              <w:rPr>
                <w:rFonts w:hint="eastAsia"/>
                <w:color w:val="auto"/>
                <w:highlight w:val="none"/>
                <w:lang w:eastAsia="zh-CN"/>
              </w:rPr>
              <w:t>基本要求：</w:t>
            </w:r>
          </w:p>
          <w:p>
            <w:pPr>
              <w:rPr>
                <w:color w:val="auto"/>
                <w:highlight w:val="none"/>
                <w:lang w:eastAsia="zh-CN"/>
              </w:rPr>
            </w:pPr>
            <w:r>
              <w:rPr>
                <w:color w:val="auto"/>
                <w:highlight w:val="none"/>
                <w:lang w:eastAsia="zh-CN"/>
              </w:rPr>
              <w:t>5</w:t>
            </w:r>
            <w:r>
              <w:rPr>
                <w:rFonts w:hint="eastAsia"/>
                <w:color w:val="auto"/>
                <w:highlight w:val="none"/>
                <w:lang w:eastAsia="zh-CN"/>
              </w:rPr>
              <w:t>）机组噪音≤</w:t>
            </w:r>
            <w:r>
              <w:rPr>
                <w:color w:val="auto"/>
                <w:highlight w:val="none"/>
                <w:lang w:eastAsia="zh-CN"/>
              </w:rPr>
              <w:t xml:space="preserve">75dB. </w:t>
            </w:r>
          </w:p>
          <w:p>
            <w:pPr>
              <w:rPr>
                <w:color w:val="auto"/>
                <w:highlight w:val="none"/>
                <w:lang w:eastAsia="zh-CN"/>
              </w:rPr>
            </w:pPr>
            <w:r>
              <w:rPr>
                <w:color w:val="auto"/>
                <w:highlight w:val="none"/>
                <w:lang w:eastAsia="zh-CN"/>
              </w:rPr>
              <w:t>6</w:t>
            </w:r>
            <w:r>
              <w:rPr>
                <w:rFonts w:hint="eastAsia"/>
                <w:color w:val="auto"/>
                <w:highlight w:val="none"/>
                <w:lang w:eastAsia="zh-CN"/>
              </w:rPr>
              <w:t>）机组应配置液晶显示面板，中文操作系统，内机能独立操作，能显示室内温度值和故障状况。</w:t>
            </w:r>
          </w:p>
          <w:p>
            <w:pPr>
              <w:rPr>
                <w:color w:val="auto"/>
                <w:highlight w:val="none"/>
                <w:lang w:eastAsia="zh-CN"/>
              </w:rPr>
            </w:pPr>
            <w:r>
              <w:rPr>
                <w:color w:val="auto"/>
                <w:highlight w:val="none"/>
                <w:lang w:eastAsia="zh-CN"/>
              </w:rPr>
              <w:t>7</w:t>
            </w:r>
            <w:r>
              <w:rPr>
                <w:rFonts w:hint="eastAsia"/>
                <w:color w:val="auto"/>
                <w:highlight w:val="none"/>
                <w:lang w:eastAsia="zh-CN"/>
              </w:rPr>
              <w:t>）外机和内机功率和数量可根据图纸和实际情况且不降低原设计标准的情况下，做适当的优化调整，但须经过设计、监理、业主同意。</w:t>
            </w:r>
          </w:p>
          <w:p>
            <w:pPr>
              <w:rPr>
                <w:color w:val="auto"/>
                <w:highlight w:val="none"/>
                <w:lang w:eastAsia="zh-CN"/>
              </w:rPr>
            </w:pPr>
            <w:r>
              <w:rPr>
                <w:color w:val="auto"/>
                <w:highlight w:val="none"/>
                <w:lang w:eastAsia="zh-CN"/>
              </w:rPr>
              <w:t>2</w:t>
            </w:r>
            <w:r>
              <w:rPr>
                <w:rFonts w:hint="eastAsia"/>
                <w:color w:val="auto"/>
                <w:highlight w:val="none"/>
                <w:lang w:eastAsia="zh-CN"/>
              </w:rPr>
              <w:t>、室内、室外机要求：</w:t>
            </w:r>
          </w:p>
          <w:p>
            <w:pPr>
              <w:rPr>
                <w:color w:val="auto"/>
                <w:highlight w:val="none"/>
                <w:lang w:eastAsia="zh-CN"/>
              </w:rPr>
            </w:pPr>
            <w:r>
              <w:rPr>
                <w:rFonts w:hint="eastAsia"/>
                <w:color w:val="auto"/>
                <w:highlight w:val="none"/>
                <w:lang w:eastAsia="zh-CN"/>
              </w:rPr>
              <w:t>外机：</w:t>
            </w:r>
          </w:p>
          <w:p>
            <w:pPr>
              <w:rPr>
                <w:color w:val="auto"/>
                <w:highlight w:val="none"/>
                <w:lang w:eastAsia="zh-CN"/>
              </w:rPr>
            </w:pPr>
            <w:r>
              <w:rPr>
                <w:color w:val="auto"/>
                <w:highlight w:val="none"/>
                <w:lang w:eastAsia="zh-CN"/>
              </w:rPr>
              <w:t>1</w:t>
            </w:r>
            <w:r>
              <w:rPr>
                <w:rFonts w:hint="eastAsia"/>
                <w:color w:val="auto"/>
                <w:highlight w:val="none"/>
                <w:lang w:eastAsia="zh-CN"/>
              </w:rPr>
              <w:t>）系统所用其他部件和系统所用辅材在不降低质量标准、使用效果和使用寿命的前提下，可选用国内优质合资产品。</w:t>
            </w:r>
          </w:p>
          <w:p>
            <w:pPr>
              <w:rPr>
                <w:color w:val="auto"/>
                <w:highlight w:val="none"/>
                <w:lang w:eastAsia="zh-CN"/>
              </w:rPr>
            </w:pPr>
            <w:r>
              <w:rPr>
                <w:color w:val="auto"/>
                <w:highlight w:val="none"/>
                <w:lang w:eastAsia="zh-CN"/>
              </w:rPr>
              <w:t>2</w:t>
            </w:r>
            <w:r>
              <w:rPr>
                <w:rFonts w:hint="eastAsia"/>
                <w:color w:val="auto"/>
                <w:highlight w:val="none"/>
                <w:lang w:eastAsia="zh-CN"/>
              </w:rPr>
              <w:t>）室外机具体位置见图纸。</w:t>
            </w:r>
          </w:p>
          <w:p>
            <w:pPr>
              <w:rPr>
                <w:color w:val="auto"/>
                <w:highlight w:val="none"/>
                <w:lang w:eastAsia="zh-CN"/>
              </w:rPr>
            </w:pPr>
            <w:r>
              <w:rPr>
                <w:color w:val="auto"/>
                <w:highlight w:val="none"/>
                <w:lang w:eastAsia="zh-CN"/>
              </w:rPr>
              <w:t>3</w:t>
            </w:r>
            <w:r>
              <w:rPr>
                <w:rFonts w:hint="eastAsia"/>
                <w:color w:val="auto"/>
                <w:highlight w:val="none"/>
                <w:lang w:eastAsia="zh-CN"/>
              </w:rPr>
              <w:t>）室内机出风形式需按图纸要求，负荷不得低于原设计。</w:t>
            </w:r>
          </w:p>
          <w:p>
            <w:pPr>
              <w:rPr>
                <w:color w:val="auto"/>
                <w:highlight w:val="none"/>
                <w:lang w:eastAsia="zh-CN"/>
              </w:rPr>
            </w:pPr>
            <w:r>
              <w:rPr>
                <w:color w:val="auto"/>
                <w:highlight w:val="none"/>
                <w:lang w:eastAsia="zh-CN"/>
              </w:rPr>
              <w:t>4</w:t>
            </w:r>
            <w:r>
              <w:rPr>
                <w:rFonts w:hint="eastAsia"/>
                <w:color w:val="auto"/>
                <w:highlight w:val="none"/>
                <w:lang w:eastAsia="zh-CN"/>
              </w:rPr>
              <w:t>）室外机组所有外露或与潮湿空气接触的金属构件，必须采用有效的防腐蚀的措施（此项应在投标文件技术规格偏离表内重点描述）。构件组装需采用不锈钢或经认可的防锈处理的金属螺栓及螺帽。</w:t>
            </w:r>
          </w:p>
          <w:p>
            <w:pPr>
              <w:rPr>
                <w:color w:val="auto"/>
                <w:highlight w:val="none"/>
                <w:lang w:eastAsia="zh-CN"/>
              </w:rPr>
            </w:pPr>
            <w:r>
              <w:rPr>
                <w:color w:val="auto"/>
                <w:highlight w:val="none"/>
                <w:lang w:eastAsia="zh-CN"/>
              </w:rPr>
              <w:t>5</w:t>
            </w:r>
            <w:r>
              <w:rPr>
                <w:rFonts w:hint="eastAsia"/>
                <w:color w:val="auto"/>
                <w:highlight w:val="none"/>
                <w:lang w:eastAsia="zh-CN"/>
              </w:rPr>
              <w:t>）压缩机应具备时间均衡运转功能，压缩机能顺序启动，并能自动轮换，确保每个压缩机的运行时间保持均匀，延长使用寿命。</w:t>
            </w:r>
          </w:p>
          <w:p>
            <w:pPr>
              <w:rPr>
                <w:color w:val="auto"/>
                <w:highlight w:val="none"/>
                <w:lang w:eastAsia="zh-CN"/>
              </w:rPr>
            </w:pPr>
            <w:r>
              <w:rPr>
                <w:color w:val="auto"/>
                <w:highlight w:val="none"/>
                <w:lang w:eastAsia="zh-CN"/>
              </w:rPr>
              <w:t>6</w:t>
            </w:r>
            <w:r>
              <w:rPr>
                <w:rFonts w:hint="eastAsia"/>
                <w:color w:val="auto"/>
                <w:highlight w:val="none"/>
                <w:lang w:eastAsia="zh-CN"/>
              </w:rPr>
              <w:t>）冷凝器采用优质紫铜管和优质亲水铝箔制作。</w:t>
            </w:r>
          </w:p>
          <w:p>
            <w:pPr>
              <w:rPr>
                <w:color w:val="auto"/>
                <w:highlight w:val="none"/>
                <w:lang w:eastAsia="zh-CN"/>
              </w:rPr>
            </w:pPr>
            <w:r>
              <w:rPr>
                <w:color w:val="auto"/>
                <w:highlight w:val="none"/>
                <w:lang w:eastAsia="zh-CN"/>
              </w:rPr>
              <w:t>7</w:t>
            </w:r>
            <w:r>
              <w:rPr>
                <w:rFonts w:hint="eastAsia"/>
                <w:color w:val="auto"/>
                <w:highlight w:val="none"/>
                <w:lang w:eastAsia="zh-CN"/>
              </w:rPr>
              <w:t>）冷凝风机的轴承应为优质轴承。轴承的额定寿命应不小于</w:t>
            </w:r>
            <w:r>
              <w:rPr>
                <w:color w:val="auto"/>
                <w:highlight w:val="none"/>
                <w:lang w:eastAsia="zh-CN"/>
              </w:rPr>
              <w:t>10</w:t>
            </w:r>
            <w:r>
              <w:rPr>
                <w:rFonts w:hint="eastAsia"/>
                <w:color w:val="auto"/>
                <w:highlight w:val="none"/>
                <w:lang w:eastAsia="zh-CN"/>
              </w:rPr>
              <w:t>年。</w:t>
            </w:r>
          </w:p>
          <w:p>
            <w:pPr>
              <w:rPr>
                <w:color w:val="auto"/>
                <w:highlight w:val="none"/>
                <w:lang w:eastAsia="zh-CN"/>
              </w:rPr>
            </w:pPr>
            <w:r>
              <w:rPr>
                <w:color w:val="auto"/>
                <w:highlight w:val="none"/>
                <w:lang w:eastAsia="zh-CN"/>
              </w:rPr>
              <w:t>8</w:t>
            </w:r>
            <w:r>
              <w:rPr>
                <w:rFonts w:hint="eastAsia"/>
                <w:color w:val="auto"/>
                <w:highlight w:val="none"/>
                <w:lang w:eastAsia="zh-CN"/>
              </w:rPr>
              <w:t>）冷凝风机电机应采用高效低噪的优质产品，电机须符合我国有关电机技术及安全标准要求。电动机应为全天候式专供室外使用、全封闭低噪声高效率专用电动机，绝缘等级不低于</w:t>
            </w:r>
            <w:r>
              <w:rPr>
                <w:color w:val="auto"/>
                <w:highlight w:val="none"/>
                <w:lang w:eastAsia="zh-CN"/>
              </w:rPr>
              <w:t>F</w:t>
            </w:r>
            <w:r>
              <w:rPr>
                <w:rFonts w:hint="eastAsia"/>
                <w:color w:val="auto"/>
                <w:highlight w:val="none"/>
                <w:lang w:eastAsia="zh-CN"/>
              </w:rPr>
              <w:t>级，防护等级不低于</w:t>
            </w:r>
            <w:r>
              <w:rPr>
                <w:color w:val="auto"/>
                <w:highlight w:val="none"/>
                <w:lang w:eastAsia="zh-CN"/>
              </w:rPr>
              <w:t>IP44</w:t>
            </w:r>
            <w:r>
              <w:rPr>
                <w:rFonts w:hint="eastAsia"/>
                <w:color w:val="auto"/>
                <w:highlight w:val="none"/>
                <w:lang w:eastAsia="zh-CN"/>
              </w:rPr>
              <w:t>。室外机风机采用直流变速控制。</w:t>
            </w:r>
          </w:p>
          <w:p>
            <w:pPr>
              <w:rPr>
                <w:color w:val="auto"/>
                <w:highlight w:val="none"/>
                <w:lang w:eastAsia="zh-CN"/>
              </w:rPr>
            </w:pPr>
            <w:r>
              <w:rPr>
                <w:color w:val="auto"/>
                <w:highlight w:val="none"/>
                <w:lang w:eastAsia="zh-CN"/>
              </w:rPr>
              <w:t>9</w:t>
            </w:r>
            <w:r>
              <w:rPr>
                <w:rFonts w:hint="eastAsia"/>
                <w:color w:val="auto"/>
                <w:highlight w:val="none"/>
                <w:lang w:eastAsia="zh-CN"/>
              </w:rPr>
              <w:t>）室外机组装置要求对周围电子设备、音响设备、计算机网络及通讯等不产生电磁干扰，并具有电磁干扰抑制电路。</w:t>
            </w:r>
          </w:p>
          <w:p>
            <w:pPr>
              <w:rPr>
                <w:color w:val="auto"/>
                <w:highlight w:val="none"/>
                <w:lang w:eastAsia="zh-CN"/>
              </w:rPr>
            </w:pPr>
            <w:r>
              <w:rPr>
                <w:rFonts w:hint="eastAsia"/>
                <w:color w:val="auto"/>
                <w:highlight w:val="none"/>
                <w:lang w:eastAsia="zh-CN"/>
              </w:rPr>
              <w:t>内机：</w:t>
            </w:r>
          </w:p>
          <w:p>
            <w:pPr>
              <w:rPr>
                <w:color w:val="auto"/>
                <w:highlight w:val="none"/>
                <w:lang w:eastAsia="zh-CN"/>
              </w:rPr>
            </w:pPr>
            <w:r>
              <w:rPr>
                <w:color w:val="auto"/>
                <w:highlight w:val="none"/>
                <w:lang w:eastAsia="zh-CN"/>
              </w:rPr>
              <w:t>1</w:t>
            </w:r>
            <w:r>
              <w:rPr>
                <w:rFonts w:hint="eastAsia"/>
                <w:color w:val="auto"/>
                <w:highlight w:val="none"/>
                <w:lang w:eastAsia="zh-CN"/>
              </w:rPr>
              <w:t>）天花嵌入式室内机需配置冷凝水提升泵，其他管道式室内机如有需要也必须配置冷凝水提升泵扬程。冷凝水提升泵的扬程应满足现场冷凝水排水要求。</w:t>
            </w:r>
          </w:p>
          <w:p>
            <w:pPr>
              <w:rPr>
                <w:color w:val="auto"/>
                <w:highlight w:val="none"/>
                <w:lang w:eastAsia="zh-CN"/>
              </w:rPr>
            </w:pPr>
            <w:r>
              <w:rPr>
                <w:color w:val="auto"/>
                <w:highlight w:val="none"/>
                <w:lang w:eastAsia="zh-CN"/>
              </w:rPr>
              <w:t>2</w:t>
            </w:r>
            <w:r>
              <w:rPr>
                <w:rFonts w:hint="eastAsia"/>
                <w:color w:val="auto"/>
                <w:highlight w:val="none"/>
                <w:lang w:eastAsia="zh-CN"/>
              </w:rPr>
              <w:t>）所有室内机组的运行噪声在满足国家相关法律法规前提下，还须满足设计及实际使用要求。承包人应充分考虑为消除噪声影响而可能增加消声降噪措施所带来的一切费用。</w:t>
            </w:r>
          </w:p>
          <w:p>
            <w:pPr>
              <w:rPr>
                <w:color w:val="auto"/>
                <w:highlight w:val="none"/>
                <w:lang w:eastAsia="zh-CN"/>
              </w:rPr>
            </w:pPr>
            <w:r>
              <w:rPr>
                <w:color w:val="auto"/>
                <w:highlight w:val="none"/>
                <w:lang w:eastAsia="zh-CN"/>
              </w:rPr>
              <w:t>3</w:t>
            </w:r>
            <w:r>
              <w:rPr>
                <w:rFonts w:hint="eastAsia"/>
                <w:color w:val="auto"/>
                <w:highlight w:val="none"/>
                <w:lang w:eastAsia="zh-CN"/>
              </w:rPr>
              <w:t>）每台室内机须分别配置一个中文显示的有线液晶控制器，其应具备但不限于以下功能：开关控制、风量调节、风向摆动选择、运行模式选择（自动、制冷、除湿、送风、制热等）、温度设定、定时开关、故障报警。</w:t>
            </w:r>
          </w:p>
          <w:p>
            <w:pPr>
              <w:rPr>
                <w:color w:val="auto"/>
                <w:highlight w:val="none"/>
                <w:lang w:eastAsia="zh-CN"/>
              </w:rPr>
            </w:pPr>
            <w:r>
              <w:rPr>
                <w:color w:val="auto"/>
                <w:highlight w:val="none"/>
                <w:lang w:eastAsia="zh-CN"/>
              </w:rPr>
              <w:t>4</w:t>
            </w:r>
            <w:r>
              <w:rPr>
                <w:rFonts w:hint="eastAsia"/>
                <w:color w:val="auto"/>
                <w:highlight w:val="none"/>
                <w:lang w:eastAsia="zh-CN"/>
              </w:rPr>
              <w:t>）室内机应自带过滤器及附件，并方便拆洗。</w:t>
            </w:r>
          </w:p>
          <w:p>
            <w:pPr>
              <w:rPr>
                <w:color w:val="auto"/>
                <w:highlight w:val="none"/>
                <w:lang w:eastAsia="zh-CN"/>
              </w:rPr>
            </w:pPr>
            <w:r>
              <w:rPr>
                <w:color w:val="auto"/>
                <w:highlight w:val="none"/>
                <w:lang w:eastAsia="zh-CN"/>
              </w:rPr>
              <w:t>6</w:t>
            </w:r>
            <w:r>
              <w:rPr>
                <w:rFonts w:hint="eastAsia"/>
                <w:color w:val="auto"/>
                <w:highlight w:val="none"/>
                <w:lang w:eastAsia="zh-CN"/>
              </w:rPr>
              <w:t>）如遇意外掉电，断电以前的所有设置不会被消除。重新供电后机组应能自动重启。</w:t>
            </w:r>
          </w:p>
          <w:p>
            <w:pPr>
              <w:rPr>
                <w:color w:val="auto"/>
                <w:highlight w:val="none"/>
                <w:lang w:eastAsia="zh-CN"/>
              </w:rPr>
            </w:pPr>
            <w:r>
              <w:rPr>
                <w:color w:val="auto"/>
                <w:highlight w:val="none"/>
                <w:lang w:eastAsia="zh-CN"/>
              </w:rPr>
              <w:t>3</w:t>
            </w:r>
            <w:r>
              <w:rPr>
                <w:rFonts w:hint="eastAsia"/>
                <w:color w:val="auto"/>
                <w:highlight w:val="none"/>
                <w:lang w:eastAsia="zh-CN"/>
              </w:rPr>
              <w:t>、管路的要求：</w:t>
            </w:r>
          </w:p>
          <w:p>
            <w:pPr>
              <w:rPr>
                <w:color w:val="auto"/>
                <w:highlight w:val="none"/>
                <w:lang w:eastAsia="zh-CN"/>
              </w:rPr>
            </w:pPr>
            <w:r>
              <w:rPr>
                <w:color w:val="auto"/>
                <w:highlight w:val="none"/>
                <w:lang w:eastAsia="zh-CN"/>
              </w:rPr>
              <w:t>1</w:t>
            </w:r>
            <w:r>
              <w:rPr>
                <w:rFonts w:hint="eastAsia"/>
                <w:color w:val="auto"/>
                <w:highlight w:val="none"/>
                <w:lang w:eastAsia="zh-CN"/>
              </w:rPr>
              <w:t>）冷媒管道宜采用脱氧化磷无缝铜管及专用接头，管径应详细参照所选厂家产品的技术规格。</w:t>
            </w:r>
          </w:p>
          <w:p>
            <w:pPr>
              <w:rPr>
                <w:color w:val="auto"/>
                <w:highlight w:val="none"/>
                <w:lang w:eastAsia="zh-CN"/>
              </w:rPr>
            </w:pPr>
            <w:r>
              <w:rPr>
                <w:color w:val="auto"/>
                <w:highlight w:val="none"/>
                <w:lang w:eastAsia="zh-CN"/>
              </w:rPr>
              <w:t>2</w:t>
            </w:r>
            <w:r>
              <w:rPr>
                <w:rFonts w:hint="eastAsia"/>
                <w:color w:val="auto"/>
                <w:highlight w:val="none"/>
                <w:lang w:eastAsia="zh-CN"/>
              </w:rPr>
              <w:t>）冷凝水托盘要防漏及必要的提升装置</w:t>
            </w:r>
            <w:r>
              <w:rPr>
                <w:color w:val="auto"/>
                <w:highlight w:val="none"/>
                <w:lang w:eastAsia="zh-CN"/>
              </w:rPr>
              <w:t>,</w:t>
            </w:r>
            <w:r>
              <w:rPr>
                <w:rFonts w:hint="eastAsia"/>
                <w:color w:val="auto"/>
                <w:highlight w:val="none"/>
                <w:lang w:eastAsia="zh-CN"/>
              </w:rPr>
              <w:t>并在投标文件中说明。</w:t>
            </w:r>
          </w:p>
          <w:p>
            <w:pPr>
              <w:rPr>
                <w:color w:val="auto"/>
                <w:highlight w:val="none"/>
                <w:lang w:eastAsia="zh-CN"/>
              </w:rPr>
            </w:pPr>
            <w:r>
              <w:rPr>
                <w:color w:val="auto"/>
                <w:highlight w:val="none"/>
                <w:lang w:eastAsia="zh-CN"/>
              </w:rPr>
              <w:t>4</w:t>
            </w:r>
            <w:r>
              <w:rPr>
                <w:rFonts w:hint="eastAsia"/>
                <w:color w:val="auto"/>
                <w:highlight w:val="none"/>
                <w:lang w:eastAsia="zh-CN"/>
              </w:rPr>
              <w:t>、安全要求：</w:t>
            </w:r>
          </w:p>
          <w:p>
            <w:pPr>
              <w:rPr>
                <w:color w:val="auto"/>
                <w:highlight w:val="none"/>
                <w:lang w:eastAsia="zh-CN"/>
              </w:rPr>
            </w:pPr>
            <w:r>
              <w:rPr>
                <w:color w:val="auto"/>
                <w:highlight w:val="none"/>
                <w:lang w:eastAsia="zh-CN"/>
              </w:rPr>
              <w:t>1</w:t>
            </w:r>
            <w:r>
              <w:rPr>
                <w:rFonts w:hint="eastAsia"/>
                <w:color w:val="auto"/>
                <w:highlight w:val="none"/>
                <w:lang w:eastAsia="zh-CN"/>
              </w:rPr>
              <w:t>）对于过载或其他参数（如压力、温度等）超过规定范围时，应设置过载保护器或各种控制器等安全装置。机组至少应设置：</w:t>
            </w:r>
          </w:p>
          <w:p>
            <w:pPr>
              <w:rPr>
                <w:color w:val="auto"/>
                <w:highlight w:val="none"/>
                <w:lang w:eastAsia="zh-CN"/>
              </w:rPr>
            </w:pPr>
            <w:r>
              <w:rPr>
                <w:color w:val="auto"/>
                <w:highlight w:val="none"/>
                <w:lang w:eastAsia="zh-CN"/>
              </w:rPr>
              <w:t>A</w:t>
            </w:r>
            <w:r>
              <w:rPr>
                <w:rFonts w:hint="eastAsia"/>
                <w:color w:val="auto"/>
                <w:highlight w:val="none"/>
                <w:lang w:eastAsia="zh-CN"/>
              </w:rPr>
              <w:t>压缩机电机、风机电机过载保护、过热保护、过流保护；</w:t>
            </w:r>
          </w:p>
          <w:p>
            <w:pPr>
              <w:rPr>
                <w:color w:val="auto"/>
                <w:highlight w:val="none"/>
                <w:lang w:eastAsia="zh-CN"/>
              </w:rPr>
            </w:pPr>
            <w:r>
              <w:rPr>
                <w:color w:val="auto"/>
                <w:highlight w:val="none"/>
                <w:lang w:eastAsia="zh-CN"/>
              </w:rPr>
              <w:t>B</w:t>
            </w:r>
            <w:r>
              <w:rPr>
                <w:rFonts w:hint="eastAsia"/>
                <w:color w:val="auto"/>
                <w:highlight w:val="none"/>
                <w:lang w:eastAsia="zh-CN"/>
              </w:rPr>
              <w:t>压缩机电源缺相及过电流保护、欠电压保护；</w:t>
            </w:r>
          </w:p>
          <w:p>
            <w:pPr>
              <w:rPr>
                <w:color w:val="auto"/>
                <w:highlight w:val="none"/>
                <w:lang w:eastAsia="zh-CN"/>
              </w:rPr>
            </w:pPr>
            <w:r>
              <w:rPr>
                <w:color w:val="auto"/>
                <w:highlight w:val="none"/>
                <w:lang w:eastAsia="zh-CN"/>
              </w:rPr>
              <w:t>C</w:t>
            </w:r>
            <w:r>
              <w:rPr>
                <w:rFonts w:hint="eastAsia"/>
                <w:color w:val="auto"/>
                <w:highlight w:val="none"/>
                <w:lang w:eastAsia="zh-CN"/>
              </w:rPr>
              <w:t>制冷剂高压保护、低压保护；</w:t>
            </w:r>
          </w:p>
          <w:p>
            <w:pPr>
              <w:rPr>
                <w:color w:val="auto"/>
                <w:highlight w:val="none"/>
                <w:lang w:eastAsia="zh-CN"/>
              </w:rPr>
            </w:pPr>
            <w:r>
              <w:rPr>
                <w:color w:val="auto"/>
                <w:highlight w:val="none"/>
                <w:lang w:eastAsia="zh-CN"/>
              </w:rPr>
              <w:t>D</w:t>
            </w:r>
            <w:r>
              <w:rPr>
                <w:rFonts w:hint="eastAsia"/>
                <w:color w:val="auto"/>
                <w:highlight w:val="none"/>
                <w:lang w:eastAsia="zh-CN"/>
              </w:rPr>
              <w:t>油路保护；</w:t>
            </w:r>
          </w:p>
          <w:p>
            <w:pPr>
              <w:rPr>
                <w:color w:val="auto"/>
                <w:highlight w:val="none"/>
                <w:lang w:eastAsia="zh-CN"/>
              </w:rPr>
            </w:pPr>
            <w:r>
              <w:rPr>
                <w:color w:val="auto"/>
                <w:highlight w:val="none"/>
                <w:lang w:eastAsia="zh-CN"/>
              </w:rPr>
              <w:t>E</w:t>
            </w:r>
            <w:r>
              <w:rPr>
                <w:rFonts w:hint="eastAsia"/>
                <w:color w:val="auto"/>
                <w:highlight w:val="none"/>
                <w:lang w:eastAsia="zh-CN"/>
              </w:rPr>
              <w:t>排气温度过高保护、过低保护；</w:t>
            </w:r>
          </w:p>
          <w:p>
            <w:pPr>
              <w:rPr>
                <w:color w:val="auto"/>
                <w:highlight w:val="none"/>
                <w:lang w:eastAsia="zh-CN"/>
              </w:rPr>
            </w:pPr>
            <w:r>
              <w:rPr>
                <w:color w:val="auto"/>
                <w:highlight w:val="none"/>
                <w:lang w:eastAsia="zh-CN"/>
              </w:rPr>
              <w:t>F</w:t>
            </w:r>
            <w:r>
              <w:rPr>
                <w:rFonts w:hint="eastAsia"/>
                <w:color w:val="auto"/>
                <w:highlight w:val="none"/>
                <w:lang w:eastAsia="zh-CN"/>
              </w:rPr>
              <w:t>电动机异常保护；</w:t>
            </w:r>
          </w:p>
          <w:p>
            <w:pPr>
              <w:rPr>
                <w:color w:val="auto"/>
                <w:highlight w:val="none"/>
                <w:lang w:eastAsia="zh-CN"/>
              </w:rPr>
            </w:pPr>
            <w:r>
              <w:rPr>
                <w:color w:val="auto"/>
                <w:highlight w:val="none"/>
                <w:lang w:eastAsia="zh-CN"/>
              </w:rPr>
              <w:t>G</w:t>
            </w:r>
            <w:r>
              <w:rPr>
                <w:rFonts w:hint="eastAsia"/>
                <w:color w:val="auto"/>
                <w:highlight w:val="none"/>
                <w:lang w:eastAsia="zh-CN"/>
              </w:rPr>
              <w:t>冷凝器风机连锁保护；</w:t>
            </w:r>
          </w:p>
          <w:p>
            <w:pPr>
              <w:rPr>
                <w:color w:val="auto"/>
                <w:highlight w:val="none"/>
                <w:lang w:eastAsia="zh-CN"/>
              </w:rPr>
            </w:pPr>
            <w:r>
              <w:rPr>
                <w:color w:val="auto"/>
                <w:highlight w:val="none"/>
                <w:lang w:eastAsia="zh-CN"/>
              </w:rPr>
              <w:t>H</w:t>
            </w:r>
            <w:r>
              <w:rPr>
                <w:rFonts w:hint="eastAsia"/>
                <w:color w:val="auto"/>
                <w:highlight w:val="none"/>
                <w:lang w:eastAsia="zh-CN"/>
              </w:rPr>
              <w:t>匹配负载缺失保护；</w:t>
            </w:r>
          </w:p>
          <w:p>
            <w:pPr>
              <w:rPr>
                <w:color w:val="auto"/>
                <w:highlight w:val="none"/>
                <w:lang w:eastAsia="zh-CN"/>
              </w:rPr>
            </w:pPr>
            <w:r>
              <w:rPr>
                <w:color w:val="auto"/>
                <w:highlight w:val="none"/>
                <w:lang w:eastAsia="zh-CN"/>
              </w:rPr>
              <w:t>I</w:t>
            </w:r>
            <w:r>
              <w:rPr>
                <w:rFonts w:hint="eastAsia"/>
                <w:color w:val="auto"/>
                <w:highlight w:val="none"/>
                <w:lang w:eastAsia="zh-CN"/>
              </w:rPr>
              <w:t>压缩机失步保护。</w:t>
            </w:r>
          </w:p>
          <w:p>
            <w:pPr>
              <w:rPr>
                <w:color w:val="auto"/>
                <w:highlight w:val="none"/>
                <w:lang w:eastAsia="zh-CN"/>
              </w:rPr>
            </w:pPr>
            <w:r>
              <w:rPr>
                <w:color w:val="auto"/>
                <w:highlight w:val="none"/>
                <w:lang w:eastAsia="zh-CN"/>
              </w:rPr>
              <w:t>2</w:t>
            </w:r>
            <w:r>
              <w:rPr>
                <w:rFonts w:hint="eastAsia"/>
                <w:color w:val="auto"/>
                <w:highlight w:val="none"/>
                <w:lang w:eastAsia="zh-CN"/>
              </w:rPr>
              <w:t>）机组应装备有急停装置，以使在调试或运行中有异常声响或其他危险将要发生时，能迅速停机。</w:t>
            </w:r>
          </w:p>
          <w:p>
            <w:pPr>
              <w:rPr>
                <w:color w:val="auto"/>
                <w:highlight w:val="none"/>
                <w:lang w:eastAsia="zh-CN"/>
              </w:rPr>
            </w:pPr>
            <w:r>
              <w:rPr>
                <w:color w:val="auto"/>
                <w:highlight w:val="none"/>
                <w:lang w:eastAsia="zh-CN"/>
              </w:rPr>
              <w:t>5</w:t>
            </w:r>
            <w:r>
              <w:rPr>
                <w:rFonts w:hint="eastAsia"/>
                <w:color w:val="auto"/>
                <w:highlight w:val="none"/>
                <w:lang w:eastAsia="zh-CN"/>
              </w:rPr>
              <w:t>、标准及须提供的资料：</w:t>
            </w:r>
          </w:p>
          <w:p>
            <w:pPr>
              <w:rPr>
                <w:color w:val="auto"/>
                <w:highlight w:val="none"/>
                <w:lang w:eastAsia="zh-CN"/>
              </w:rPr>
            </w:pPr>
            <w:r>
              <w:rPr>
                <w:color w:val="auto"/>
                <w:highlight w:val="none"/>
                <w:lang w:eastAsia="zh-CN"/>
              </w:rPr>
              <w:t>1</w:t>
            </w:r>
            <w:r>
              <w:rPr>
                <w:rFonts w:hint="eastAsia"/>
                <w:color w:val="auto"/>
                <w:highlight w:val="none"/>
                <w:lang w:eastAsia="zh-CN"/>
              </w:rPr>
              <w:t>）《多联式空调机系统设计与施工安装》</w:t>
            </w:r>
            <w:r>
              <w:rPr>
                <w:color w:val="auto"/>
                <w:highlight w:val="none"/>
                <w:lang w:eastAsia="zh-CN"/>
              </w:rPr>
              <w:t>GB 07K506</w:t>
            </w:r>
          </w:p>
          <w:p>
            <w:pPr>
              <w:rPr>
                <w:color w:val="auto"/>
                <w:highlight w:val="none"/>
                <w:lang w:eastAsia="zh-CN"/>
              </w:rPr>
            </w:pPr>
            <w:r>
              <w:rPr>
                <w:color w:val="auto"/>
                <w:highlight w:val="none"/>
                <w:lang w:eastAsia="zh-CN"/>
              </w:rPr>
              <w:t>2</w:t>
            </w:r>
            <w:r>
              <w:rPr>
                <w:rFonts w:hint="eastAsia"/>
                <w:color w:val="auto"/>
                <w:highlight w:val="none"/>
                <w:lang w:eastAsia="zh-CN"/>
              </w:rPr>
              <w:t>）电器应符合国际电工</w:t>
            </w:r>
            <w:r>
              <w:rPr>
                <w:color w:val="auto"/>
                <w:highlight w:val="none"/>
                <w:lang w:eastAsia="zh-CN"/>
              </w:rPr>
              <w:t>IEC</w:t>
            </w:r>
            <w:r>
              <w:rPr>
                <w:rFonts w:hint="eastAsia"/>
                <w:color w:val="auto"/>
                <w:highlight w:val="none"/>
                <w:lang w:eastAsia="zh-CN"/>
              </w:rPr>
              <w:t>标准</w:t>
            </w:r>
            <w:r>
              <w:rPr>
                <w:color w:val="auto"/>
                <w:highlight w:val="none"/>
                <w:lang w:eastAsia="zh-CN"/>
              </w:rPr>
              <w:t xml:space="preserve"> </w:t>
            </w:r>
          </w:p>
          <w:p>
            <w:pPr>
              <w:rPr>
                <w:color w:val="auto"/>
                <w:highlight w:val="none"/>
                <w:lang w:eastAsia="zh-CN"/>
              </w:rPr>
            </w:pPr>
            <w:r>
              <w:rPr>
                <w:color w:val="auto"/>
                <w:highlight w:val="none"/>
                <w:lang w:eastAsia="zh-CN"/>
              </w:rPr>
              <w:t>3</w:t>
            </w:r>
            <w:r>
              <w:rPr>
                <w:rFonts w:hint="eastAsia"/>
                <w:color w:val="auto"/>
                <w:highlight w:val="none"/>
                <w:lang w:eastAsia="zh-CN"/>
              </w:rPr>
              <w:t>）文件、资料的提供：</w:t>
            </w:r>
          </w:p>
          <w:p>
            <w:pPr>
              <w:rPr>
                <w:color w:val="auto"/>
                <w:highlight w:val="none"/>
                <w:lang w:eastAsia="zh-CN"/>
              </w:rPr>
            </w:pPr>
            <w:r>
              <w:rPr>
                <w:color w:val="auto"/>
                <w:highlight w:val="none"/>
                <w:lang w:eastAsia="zh-CN"/>
              </w:rPr>
              <w:t>A</w:t>
            </w:r>
            <w:r>
              <w:rPr>
                <w:rFonts w:hint="eastAsia"/>
                <w:color w:val="auto"/>
                <w:highlight w:val="none"/>
                <w:lang w:eastAsia="zh-CN"/>
              </w:rPr>
              <w:t>提供设备系统深化设计、设备基础图、管口尺寸及方位图、系统内配管图、产品技术性能说明书、产品样本等。</w:t>
            </w:r>
          </w:p>
          <w:p>
            <w:pPr>
              <w:rPr>
                <w:color w:val="auto"/>
                <w:highlight w:val="none"/>
                <w:lang w:eastAsia="zh-CN"/>
              </w:rPr>
            </w:pPr>
            <w:r>
              <w:rPr>
                <w:color w:val="auto"/>
                <w:highlight w:val="none"/>
                <w:lang w:eastAsia="zh-CN"/>
              </w:rPr>
              <w:t>B</w:t>
            </w:r>
            <w:r>
              <w:rPr>
                <w:rFonts w:hint="eastAsia"/>
                <w:color w:val="auto"/>
                <w:highlight w:val="none"/>
                <w:lang w:eastAsia="zh-CN"/>
              </w:rPr>
              <w:t>应提供机组使用的冷媒的牌号、性能和灌装量。</w:t>
            </w:r>
          </w:p>
          <w:p>
            <w:pPr>
              <w:rPr>
                <w:color w:val="auto"/>
                <w:highlight w:val="none"/>
                <w:lang w:eastAsia="zh-CN"/>
              </w:rPr>
            </w:pPr>
            <w:r>
              <w:rPr>
                <w:color w:val="auto"/>
                <w:highlight w:val="none"/>
                <w:lang w:eastAsia="zh-CN"/>
              </w:rPr>
              <w:t>C</w:t>
            </w:r>
            <w:r>
              <w:rPr>
                <w:rFonts w:hint="eastAsia"/>
                <w:color w:val="auto"/>
                <w:highlight w:val="none"/>
                <w:lang w:eastAsia="zh-CN"/>
              </w:rPr>
              <w:t>应提供机组使用的冷却油、润滑油牌号、性能和灌装量。</w:t>
            </w:r>
          </w:p>
          <w:p>
            <w:pPr>
              <w:rPr>
                <w:color w:val="auto"/>
                <w:highlight w:val="none"/>
                <w:lang w:eastAsia="zh-CN"/>
              </w:rPr>
            </w:pPr>
            <w:r>
              <w:rPr>
                <w:color w:val="auto"/>
                <w:highlight w:val="none"/>
                <w:lang w:eastAsia="zh-CN"/>
              </w:rPr>
              <w:t>D</w:t>
            </w:r>
            <w:r>
              <w:rPr>
                <w:rFonts w:hint="eastAsia"/>
                <w:color w:val="auto"/>
                <w:highlight w:val="none"/>
                <w:lang w:eastAsia="zh-CN"/>
              </w:rPr>
              <w:t>提供机组操作规程和使用说明书、机组维护手册和保养修理所需的各种机械和电气资料。</w:t>
            </w:r>
          </w:p>
          <w:p>
            <w:pPr>
              <w:rPr>
                <w:color w:val="auto"/>
                <w:highlight w:val="none"/>
                <w:lang w:eastAsia="zh-CN"/>
              </w:rPr>
            </w:pPr>
            <w:r>
              <w:rPr>
                <w:color w:val="auto"/>
                <w:highlight w:val="none"/>
                <w:lang w:eastAsia="zh-CN"/>
              </w:rPr>
              <w:t>E</w:t>
            </w:r>
            <w:r>
              <w:rPr>
                <w:rFonts w:hint="eastAsia"/>
                <w:color w:val="auto"/>
                <w:highlight w:val="none"/>
                <w:lang w:eastAsia="zh-CN"/>
              </w:rPr>
              <w:t>提供的设备或部件在交货时，应同时提供有关测试报告、产品合格证书，所提供的设备、部件或配套件，如为国外制造的，除提供上述资料外，还应提供原产地证书、报关资料及检验检疫证明。</w:t>
            </w:r>
          </w:p>
          <w:p>
            <w:pPr>
              <w:rPr>
                <w:color w:val="auto"/>
                <w:highlight w:val="none"/>
                <w:lang w:eastAsia="zh-CN"/>
              </w:rPr>
            </w:pPr>
            <w:r>
              <w:rPr>
                <w:color w:val="auto"/>
                <w:highlight w:val="none"/>
                <w:lang w:eastAsia="zh-CN"/>
              </w:rPr>
              <w:t>F</w:t>
            </w:r>
            <w:r>
              <w:rPr>
                <w:rFonts w:hint="eastAsia"/>
                <w:color w:val="auto"/>
                <w:highlight w:val="none"/>
                <w:lang w:eastAsia="zh-CN"/>
              </w:rPr>
              <w:t>应提供设备制造商认可的经销资质证书、安装施工资质证书、维保资质证书。</w:t>
            </w:r>
          </w:p>
          <w:p>
            <w:pPr>
              <w:rPr>
                <w:color w:val="auto"/>
                <w:highlight w:val="none"/>
                <w:lang w:eastAsia="zh-CN"/>
              </w:rPr>
            </w:pPr>
            <w:r>
              <w:rPr>
                <w:color w:val="auto"/>
                <w:highlight w:val="none"/>
                <w:lang w:eastAsia="zh-CN"/>
              </w:rPr>
              <w:t>G</w:t>
            </w:r>
            <w:r>
              <w:rPr>
                <w:rFonts w:hint="eastAsia"/>
                <w:color w:val="auto"/>
                <w:highlight w:val="none"/>
                <w:lang w:eastAsia="zh-CN"/>
              </w:rPr>
              <w:t>电子膨胀阀的型号规格、主要性能、制造商全称及制造地点等。</w:t>
            </w:r>
          </w:p>
          <w:p>
            <w:pPr>
              <w:rPr>
                <w:color w:val="auto"/>
                <w:highlight w:val="none"/>
                <w:lang w:eastAsia="zh-CN"/>
              </w:rPr>
            </w:pPr>
            <w:r>
              <w:rPr>
                <w:color w:val="auto"/>
                <w:highlight w:val="none"/>
                <w:lang w:eastAsia="zh-CN"/>
              </w:rPr>
              <w:t>H</w:t>
            </w:r>
            <w:r>
              <w:rPr>
                <w:rFonts w:hint="eastAsia"/>
                <w:color w:val="auto"/>
                <w:highlight w:val="none"/>
                <w:lang w:eastAsia="zh-CN"/>
              </w:rPr>
              <w:t>机组的名称、品牌、配置、型号规格、技术参数及性能</w:t>
            </w:r>
            <w:r>
              <w:rPr>
                <w:color w:val="auto"/>
                <w:highlight w:val="none"/>
                <w:lang w:eastAsia="zh-CN"/>
              </w:rPr>
              <w:t>[</w:t>
            </w:r>
            <w:r>
              <w:rPr>
                <w:rFonts w:hint="eastAsia"/>
                <w:color w:val="auto"/>
                <w:highlight w:val="none"/>
                <w:lang w:eastAsia="zh-CN"/>
              </w:rPr>
              <w:t>包括单台机组制冷量及输入功率（</w:t>
            </w:r>
            <w:r>
              <w:rPr>
                <w:color w:val="auto"/>
                <w:highlight w:val="none"/>
                <w:lang w:eastAsia="zh-CN"/>
              </w:rPr>
              <w:t>KW</w:t>
            </w:r>
            <w:r>
              <w:rPr>
                <w:rFonts w:hint="eastAsia"/>
                <w:color w:val="auto"/>
                <w:highlight w:val="none"/>
                <w:lang w:eastAsia="zh-CN"/>
              </w:rPr>
              <w:t>）和制热量及输入功率（</w:t>
            </w:r>
            <w:r>
              <w:rPr>
                <w:color w:val="auto"/>
                <w:highlight w:val="none"/>
                <w:lang w:eastAsia="zh-CN"/>
              </w:rPr>
              <w:t>KW</w:t>
            </w:r>
            <w:r>
              <w:rPr>
                <w:rFonts w:hint="eastAsia"/>
                <w:color w:val="auto"/>
                <w:highlight w:val="none"/>
                <w:lang w:eastAsia="zh-CN"/>
              </w:rPr>
              <w:t>）、压缩机数量及形式、外形尺寸（长×宽×高，</w:t>
            </w:r>
            <w:r>
              <w:rPr>
                <w:color w:val="auto"/>
                <w:highlight w:val="none"/>
                <w:lang w:eastAsia="zh-CN"/>
              </w:rPr>
              <w:t>m</w:t>
            </w:r>
            <w:r>
              <w:rPr>
                <w:rFonts w:hint="eastAsia"/>
                <w:color w:val="auto"/>
                <w:highlight w:val="none"/>
                <w:lang w:eastAsia="zh-CN"/>
              </w:rPr>
              <w:t>）、自重、运行重量、对基础的荷载、单台机组总装机容量（包括压缩机、风机的用电量，</w:t>
            </w:r>
            <w:r>
              <w:rPr>
                <w:color w:val="auto"/>
                <w:highlight w:val="none"/>
                <w:lang w:eastAsia="zh-CN"/>
              </w:rPr>
              <w:t>KW</w:t>
            </w:r>
            <w:r>
              <w:rPr>
                <w:rFonts w:hint="eastAsia"/>
                <w:color w:val="auto"/>
                <w:highlight w:val="none"/>
                <w:lang w:eastAsia="zh-CN"/>
              </w:rPr>
              <w:t>）、噪声频谱、除霜方式、安全保护功能的叙述等、产品样本、数量、单价、制造商全称及制造地点。</w:t>
            </w:r>
          </w:p>
          <w:p>
            <w:pPr>
              <w:rPr>
                <w:color w:val="auto"/>
                <w:highlight w:val="none"/>
                <w:lang w:eastAsia="zh-CN"/>
              </w:rPr>
            </w:pPr>
            <w:r>
              <w:rPr>
                <w:color w:val="auto"/>
                <w:highlight w:val="none"/>
                <w:lang w:eastAsia="zh-CN"/>
              </w:rPr>
              <w:t>I</w:t>
            </w:r>
            <w:r>
              <w:rPr>
                <w:rFonts w:hint="eastAsia"/>
                <w:color w:val="auto"/>
                <w:highlight w:val="none"/>
                <w:lang w:eastAsia="zh-CN"/>
              </w:rPr>
              <w:t>主要辅材（如铜管、保温材料）的品牌、型号规格、主要性能、制造商全称及制造地点等。</w:t>
            </w:r>
          </w:p>
          <w:p>
            <w:pPr>
              <w:rPr>
                <w:color w:val="auto"/>
                <w:highlight w:val="none"/>
                <w:lang w:eastAsia="zh-CN"/>
              </w:rPr>
            </w:pPr>
            <w:r>
              <w:rPr>
                <w:color w:val="auto"/>
                <w:highlight w:val="none"/>
                <w:lang w:eastAsia="zh-CN"/>
              </w:rPr>
              <w:t>J</w:t>
            </w:r>
            <w:r>
              <w:rPr>
                <w:rFonts w:hint="eastAsia"/>
                <w:color w:val="auto"/>
                <w:highlight w:val="none"/>
                <w:lang w:eastAsia="zh-CN"/>
              </w:rPr>
              <w:t>随主机提供备品、配件的明细清单及单价。</w:t>
            </w:r>
          </w:p>
          <w:p>
            <w:pPr>
              <w:rPr>
                <w:color w:val="auto"/>
                <w:highlight w:val="none"/>
                <w:lang w:eastAsia="zh-CN"/>
              </w:rPr>
            </w:pPr>
            <w:r>
              <w:rPr>
                <w:color w:val="auto"/>
                <w:highlight w:val="none"/>
                <w:lang w:eastAsia="zh-CN"/>
              </w:rPr>
              <w:t>6</w:t>
            </w:r>
            <w:r>
              <w:rPr>
                <w:rFonts w:hint="eastAsia"/>
                <w:color w:val="auto"/>
                <w:highlight w:val="none"/>
                <w:lang w:eastAsia="zh-CN"/>
              </w:rPr>
              <w:t>、安装节点设计时须注意的问题：</w:t>
            </w:r>
          </w:p>
          <w:p>
            <w:pPr>
              <w:rPr>
                <w:color w:val="auto"/>
                <w:highlight w:val="none"/>
                <w:lang w:eastAsia="zh-CN"/>
              </w:rPr>
            </w:pPr>
            <w:r>
              <w:rPr>
                <w:color w:val="auto"/>
                <w:highlight w:val="none"/>
                <w:lang w:eastAsia="zh-CN"/>
              </w:rPr>
              <w:t>1</w:t>
            </w:r>
            <w:r>
              <w:rPr>
                <w:rFonts w:hint="eastAsia"/>
                <w:color w:val="auto"/>
                <w:highlight w:val="none"/>
                <w:lang w:eastAsia="zh-CN"/>
              </w:rPr>
              <w:t>）室内机安装后，占据空间的高度尺寸。</w:t>
            </w:r>
          </w:p>
          <w:p>
            <w:pPr>
              <w:rPr>
                <w:color w:val="auto"/>
                <w:highlight w:val="none"/>
                <w:lang w:eastAsia="zh-CN"/>
              </w:rPr>
            </w:pPr>
            <w:r>
              <w:rPr>
                <w:color w:val="auto"/>
                <w:highlight w:val="none"/>
                <w:lang w:eastAsia="zh-CN"/>
              </w:rPr>
              <w:t>2</w:t>
            </w:r>
            <w:r>
              <w:rPr>
                <w:rFonts w:hint="eastAsia"/>
                <w:color w:val="auto"/>
                <w:highlight w:val="none"/>
                <w:lang w:eastAsia="zh-CN"/>
              </w:rPr>
              <w:t>）每种室外机的重量、基础尺寸及安装后的尺寸。</w:t>
            </w:r>
          </w:p>
          <w:p>
            <w:pPr>
              <w:rPr>
                <w:color w:val="auto"/>
                <w:highlight w:val="none"/>
                <w:lang w:eastAsia="zh-CN"/>
              </w:rPr>
            </w:pPr>
            <w:r>
              <w:rPr>
                <w:color w:val="auto"/>
                <w:highlight w:val="none"/>
                <w:lang w:eastAsia="zh-CN"/>
              </w:rPr>
              <w:t>3</w:t>
            </w:r>
            <w:r>
              <w:rPr>
                <w:rFonts w:hint="eastAsia"/>
                <w:color w:val="auto"/>
                <w:highlight w:val="none"/>
                <w:lang w:eastAsia="zh-CN"/>
              </w:rPr>
              <w:t>）安装前需检查基础的平整，以防止安装后产生震动。</w:t>
            </w:r>
          </w:p>
          <w:p>
            <w:pPr>
              <w:rPr>
                <w:color w:val="auto"/>
                <w:highlight w:val="none"/>
                <w:lang w:eastAsia="zh-CN"/>
              </w:rPr>
            </w:pPr>
            <w:r>
              <w:rPr>
                <w:color w:val="auto"/>
                <w:highlight w:val="none"/>
                <w:lang w:eastAsia="zh-CN"/>
              </w:rPr>
              <w:t>4</w:t>
            </w:r>
            <w:r>
              <w:rPr>
                <w:rFonts w:hint="eastAsia"/>
                <w:color w:val="auto"/>
                <w:highlight w:val="none"/>
                <w:lang w:eastAsia="zh-CN"/>
              </w:rPr>
              <w:t>）室外机底座要有减震器，防止机组运行时震动楼板。</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728" w:type="dxa"/>
            <w:vAlign w:val="center"/>
          </w:tcPr>
          <w:p>
            <w:pPr>
              <w:rPr>
                <w:color w:val="auto"/>
                <w:highlight w:val="none"/>
              </w:rPr>
            </w:pPr>
            <w:r>
              <w:rPr>
                <w:color w:val="auto"/>
                <w:highlight w:val="none"/>
              </w:rPr>
              <w:t>14</w:t>
            </w:r>
          </w:p>
        </w:tc>
        <w:tc>
          <w:tcPr>
            <w:tcW w:w="1260" w:type="dxa"/>
            <w:vAlign w:val="center"/>
          </w:tcPr>
          <w:p>
            <w:pPr>
              <w:spacing w:line="360" w:lineRule="exact"/>
              <w:rPr>
                <w:color w:val="auto"/>
                <w:highlight w:val="none"/>
                <w:lang w:val="zh-CN" w:eastAsia="zh-CN"/>
              </w:rPr>
            </w:pPr>
            <w:r>
              <w:rPr>
                <w:color w:val="auto"/>
                <w:highlight w:val="none"/>
                <w:lang w:val="zh-CN" w:eastAsia="zh-CN"/>
              </w:rPr>
              <w:t>变冷媒流量多联空调机组</w:t>
            </w:r>
          </w:p>
          <w:p>
            <w:pPr>
              <w:spacing w:line="360" w:lineRule="exact"/>
              <w:rPr>
                <w:color w:val="auto"/>
                <w:highlight w:val="none"/>
                <w:lang w:val="zh-CN" w:eastAsia="zh-CN"/>
              </w:rPr>
            </w:pPr>
          </w:p>
        </w:tc>
        <w:tc>
          <w:tcPr>
            <w:tcW w:w="7736" w:type="dxa"/>
            <w:vAlign w:val="center"/>
          </w:tcPr>
          <w:p>
            <w:pPr>
              <w:spacing w:line="360" w:lineRule="exact"/>
              <w:rPr>
                <w:b/>
                <w:color w:val="auto"/>
                <w:highlight w:val="none"/>
                <w:lang w:val="zh-CN" w:eastAsia="zh-CN"/>
              </w:rPr>
            </w:pPr>
            <w:r>
              <w:rPr>
                <w:b/>
                <w:color w:val="auto"/>
                <w:highlight w:val="none"/>
                <w:lang w:val="zh-CN" w:eastAsia="zh-CN"/>
              </w:rPr>
              <w:t>技术要求：</w:t>
            </w:r>
          </w:p>
          <w:p>
            <w:pPr>
              <w:spacing w:line="360" w:lineRule="exact"/>
              <w:rPr>
                <w:color w:val="auto"/>
                <w:highlight w:val="none"/>
                <w:lang w:val="zh-CN" w:eastAsia="zh-CN"/>
              </w:rPr>
            </w:pPr>
            <w:r>
              <w:rPr>
                <w:color w:val="auto"/>
                <w:highlight w:val="none"/>
                <w:lang w:val="zh-CN" w:eastAsia="zh-CN"/>
              </w:rPr>
              <w:t>1.系统必须采用环保冷媒R410A。制冷系统压缩机需采用全封闭涡旋式，可平稳运行。COP值≥3.2，并提供IPLV值</w:t>
            </w:r>
          </w:p>
          <w:p>
            <w:pPr>
              <w:spacing w:line="360" w:lineRule="exact"/>
              <w:rPr>
                <w:color w:val="auto"/>
                <w:highlight w:val="none"/>
                <w:lang w:val="zh-CN" w:eastAsia="zh-CN"/>
              </w:rPr>
            </w:pPr>
            <w:r>
              <w:rPr>
                <w:color w:val="auto"/>
                <w:highlight w:val="none"/>
                <w:lang w:val="zh-CN" w:eastAsia="zh-CN"/>
              </w:rPr>
              <w:t>2. 相关参数满足设计图纸要求。本变频多联空调系统室内、室外机、新风换气机必须是同一品牌的配套产品。机组设计寿命不低于25年。</w:t>
            </w:r>
          </w:p>
          <w:p>
            <w:pPr>
              <w:spacing w:line="360" w:lineRule="exact"/>
              <w:rPr>
                <w:color w:val="auto"/>
                <w:highlight w:val="none"/>
                <w:lang w:val="zh-CN" w:eastAsia="zh-CN"/>
              </w:rPr>
            </w:pPr>
            <w:r>
              <w:rPr>
                <w:color w:val="auto"/>
                <w:highlight w:val="none"/>
                <w:lang w:val="zh-CN" w:eastAsia="zh-CN"/>
              </w:rPr>
              <w:t>3.室内机噪音值≤45 dB（A）。</w:t>
            </w:r>
          </w:p>
          <w:p>
            <w:pPr>
              <w:spacing w:line="360" w:lineRule="exact"/>
              <w:rPr>
                <w:color w:val="auto"/>
                <w:highlight w:val="none"/>
                <w:lang w:val="zh-CN" w:eastAsia="zh-CN"/>
              </w:rPr>
            </w:pPr>
            <w:r>
              <w:rPr>
                <w:color w:val="auto"/>
                <w:highlight w:val="none"/>
                <w:lang w:val="zh-CN" w:eastAsia="zh-CN"/>
              </w:rPr>
              <w:t>4.室外主机装置应不对周围电子设备、音响设备、计算机网络及通讯等产生电磁干扰。</w:t>
            </w:r>
          </w:p>
          <w:p>
            <w:pPr>
              <w:spacing w:line="360" w:lineRule="exact"/>
              <w:rPr>
                <w:b/>
                <w:color w:val="auto"/>
                <w:highlight w:val="none"/>
                <w:lang w:val="zh-CN" w:eastAsia="zh-CN"/>
              </w:rPr>
            </w:pPr>
            <w:r>
              <w:rPr>
                <w:b/>
                <w:color w:val="auto"/>
                <w:highlight w:val="none"/>
                <w:lang w:val="zh-CN" w:eastAsia="zh-CN"/>
              </w:rPr>
              <w:t>5.</w:t>
            </w:r>
            <w:bookmarkStart w:id="62" w:name="_Toc320791308"/>
            <w:r>
              <w:rPr>
                <w:b/>
                <w:color w:val="auto"/>
                <w:highlight w:val="none"/>
                <w:lang w:val="zh-CN" w:eastAsia="zh-CN"/>
              </w:rPr>
              <w:t xml:space="preserve"> 室外机组所有外露或与潮湿空气接触的金属构件，必须采用有效的防腐蚀的措施（此项应在投标文件技术规格偏离表内重点描述）。构件组装需采用不锈钢或经认可的防锈处理的金属螺栓及螺帽。</w:t>
            </w:r>
            <w:bookmarkEnd w:id="62"/>
          </w:p>
          <w:p>
            <w:pPr>
              <w:spacing w:line="360" w:lineRule="exact"/>
              <w:rPr>
                <w:color w:val="auto"/>
                <w:highlight w:val="none"/>
                <w:lang w:val="zh-CN" w:eastAsia="zh-CN"/>
              </w:rPr>
            </w:pPr>
            <w:r>
              <w:rPr>
                <w:color w:val="auto"/>
                <w:highlight w:val="none"/>
                <w:lang w:val="zh-CN" w:eastAsia="zh-CN"/>
              </w:rPr>
              <w:t>6.压缩机应具备时间均衡运转功能，压缩机能顺序启动，并能自动轮换，确保每个压缩机的运行时间保持均匀，延长使用寿命。</w:t>
            </w:r>
          </w:p>
          <w:p>
            <w:pPr>
              <w:spacing w:line="360" w:lineRule="exact"/>
              <w:rPr>
                <w:color w:val="auto"/>
                <w:highlight w:val="none"/>
                <w:lang w:val="zh-CN" w:eastAsia="zh-CN"/>
              </w:rPr>
            </w:pPr>
            <w:r>
              <w:rPr>
                <w:color w:val="auto"/>
                <w:highlight w:val="none"/>
                <w:lang w:val="zh-CN" w:eastAsia="zh-CN"/>
              </w:rPr>
              <w:t>7.冷凝器采用优质紫铜管和优质亲水铝箔制作。</w:t>
            </w:r>
          </w:p>
          <w:p>
            <w:pPr>
              <w:spacing w:line="360" w:lineRule="exact"/>
              <w:rPr>
                <w:color w:val="auto"/>
                <w:highlight w:val="none"/>
                <w:lang w:val="zh-CN" w:eastAsia="zh-CN"/>
              </w:rPr>
            </w:pPr>
            <w:r>
              <w:rPr>
                <w:color w:val="auto"/>
                <w:highlight w:val="none"/>
                <w:lang w:val="zh-CN" w:eastAsia="zh-CN"/>
              </w:rPr>
              <w:t>8.冷凝风机的轴承应为进口优质轴承。轴承的额定寿命应不小于10年。</w:t>
            </w:r>
          </w:p>
          <w:p>
            <w:pPr>
              <w:spacing w:line="360" w:lineRule="exact"/>
              <w:rPr>
                <w:color w:val="auto"/>
                <w:highlight w:val="none"/>
                <w:lang w:val="zh-CN" w:eastAsia="zh-CN"/>
              </w:rPr>
            </w:pPr>
            <w:r>
              <w:rPr>
                <w:color w:val="auto"/>
                <w:highlight w:val="none"/>
                <w:lang w:val="zh-CN" w:eastAsia="zh-CN"/>
              </w:rPr>
              <w:t>9.冷凝风机电机应采用高效低噪的优质产品，电机须符合我国有关电机技术及安全标准要求。电动机应为全天候式专供室外使用、全封闭低噪声高效率专用电动机，绝缘等级不低于F级，防护等级不低于IP44。室外机风机采用直流变速控制。</w:t>
            </w:r>
          </w:p>
          <w:p>
            <w:pPr>
              <w:spacing w:line="360" w:lineRule="exact"/>
              <w:rPr>
                <w:color w:val="auto"/>
                <w:highlight w:val="none"/>
                <w:lang w:val="zh-CN" w:eastAsia="zh-CN"/>
              </w:rPr>
            </w:pPr>
            <w:r>
              <w:rPr>
                <w:color w:val="auto"/>
                <w:highlight w:val="none"/>
                <w:lang w:val="zh-CN" w:eastAsia="zh-CN"/>
              </w:rPr>
              <w:t>10.室外机组装置要求对周围电子设备、音响设备、计算机网络及通讯等不产生电磁干扰，并具有电磁干扰抑制电路。</w:t>
            </w:r>
          </w:p>
          <w:p>
            <w:pPr>
              <w:spacing w:line="360" w:lineRule="exact"/>
              <w:rPr>
                <w:color w:val="auto"/>
                <w:highlight w:val="none"/>
                <w:lang w:val="zh-CN" w:eastAsia="zh-CN"/>
              </w:rPr>
            </w:pPr>
            <w:r>
              <w:rPr>
                <w:color w:val="auto"/>
                <w:highlight w:val="none"/>
                <w:lang w:val="zh-CN" w:eastAsia="zh-CN"/>
              </w:rPr>
              <w:t>11.天花式或有排水高差要求的室内机必须配置冷凝水提升泵扬程。室外机外壳及相关配件应采取防腐、防锈措施或具有防腐、防锈的性能及安全防护接地。</w:t>
            </w:r>
          </w:p>
          <w:p>
            <w:pPr>
              <w:spacing w:line="360" w:lineRule="exact"/>
              <w:rPr>
                <w:color w:val="auto"/>
                <w:highlight w:val="none"/>
                <w:lang w:val="zh-CN" w:eastAsia="zh-CN"/>
              </w:rPr>
            </w:pPr>
            <w:r>
              <w:rPr>
                <w:color w:val="auto"/>
                <w:highlight w:val="none"/>
                <w:lang w:val="zh-CN" w:eastAsia="zh-CN"/>
              </w:rPr>
              <w:t>12.对配电屏（箱）、控制箱的要求：二次接线及端子排接线端应有明显的接线标志和清晰编号； 线缆的芯线连接金具规格应与芯线的规格适配，且不得采用开口端子；箱内线路的线间和线对地间绝缘电阻值一次回路必须大于0.5M</w:t>
            </w:r>
            <w:r>
              <w:rPr>
                <w:color w:val="auto"/>
                <w:highlight w:val="none"/>
                <w:lang w:val="zh-CN"/>
              </w:rPr>
              <w:t>Ω</w:t>
            </w:r>
            <w:r>
              <w:rPr>
                <w:color w:val="auto"/>
                <w:highlight w:val="none"/>
                <w:lang w:val="zh-CN" w:eastAsia="zh-CN"/>
              </w:rPr>
              <w:t>，二次回路必须大于1M</w:t>
            </w:r>
            <w:r>
              <w:rPr>
                <w:color w:val="auto"/>
                <w:highlight w:val="none"/>
                <w:lang w:val="zh-CN"/>
              </w:rPr>
              <w:t>Ω</w:t>
            </w:r>
            <w:r>
              <w:rPr>
                <w:color w:val="auto"/>
                <w:highlight w:val="none"/>
                <w:lang w:val="zh-CN" w:eastAsia="zh-CN"/>
              </w:rPr>
              <w:t>；同一端子上导线连接不得多于2根，防松垫圈等零件应齐全；连接配电箱、控制箱面板上的电器与可动部位的电线应采用多股铜芯软电线；线束有外套塑料管等加强绝缘保护层；接地电阻为零。</w:t>
            </w:r>
          </w:p>
          <w:p>
            <w:pPr>
              <w:spacing w:line="360" w:lineRule="exact"/>
              <w:rPr>
                <w:color w:val="auto"/>
                <w:highlight w:val="none"/>
                <w:lang w:val="zh-CN" w:eastAsia="zh-CN"/>
              </w:rPr>
            </w:pPr>
            <w:r>
              <w:rPr>
                <w:color w:val="auto"/>
                <w:highlight w:val="none"/>
                <w:lang w:val="zh-CN" w:eastAsia="zh-CN"/>
              </w:rPr>
              <w:t>13.系统能当冷负荷变化或室内机使用台数变化时，自动调节室外机的运行工况及启、停状态。同时必须能做到根据冷负荷变化进行平滑稳定的调节，调节范围为10%--100%。室外机风扇应能根据室外环境温度的变化进行多级调节运行。</w:t>
            </w:r>
          </w:p>
          <w:p>
            <w:pPr>
              <w:spacing w:line="360" w:lineRule="exact"/>
              <w:rPr>
                <w:color w:val="auto"/>
                <w:highlight w:val="none"/>
                <w:lang w:val="zh-CN" w:eastAsia="zh-CN"/>
              </w:rPr>
            </w:pPr>
            <w:r>
              <w:rPr>
                <w:color w:val="auto"/>
                <w:highlight w:val="none"/>
                <w:lang w:val="zh-CN" w:eastAsia="zh-CN"/>
              </w:rPr>
              <w:t>14.液晶屏线控器控制功能包括：启停，温度、风速设定及显示，故障显示等功能。设备控制系统应有过电流保护、变频过载保护、高压开关等保护功能。</w:t>
            </w:r>
          </w:p>
          <w:p>
            <w:pPr>
              <w:spacing w:line="360" w:lineRule="exact"/>
              <w:rPr>
                <w:color w:val="auto"/>
                <w:highlight w:val="none"/>
                <w:lang w:val="zh-CN" w:eastAsia="zh-CN"/>
              </w:rPr>
            </w:pPr>
            <w:r>
              <w:rPr>
                <w:color w:val="auto"/>
                <w:highlight w:val="none"/>
                <w:lang w:val="zh-CN" w:eastAsia="zh-CN"/>
              </w:rPr>
              <w:t>15.设备开放式通讯接口类型为RS485，采用LONTALK或BACNET协议。室外机为模块组合时，室外机控制模块应具备调节模块机间循环启动的功能。</w:t>
            </w:r>
          </w:p>
          <w:p>
            <w:pPr>
              <w:spacing w:line="360" w:lineRule="exact"/>
              <w:rPr>
                <w:color w:val="auto"/>
                <w:highlight w:val="none"/>
                <w:lang w:val="zh-CN" w:eastAsia="zh-CN"/>
              </w:rPr>
            </w:pPr>
            <w:r>
              <w:rPr>
                <w:color w:val="auto"/>
                <w:highlight w:val="none"/>
                <w:lang w:val="zh-CN" w:eastAsia="zh-CN"/>
              </w:rPr>
              <w:t>16.管材材质：磷脱氧无缝紫铜管，拉制，所选铜管品牌满足以下要求，在产品选用前报发包人确认：</w:t>
            </w:r>
          </w:p>
          <w:p>
            <w:pPr>
              <w:spacing w:line="360" w:lineRule="exact"/>
              <w:rPr>
                <w:color w:val="auto"/>
                <w:highlight w:val="none"/>
                <w:lang w:val="zh-CN" w:eastAsia="zh-CN"/>
              </w:rPr>
            </w:pPr>
            <w:r>
              <w:rPr>
                <w:color w:val="auto"/>
                <w:highlight w:val="none"/>
                <w:lang w:val="zh-CN" w:eastAsia="zh-CN"/>
              </w:rPr>
              <w:t>3）管材外观：管道的内外表面应无针孔、裂纹、起皮、起泡、夹杂、铜粉、积碳层、绿锈、脏污和严重氧化膜，并不允许存在明显的划伤、凹坑、斑点等缺陷。</w:t>
            </w:r>
          </w:p>
          <w:p>
            <w:pPr>
              <w:spacing w:line="360" w:lineRule="exact"/>
              <w:rPr>
                <w:color w:val="auto"/>
                <w:highlight w:val="none"/>
                <w:lang w:val="zh-CN" w:eastAsia="zh-CN"/>
              </w:rPr>
            </w:pPr>
            <w:r>
              <w:rPr>
                <w:color w:val="auto"/>
                <w:highlight w:val="none"/>
                <w:lang w:val="zh-CN" w:eastAsia="zh-CN"/>
              </w:rPr>
              <w:t>4）管材规格应为标准的，其管径及壁厚的允许偏差应在标准允许范围内。参考标准：GB/T1527-2006</w:t>
            </w:r>
          </w:p>
          <w:p>
            <w:pPr>
              <w:spacing w:line="360" w:lineRule="exact"/>
              <w:rPr>
                <w:color w:val="auto"/>
                <w:highlight w:val="none"/>
                <w:lang w:val="zh-CN" w:eastAsia="zh-CN"/>
              </w:rPr>
            </w:pPr>
            <w:r>
              <w:rPr>
                <w:color w:val="auto"/>
                <w:highlight w:val="none"/>
                <w:lang w:val="zh-CN" w:eastAsia="zh-CN"/>
              </w:rPr>
              <w:t>5）铜管及附件的承压应满足系统工作压力及实验压力的要求。</w:t>
            </w:r>
          </w:p>
          <w:p>
            <w:pPr>
              <w:spacing w:line="360" w:lineRule="exact"/>
              <w:rPr>
                <w:color w:val="auto"/>
                <w:highlight w:val="none"/>
                <w:lang w:val="zh-CN" w:eastAsia="zh-CN"/>
              </w:rPr>
            </w:pPr>
            <w:r>
              <w:rPr>
                <w:color w:val="auto"/>
                <w:highlight w:val="none"/>
                <w:lang w:val="zh-CN" w:eastAsia="zh-CN"/>
              </w:rPr>
              <w:t>6）铜管应是洁净、干燥的，确保内部无尘和水分。使用前，铜管应进行清洗。直管应使用洁净抹布蘸三氯乙烯溶液反复拉洗，直至管内无灰尘杂质；盘管应使用氮气或干燥空气吹去管内的灰尘和异物。铜管清洁干燥后，管口用管帽或胶带封堵严密。</w:t>
            </w:r>
          </w:p>
          <w:p>
            <w:pPr>
              <w:spacing w:line="360" w:lineRule="exact"/>
              <w:rPr>
                <w:color w:val="auto"/>
                <w:highlight w:val="none"/>
                <w:lang w:eastAsia="zh-CN"/>
              </w:rPr>
            </w:pPr>
            <w:r>
              <w:rPr>
                <w:color w:val="auto"/>
                <w:highlight w:val="none"/>
                <w:lang w:val="zh-CN" w:eastAsia="zh-CN"/>
              </w:rPr>
              <w:t>17.保温材料：</w:t>
            </w:r>
            <w:r>
              <w:rPr>
                <w:rFonts w:hint="eastAsia"/>
                <w:color w:val="auto"/>
                <w:highlight w:val="none"/>
                <w:lang w:eastAsia="zh-CN"/>
              </w:rPr>
              <w:t>按图纸</w:t>
            </w:r>
          </w:p>
          <w:p>
            <w:pPr>
              <w:spacing w:line="360" w:lineRule="exact"/>
              <w:rPr>
                <w:color w:val="auto"/>
                <w:highlight w:val="none"/>
                <w:lang w:val="zh-CN" w:eastAsia="zh-CN"/>
              </w:rPr>
            </w:pPr>
            <w:r>
              <w:rPr>
                <w:color w:val="auto"/>
                <w:highlight w:val="none"/>
                <w:lang w:val="zh-CN" w:eastAsia="zh-CN"/>
              </w:rPr>
              <w:t>1）其制造商至少具有五年或以上的生产制造经验。</w:t>
            </w:r>
          </w:p>
          <w:p>
            <w:pPr>
              <w:spacing w:line="360" w:lineRule="exact"/>
              <w:rPr>
                <w:color w:val="auto"/>
                <w:highlight w:val="none"/>
                <w:lang w:val="zh-CN" w:eastAsia="zh-CN"/>
              </w:rPr>
            </w:pPr>
            <w:r>
              <w:rPr>
                <w:color w:val="auto"/>
                <w:highlight w:val="none"/>
                <w:lang w:val="zh-CN" w:eastAsia="zh-CN"/>
              </w:rPr>
              <w:t>2）所有保温材料应符合国家产品标准和遵从湛江市消防局的规定。</w:t>
            </w:r>
          </w:p>
          <w:p>
            <w:pPr>
              <w:spacing w:line="360" w:lineRule="exact"/>
              <w:rPr>
                <w:color w:val="auto"/>
                <w:highlight w:val="none"/>
                <w:lang w:val="zh-CN" w:eastAsia="zh-CN"/>
              </w:rPr>
            </w:pPr>
            <w:r>
              <w:rPr>
                <w:color w:val="auto"/>
                <w:highlight w:val="none"/>
                <w:lang w:val="zh-CN" w:eastAsia="zh-CN"/>
              </w:rPr>
              <w:t>3）保温材料应具有高倍率、闭孔型独立微气泡结构；柔性好、不吸水、高弹性、耐老化、耐低温、防水，化学性能稳定，粘接、热合、分切等加工性能尤为优良，要提交完整的保温材料产品技术说明书资料、产品质量合格证书。</w:t>
            </w:r>
          </w:p>
          <w:p>
            <w:pPr>
              <w:spacing w:line="360" w:lineRule="exact"/>
              <w:rPr>
                <w:color w:val="auto"/>
                <w:highlight w:val="none"/>
                <w:lang w:val="zh-CN" w:eastAsia="zh-CN"/>
              </w:rPr>
            </w:pPr>
            <w:r>
              <w:rPr>
                <w:color w:val="auto"/>
                <w:highlight w:val="none"/>
                <w:lang w:val="zh-CN" w:eastAsia="zh-CN"/>
              </w:rPr>
              <w:t>4）保温材料适用温度－40～105℃；密度80~120Kg／m3；；导热系数：&lt; 0.039W／m.℃；湿阻因子：≥4500。</w:t>
            </w:r>
          </w:p>
          <w:p>
            <w:pPr>
              <w:spacing w:line="360" w:lineRule="exact"/>
              <w:rPr>
                <w:color w:val="auto"/>
                <w:highlight w:val="none"/>
                <w:lang w:val="zh-CN" w:eastAsia="zh-CN"/>
              </w:rPr>
            </w:pPr>
            <w:r>
              <w:rPr>
                <w:color w:val="auto"/>
                <w:highlight w:val="none"/>
                <w:lang w:val="zh-CN" w:eastAsia="zh-CN"/>
              </w:rPr>
              <w:t>5）保温施工应符合GB50243-2002施工验收规范。</w:t>
            </w:r>
          </w:p>
          <w:p>
            <w:pPr>
              <w:spacing w:line="360" w:lineRule="exact"/>
              <w:rPr>
                <w:color w:val="auto"/>
                <w:highlight w:val="none"/>
                <w:lang w:val="zh-CN" w:eastAsia="zh-CN"/>
              </w:rPr>
            </w:pPr>
            <w:r>
              <w:rPr>
                <w:color w:val="auto"/>
                <w:highlight w:val="none"/>
                <w:lang w:val="zh-CN" w:eastAsia="zh-CN"/>
              </w:rPr>
              <w:t>18.控制要求：</w:t>
            </w:r>
          </w:p>
          <w:p>
            <w:pPr>
              <w:spacing w:line="360" w:lineRule="exact"/>
              <w:rPr>
                <w:color w:val="auto"/>
                <w:highlight w:val="none"/>
                <w:lang w:val="zh-CN" w:eastAsia="zh-CN"/>
              </w:rPr>
            </w:pPr>
            <w:r>
              <w:rPr>
                <w:color w:val="auto"/>
                <w:highlight w:val="none"/>
                <w:lang w:val="zh-CN" w:eastAsia="zh-CN"/>
              </w:rPr>
              <w:t xml:space="preserve">1、机组室内机与室外机间的控制线以及与控制器的传输线的布置应满足集中控制的功能。机组控制系统应具有设备接线和管道连接错误的自动检测功能和故障自诊断功能，以方便维修。 </w:t>
            </w:r>
          </w:p>
          <w:p>
            <w:pPr>
              <w:spacing w:line="360" w:lineRule="exact"/>
              <w:rPr>
                <w:color w:val="auto"/>
                <w:highlight w:val="none"/>
                <w:lang w:val="zh-CN" w:eastAsia="zh-CN"/>
              </w:rPr>
            </w:pPr>
            <w:r>
              <w:rPr>
                <w:color w:val="auto"/>
                <w:highlight w:val="none"/>
                <w:lang w:val="zh-CN" w:eastAsia="zh-CN"/>
              </w:rPr>
              <w:t>2、直流变频（速）多联空调系统内控制线须采用屏蔽线。</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728" w:type="dxa"/>
            <w:vAlign w:val="center"/>
          </w:tcPr>
          <w:p>
            <w:pPr>
              <w:rPr>
                <w:color w:val="auto"/>
                <w:highlight w:val="none"/>
              </w:rPr>
            </w:pPr>
            <w:r>
              <w:rPr>
                <w:color w:val="auto"/>
                <w:highlight w:val="none"/>
              </w:rPr>
              <w:t>15</w:t>
            </w:r>
          </w:p>
        </w:tc>
        <w:tc>
          <w:tcPr>
            <w:tcW w:w="1260" w:type="dxa"/>
            <w:vAlign w:val="center"/>
          </w:tcPr>
          <w:p>
            <w:pPr>
              <w:rPr>
                <w:color w:val="auto"/>
                <w:highlight w:val="none"/>
                <w:lang w:eastAsia="zh-CN"/>
              </w:rPr>
            </w:pPr>
            <w:r>
              <w:rPr>
                <w:rFonts w:hint="eastAsia"/>
                <w:color w:val="auto"/>
                <w:highlight w:val="none"/>
                <w:lang w:eastAsia="zh-CN"/>
              </w:rPr>
              <w:t>风机</w:t>
            </w:r>
          </w:p>
          <w:p>
            <w:pPr>
              <w:rPr>
                <w:color w:val="auto"/>
                <w:highlight w:val="none"/>
                <w:lang w:eastAsia="zh-CN"/>
              </w:rPr>
            </w:pPr>
            <w:r>
              <w:rPr>
                <w:rFonts w:hint="eastAsia"/>
                <w:color w:val="auto"/>
                <w:highlight w:val="none"/>
                <w:lang w:eastAsia="zh-CN"/>
              </w:rPr>
              <w:t>（高效低噪混流风机、柜式离心排风机、轴流风机）</w:t>
            </w:r>
          </w:p>
        </w:tc>
        <w:tc>
          <w:tcPr>
            <w:tcW w:w="7736" w:type="dxa"/>
            <w:vAlign w:val="center"/>
          </w:tcPr>
          <w:p>
            <w:pPr>
              <w:rPr>
                <w:color w:val="auto"/>
                <w:highlight w:val="none"/>
                <w:lang w:eastAsia="zh-CN"/>
              </w:rPr>
            </w:pPr>
            <w:r>
              <w:rPr>
                <w:rFonts w:hint="eastAsia"/>
                <w:color w:val="auto"/>
                <w:highlight w:val="none"/>
                <w:lang w:eastAsia="zh-CN"/>
              </w:rPr>
              <w:t>技术要求：</w:t>
            </w:r>
          </w:p>
          <w:p>
            <w:pPr>
              <w:rPr>
                <w:color w:val="auto"/>
                <w:highlight w:val="none"/>
                <w:lang w:eastAsia="zh-CN"/>
              </w:rPr>
            </w:pPr>
            <w:r>
              <w:rPr>
                <w:color w:val="auto"/>
                <w:highlight w:val="none"/>
                <w:lang w:eastAsia="zh-CN"/>
              </w:rPr>
              <w:t>1</w:t>
            </w:r>
            <w:r>
              <w:rPr>
                <w:rFonts w:hint="eastAsia"/>
                <w:color w:val="auto"/>
                <w:highlight w:val="none"/>
                <w:lang w:eastAsia="zh-CN"/>
              </w:rPr>
              <w:t>、风机应具有</w:t>
            </w:r>
            <w:r>
              <w:rPr>
                <w:color w:val="auto"/>
                <w:highlight w:val="none"/>
                <w:lang w:eastAsia="zh-CN"/>
              </w:rPr>
              <w:t xml:space="preserve">AMCA </w:t>
            </w:r>
            <w:r>
              <w:rPr>
                <w:rFonts w:hint="eastAsia"/>
                <w:color w:val="auto"/>
                <w:highlight w:val="none"/>
                <w:lang w:eastAsia="zh-CN"/>
              </w:rPr>
              <w:t>认证或采用与其标准接近的其它先进工业国家的标准生产；</w:t>
            </w:r>
          </w:p>
          <w:p>
            <w:pPr>
              <w:rPr>
                <w:color w:val="auto"/>
                <w:highlight w:val="none"/>
                <w:lang w:eastAsia="zh-CN"/>
              </w:rPr>
            </w:pPr>
            <w:r>
              <w:rPr>
                <w:color w:val="auto"/>
                <w:highlight w:val="none"/>
                <w:lang w:eastAsia="zh-CN"/>
              </w:rPr>
              <w:t>2</w:t>
            </w:r>
            <w:r>
              <w:rPr>
                <w:rFonts w:hint="eastAsia"/>
                <w:color w:val="auto"/>
                <w:highlight w:val="none"/>
                <w:lang w:eastAsia="zh-CN"/>
              </w:rPr>
              <w:t>、符合设计及有关规范、标准要求；</w:t>
            </w:r>
          </w:p>
          <w:p>
            <w:pPr>
              <w:rPr>
                <w:color w:val="auto"/>
                <w:highlight w:val="none"/>
                <w:lang w:eastAsia="zh-CN"/>
              </w:rPr>
            </w:pPr>
            <w:r>
              <w:rPr>
                <w:color w:val="auto"/>
                <w:highlight w:val="none"/>
                <w:lang w:eastAsia="zh-CN"/>
              </w:rPr>
              <w:t>2.1</w:t>
            </w:r>
            <w:r>
              <w:rPr>
                <w:rFonts w:hint="eastAsia"/>
                <w:color w:val="auto"/>
                <w:highlight w:val="none"/>
                <w:lang w:eastAsia="zh-CN"/>
              </w:rPr>
              <w:t>每台风机须附有详细标明厂家的名称、设备的型号和编号及有关的技术数据等资料的标志铭牌；</w:t>
            </w:r>
          </w:p>
          <w:p>
            <w:pPr>
              <w:rPr>
                <w:color w:val="auto"/>
                <w:highlight w:val="none"/>
                <w:lang w:eastAsia="zh-CN"/>
              </w:rPr>
            </w:pPr>
            <w:r>
              <w:rPr>
                <w:color w:val="auto"/>
                <w:highlight w:val="none"/>
                <w:lang w:eastAsia="zh-CN"/>
              </w:rPr>
              <w:t>2.2</w:t>
            </w:r>
            <w:r>
              <w:rPr>
                <w:rFonts w:hint="eastAsia"/>
                <w:color w:val="auto"/>
                <w:highlight w:val="none"/>
                <w:lang w:eastAsia="zh-CN"/>
              </w:rPr>
              <w:t>提供风机示意图和</w:t>
            </w:r>
            <w:r>
              <w:rPr>
                <w:color w:val="auto"/>
                <w:highlight w:val="none"/>
                <w:lang w:eastAsia="zh-CN"/>
              </w:rPr>
              <w:t>/</w:t>
            </w:r>
            <w:r>
              <w:rPr>
                <w:rFonts w:hint="eastAsia"/>
                <w:color w:val="auto"/>
                <w:highlight w:val="none"/>
                <w:lang w:eastAsia="zh-CN"/>
              </w:rPr>
              <w:t>或参数表中应明确标示种类、型号、尺寸、安装方位及性能。</w:t>
            </w:r>
          </w:p>
          <w:p>
            <w:pPr>
              <w:rPr>
                <w:color w:val="auto"/>
                <w:highlight w:val="none"/>
                <w:lang w:eastAsia="zh-CN"/>
              </w:rPr>
            </w:pPr>
            <w:r>
              <w:rPr>
                <w:color w:val="auto"/>
                <w:highlight w:val="none"/>
                <w:lang w:eastAsia="zh-CN"/>
              </w:rPr>
              <w:t>2.3</w:t>
            </w:r>
            <w:r>
              <w:rPr>
                <w:rFonts w:hint="eastAsia"/>
                <w:color w:val="auto"/>
                <w:highlight w:val="none"/>
                <w:lang w:eastAsia="zh-CN"/>
              </w:rPr>
              <w:t>提供风机及其附件的完整样本及制造图、标明运行工况点的全风量性能曲线、噪音频谱特性。</w:t>
            </w:r>
          </w:p>
          <w:p>
            <w:pPr>
              <w:rPr>
                <w:color w:val="auto"/>
                <w:highlight w:val="none"/>
                <w:lang w:eastAsia="zh-CN"/>
              </w:rPr>
            </w:pPr>
            <w:r>
              <w:rPr>
                <w:color w:val="auto"/>
                <w:highlight w:val="none"/>
                <w:lang w:eastAsia="zh-CN"/>
              </w:rPr>
              <w:t>2.4</w:t>
            </w:r>
            <w:r>
              <w:rPr>
                <w:rFonts w:hint="eastAsia"/>
                <w:color w:val="auto"/>
                <w:highlight w:val="none"/>
                <w:lang w:eastAsia="zh-CN"/>
              </w:rPr>
              <w:t>平时用风机除非特殊说明，风机的测试特性参数数据应基于</w:t>
            </w:r>
            <w:r>
              <w:rPr>
                <w:color w:val="auto"/>
                <w:highlight w:val="none"/>
                <w:lang w:eastAsia="zh-CN"/>
              </w:rPr>
              <w:t>AMCA</w:t>
            </w:r>
            <w:r>
              <w:rPr>
                <w:rFonts w:hint="eastAsia"/>
                <w:color w:val="auto"/>
                <w:highlight w:val="none"/>
                <w:lang w:eastAsia="zh-CN"/>
              </w:rPr>
              <w:t>标准</w:t>
            </w:r>
            <w:r>
              <w:rPr>
                <w:color w:val="auto"/>
                <w:highlight w:val="none"/>
                <w:lang w:eastAsia="zh-CN"/>
              </w:rPr>
              <w:t>210-85</w:t>
            </w:r>
            <w:r>
              <w:rPr>
                <w:rFonts w:hint="eastAsia"/>
                <w:color w:val="auto"/>
                <w:highlight w:val="none"/>
                <w:lang w:eastAsia="zh-CN"/>
              </w:rPr>
              <w:t>、</w:t>
            </w:r>
            <w:r>
              <w:rPr>
                <w:color w:val="auto"/>
                <w:highlight w:val="none"/>
                <w:lang w:eastAsia="zh-CN"/>
              </w:rPr>
              <w:t xml:space="preserve">ANSI/ASHRAE </w:t>
            </w:r>
            <w:r>
              <w:rPr>
                <w:rFonts w:hint="eastAsia"/>
                <w:color w:val="auto"/>
                <w:highlight w:val="none"/>
                <w:lang w:eastAsia="zh-CN"/>
              </w:rPr>
              <w:t>标准</w:t>
            </w:r>
            <w:r>
              <w:rPr>
                <w:color w:val="auto"/>
                <w:highlight w:val="none"/>
                <w:lang w:eastAsia="zh-CN"/>
              </w:rPr>
              <w:t>51-1985</w:t>
            </w:r>
            <w:r>
              <w:rPr>
                <w:rFonts w:hint="eastAsia"/>
                <w:color w:val="auto"/>
                <w:highlight w:val="none"/>
                <w:lang w:eastAsia="zh-CN"/>
              </w:rPr>
              <w:t>“风机性能的实验室测试方法”；噪声特性应有按</w:t>
            </w:r>
            <w:r>
              <w:rPr>
                <w:color w:val="auto"/>
                <w:highlight w:val="none"/>
                <w:lang w:eastAsia="zh-CN"/>
              </w:rPr>
              <w:t>AMCA</w:t>
            </w:r>
            <w:r>
              <w:rPr>
                <w:rFonts w:hint="eastAsia"/>
                <w:color w:val="auto"/>
                <w:highlight w:val="none"/>
                <w:lang w:eastAsia="zh-CN"/>
              </w:rPr>
              <w:t>标准</w:t>
            </w:r>
            <w:r>
              <w:rPr>
                <w:color w:val="auto"/>
                <w:highlight w:val="none"/>
                <w:lang w:eastAsia="zh-CN"/>
              </w:rPr>
              <w:t>300-85</w:t>
            </w:r>
            <w:r>
              <w:rPr>
                <w:rFonts w:hint="eastAsia"/>
                <w:color w:val="auto"/>
                <w:highlight w:val="none"/>
                <w:lang w:eastAsia="zh-CN"/>
              </w:rPr>
              <w:t>“混响室内风机的噪声测试方法”测试的认证。</w:t>
            </w:r>
          </w:p>
          <w:p>
            <w:pPr>
              <w:rPr>
                <w:color w:val="auto"/>
                <w:highlight w:val="none"/>
                <w:lang w:eastAsia="zh-CN"/>
              </w:rPr>
            </w:pPr>
            <w:r>
              <w:rPr>
                <w:color w:val="auto"/>
                <w:highlight w:val="none"/>
                <w:lang w:eastAsia="zh-CN"/>
              </w:rPr>
              <w:t>2.5</w:t>
            </w:r>
            <w:r>
              <w:rPr>
                <w:rFonts w:hint="eastAsia"/>
                <w:color w:val="auto"/>
                <w:highlight w:val="none"/>
                <w:lang w:eastAsia="zh-CN"/>
              </w:rPr>
              <w:t>所有风机在装配后应做整机动平衡，其标准应基于</w:t>
            </w:r>
            <w:r>
              <w:rPr>
                <w:color w:val="auto"/>
                <w:highlight w:val="none"/>
                <w:lang w:eastAsia="zh-CN"/>
              </w:rPr>
              <w:t>ISO 1940</w:t>
            </w:r>
            <w:r>
              <w:rPr>
                <w:rFonts w:hint="eastAsia"/>
                <w:color w:val="auto"/>
                <w:highlight w:val="none"/>
                <w:lang w:eastAsia="zh-CN"/>
              </w:rPr>
              <w:t>及</w:t>
            </w:r>
            <w:r>
              <w:rPr>
                <w:color w:val="auto"/>
                <w:highlight w:val="none"/>
                <w:lang w:eastAsia="zh-CN"/>
              </w:rPr>
              <w:t>AMCA 204/3</w:t>
            </w:r>
            <w:r>
              <w:rPr>
                <w:rFonts w:hint="eastAsia"/>
                <w:color w:val="auto"/>
                <w:highlight w:val="none"/>
                <w:lang w:eastAsia="zh-CN"/>
              </w:rPr>
              <w:t>标准</w:t>
            </w:r>
            <w:r>
              <w:rPr>
                <w:color w:val="auto"/>
                <w:highlight w:val="none"/>
                <w:lang w:eastAsia="zh-CN"/>
              </w:rPr>
              <w:t xml:space="preserve">G 2.5 </w:t>
            </w:r>
            <w:r>
              <w:rPr>
                <w:rFonts w:hint="eastAsia"/>
                <w:color w:val="auto"/>
                <w:highlight w:val="none"/>
                <w:lang w:eastAsia="zh-CN"/>
              </w:rPr>
              <w:t>级，出厂前并在每架风机上附有由计算机打印出的振动频谱分析图表。可根据客户要求，提供</w:t>
            </w:r>
            <w:r>
              <w:rPr>
                <w:color w:val="auto"/>
                <w:highlight w:val="none"/>
                <w:lang w:eastAsia="zh-CN"/>
              </w:rPr>
              <w:t xml:space="preserve">G1.8 </w:t>
            </w:r>
            <w:r>
              <w:rPr>
                <w:rFonts w:hint="eastAsia"/>
                <w:color w:val="auto"/>
                <w:highlight w:val="none"/>
                <w:lang w:eastAsia="zh-CN"/>
              </w:rPr>
              <w:t>的振动标准测试和现场整机动平衡校正。</w:t>
            </w:r>
          </w:p>
          <w:p>
            <w:pPr>
              <w:rPr>
                <w:color w:val="auto"/>
                <w:highlight w:val="none"/>
                <w:lang w:eastAsia="zh-CN"/>
              </w:rPr>
            </w:pPr>
            <w:r>
              <w:rPr>
                <w:color w:val="auto"/>
                <w:highlight w:val="none"/>
                <w:lang w:eastAsia="zh-CN"/>
              </w:rPr>
              <w:t>2.6</w:t>
            </w:r>
            <w:r>
              <w:rPr>
                <w:rFonts w:hint="eastAsia"/>
                <w:color w:val="auto"/>
                <w:highlight w:val="none"/>
                <w:lang w:eastAsia="zh-CN"/>
              </w:rPr>
              <w:t>风机所配用的电机应为世界知名品牌，供电条件为：</w:t>
            </w:r>
            <w:r>
              <w:rPr>
                <w:color w:val="auto"/>
                <w:highlight w:val="none"/>
                <w:lang w:eastAsia="zh-CN"/>
              </w:rPr>
              <w:t>3</w:t>
            </w:r>
            <w:r>
              <w:rPr>
                <w:rFonts w:hint="eastAsia"/>
                <w:color w:val="auto"/>
                <w:highlight w:val="none"/>
              </w:rPr>
              <w:t>Φ</w:t>
            </w:r>
            <w:r>
              <w:rPr>
                <w:color w:val="auto"/>
                <w:highlight w:val="none"/>
                <w:lang w:eastAsia="zh-CN"/>
              </w:rPr>
              <w:t>/380V/50HZ</w:t>
            </w:r>
            <w:r>
              <w:rPr>
                <w:rFonts w:hint="eastAsia"/>
                <w:color w:val="auto"/>
                <w:highlight w:val="none"/>
                <w:lang w:eastAsia="zh-CN"/>
              </w:rPr>
              <w:t>或</w:t>
            </w:r>
            <w:r>
              <w:rPr>
                <w:color w:val="auto"/>
                <w:highlight w:val="none"/>
                <w:lang w:eastAsia="zh-CN"/>
              </w:rPr>
              <w:t>1</w:t>
            </w:r>
            <w:r>
              <w:rPr>
                <w:rFonts w:hint="eastAsia"/>
                <w:color w:val="auto"/>
                <w:highlight w:val="none"/>
              </w:rPr>
              <w:t>Φ</w:t>
            </w:r>
            <w:r>
              <w:rPr>
                <w:color w:val="auto"/>
                <w:highlight w:val="none"/>
                <w:lang w:eastAsia="zh-CN"/>
              </w:rPr>
              <w:t>/220V/50HZ</w:t>
            </w:r>
            <w:r>
              <w:rPr>
                <w:rFonts w:hint="eastAsia"/>
                <w:color w:val="auto"/>
                <w:highlight w:val="none"/>
                <w:lang w:eastAsia="zh-CN"/>
              </w:rPr>
              <w:t>，允许电压偏差</w:t>
            </w:r>
            <w:r>
              <w:rPr>
                <w:color w:val="auto"/>
                <w:highlight w:val="none"/>
                <w:lang w:eastAsia="zh-CN"/>
              </w:rPr>
              <w:t>:+6%</w:t>
            </w:r>
            <w:r>
              <w:rPr>
                <w:rFonts w:hint="eastAsia"/>
                <w:color w:val="auto"/>
                <w:highlight w:val="none"/>
                <w:lang w:eastAsia="zh-CN"/>
              </w:rPr>
              <w:t>，转速：≤</w:t>
            </w:r>
            <w:r>
              <w:rPr>
                <w:color w:val="auto"/>
                <w:highlight w:val="none"/>
                <w:lang w:eastAsia="zh-CN"/>
              </w:rPr>
              <w:t>1480rpm</w:t>
            </w:r>
            <w:r>
              <w:rPr>
                <w:rFonts w:hint="eastAsia"/>
                <w:color w:val="auto"/>
                <w:highlight w:val="none"/>
                <w:lang w:eastAsia="zh-CN"/>
              </w:rPr>
              <w:t>，绝缘等级：</w:t>
            </w:r>
            <w:r>
              <w:rPr>
                <w:color w:val="auto"/>
                <w:highlight w:val="none"/>
                <w:lang w:eastAsia="zh-CN"/>
              </w:rPr>
              <w:t>F</w:t>
            </w:r>
            <w:r>
              <w:rPr>
                <w:rFonts w:hint="eastAsia"/>
                <w:color w:val="auto"/>
                <w:highlight w:val="none"/>
                <w:lang w:eastAsia="zh-CN"/>
              </w:rPr>
              <w:t>级</w:t>
            </w:r>
            <w:r>
              <w:rPr>
                <w:color w:val="auto"/>
                <w:highlight w:val="none"/>
                <w:lang w:eastAsia="zh-CN"/>
              </w:rPr>
              <w:t xml:space="preserve">, </w:t>
            </w:r>
            <w:r>
              <w:rPr>
                <w:rFonts w:hint="eastAsia"/>
                <w:color w:val="auto"/>
                <w:highlight w:val="none"/>
                <w:lang w:eastAsia="zh-CN"/>
              </w:rPr>
              <w:t>防护等级：</w:t>
            </w:r>
            <w:r>
              <w:rPr>
                <w:color w:val="auto"/>
                <w:highlight w:val="none"/>
                <w:lang w:eastAsia="zh-CN"/>
              </w:rPr>
              <w:t>IP54/ IP55</w:t>
            </w:r>
            <w:r>
              <w:rPr>
                <w:rFonts w:hint="eastAsia"/>
                <w:color w:val="auto"/>
                <w:highlight w:val="none"/>
                <w:lang w:eastAsia="zh-CN"/>
              </w:rPr>
              <w:t>。</w:t>
            </w:r>
          </w:p>
          <w:p>
            <w:pPr>
              <w:rPr>
                <w:color w:val="auto"/>
                <w:highlight w:val="none"/>
                <w:lang w:eastAsia="zh-CN"/>
              </w:rPr>
            </w:pPr>
            <w:r>
              <w:rPr>
                <w:color w:val="auto"/>
                <w:highlight w:val="none"/>
                <w:lang w:eastAsia="zh-CN"/>
              </w:rPr>
              <w:t>2.7</w:t>
            </w:r>
            <w:r>
              <w:rPr>
                <w:rFonts w:hint="eastAsia"/>
                <w:color w:val="auto"/>
                <w:highlight w:val="none"/>
                <w:lang w:eastAsia="zh-CN"/>
              </w:rPr>
              <w:t>风机所配用的电机应在连续运行的所有方面，符合</w:t>
            </w:r>
            <w:r>
              <w:rPr>
                <w:color w:val="auto"/>
                <w:highlight w:val="none"/>
                <w:lang w:eastAsia="zh-CN"/>
              </w:rPr>
              <w:t>IEC 34</w:t>
            </w:r>
            <w:r>
              <w:rPr>
                <w:rFonts w:hint="eastAsia"/>
                <w:color w:val="auto"/>
                <w:highlight w:val="none"/>
                <w:lang w:eastAsia="zh-CN"/>
              </w:rPr>
              <w:t>或相当级别的标准要求，可在≦</w:t>
            </w:r>
            <w:r>
              <w:rPr>
                <w:color w:val="auto"/>
                <w:highlight w:val="none"/>
                <w:lang w:eastAsia="zh-CN"/>
              </w:rPr>
              <w:t>40</w:t>
            </w:r>
            <w:r>
              <w:rPr>
                <w:rFonts w:hint="eastAsia"/>
                <w:color w:val="auto"/>
                <w:highlight w:val="none"/>
                <w:lang w:eastAsia="zh-CN"/>
              </w:rPr>
              <w:t>℃，相对湿度≦</w:t>
            </w:r>
            <w:r>
              <w:rPr>
                <w:color w:val="auto"/>
                <w:highlight w:val="none"/>
                <w:lang w:eastAsia="zh-CN"/>
              </w:rPr>
              <w:t>90</w:t>
            </w:r>
            <w:r>
              <w:rPr>
                <w:rFonts w:hint="eastAsia"/>
                <w:color w:val="auto"/>
                <w:highlight w:val="none"/>
                <w:lang w:eastAsia="zh-CN"/>
              </w:rPr>
              <w:t>％的环境下连续操作；电机应是球式或柱式轴承，密封油脂或软润滑脂结构。风机及传动装置应具有良好的接地措施以避免静电累积。</w:t>
            </w:r>
          </w:p>
          <w:p>
            <w:pPr>
              <w:rPr>
                <w:color w:val="auto"/>
                <w:highlight w:val="none"/>
                <w:lang w:eastAsia="zh-CN"/>
              </w:rPr>
            </w:pPr>
            <w:r>
              <w:rPr>
                <w:color w:val="auto"/>
                <w:highlight w:val="none"/>
                <w:lang w:eastAsia="zh-CN"/>
              </w:rPr>
              <w:t>3</w:t>
            </w:r>
            <w:r>
              <w:rPr>
                <w:rFonts w:hint="eastAsia"/>
                <w:color w:val="auto"/>
                <w:highlight w:val="none"/>
                <w:lang w:eastAsia="zh-CN"/>
              </w:rPr>
              <w:t>、工艺要求：</w:t>
            </w:r>
          </w:p>
          <w:p>
            <w:pPr>
              <w:rPr>
                <w:color w:val="auto"/>
                <w:highlight w:val="none"/>
                <w:lang w:eastAsia="zh-CN"/>
              </w:rPr>
            </w:pPr>
            <w:r>
              <w:rPr>
                <w:color w:val="auto"/>
                <w:highlight w:val="none"/>
                <w:lang w:eastAsia="zh-CN"/>
              </w:rPr>
              <w:t>3.1</w:t>
            </w:r>
            <w:r>
              <w:rPr>
                <w:rFonts w:hint="eastAsia"/>
                <w:color w:val="auto"/>
                <w:highlight w:val="none"/>
                <w:lang w:eastAsia="zh-CN"/>
              </w:rPr>
              <w:t>轴流（混流）风机：</w:t>
            </w:r>
          </w:p>
          <w:p>
            <w:pPr>
              <w:rPr>
                <w:color w:val="auto"/>
                <w:highlight w:val="none"/>
                <w:lang w:eastAsia="zh-CN"/>
              </w:rPr>
            </w:pPr>
            <w:r>
              <w:rPr>
                <w:color w:val="auto"/>
                <w:highlight w:val="none"/>
                <w:lang w:eastAsia="zh-CN"/>
              </w:rPr>
              <w:t>3.1.1</w:t>
            </w:r>
            <w:r>
              <w:rPr>
                <w:rFonts w:hint="eastAsia"/>
                <w:color w:val="auto"/>
                <w:highlight w:val="none"/>
                <w:lang w:eastAsia="zh-CN"/>
              </w:rPr>
              <w:t>安装方式、外形尺寸和基本参数详设计图纸。</w:t>
            </w:r>
          </w:p>
          <w:p>
            <w:pPr>
              <w:rPr>
                <w:color w:val="auto"/>
                <w:highlight w:val="none"/>
                <w:lang w:eastAsia="zh-CN"/>
              </w:rPr>
            </w:pPr>
            <w:r>
              <w:rPr>
                <w:color w:val="auto"/>
                <w:highlight w:val="none"/>
                <w:lang w:eastAsia="zh-CN"/>
              </w:rPr>
              <w:t>3.1.2</w:t>
            </w:r>
            <w:r>
              <w:rPr>
                <w:rFonts w:hint="eastAsia"/>
                <w:color w:val="auto"/>
                <w:highlight w:val="none"/>
                <w:lang w:eastAsia="zh-CN"/>
              </w:rPr>
              <w:t>消防风机应有消防部门认证。</w:t>
            </w:r>
          </w:p>
          <w:p>
            <w:pPr>
              <w:rPr>
                <w:color w:val="auto"/>
                <w:highlight w:val="none"/>
                <w:lang w:eastAsia="zh-CN"/>
              </w:rPr>
            </w:pPr>
            <w:r>
              <w:rPr>
                <w:color w:val="auto"/>
                <w:highlight w:val="none"/>
                <w:lang w:eastAsia="zh-CN"/>
              </w:rPr>
              <w:t>3.1.3</w:t>
            </w:r>
            <w:r>
              <w:rPr>
                <w:rFonts w:hint="eastAsia"/>
                <w:color w:val="auto"/>
                <w:highlight w:val="none"/>
                <w:lang w:eastAsia="zh-CN"/>
              </w:rPr>
              <w:t>风机出口最大风速不超过</w:t>
            </w:r>
            <w:r>
              <w:rPr>
                <w:color w:val="auto"/>
                <w:highlight w:val="none"/>
                <w:lang w:eastAsia="zh-CN"/>
              </w:rPr>
              <w:t>15m/s</w:t>
            </w:r>
            <w:r>
              <w:rPr>
                <w:rFonts w:hint="eastAsia"/>
                <w:color w:val="auto"/>
                <w:highlight w:val="none"/>
                <w:lang w:eastAsia="zh-CN"/>
              </w:rPr>
              <w:t>。</w:t>
            </w:r>
          </w:p>
          <w:p>
            <w:pPr>
              <w:rPr>
                <w:color w:val="auto"/>
                <w:highlight w:val="none"/>
                <w:lang w:eastAsia="zh-CN"/>
              </w:rPr>
            </w:pPr>
            <w:r>
              <w:rPr>
                <w:color w:val="auto"/>
                <w:highlight w:val="none"/>
                <w:lang w:eastAsia="zh-CN"/>
              </w:rPr>
              <w:t>3.1.4</w:t>
            </w:r>
            <w:r>
              <w:rPr>
                <w:rFonts w:hint="eastAsia"/>
                <w:color w:val="auto"/>
                <w:highlight w:val="none"/>
                <w:lang w:eastAsia="zh-CN"/>
              </w:rPr>
              <w:t>机壳应有至少</w:t>
            </w:r>
            <w:r>
              <w:rPr>
                <w:color w:val="auto"/>
                <w:highlight w:val="none"/>
                <w:lang w:eastAsia="zh-CN"/>
              </w:rPr>
              <w:t>60</w:t>
            </w:r>
            <w:r>
              <w:rPr>
                <w:rFonts w:hint="eastAsia"/>
                <w:color w:val="auto"/>
                <w:highlight w:val="none"/>
                <w:lang w:eastAsia="zh-CN"/>
              </w:rPr>
              <w:t>微米厚的烤漆或热镀锌。应使叶片边缘与机壳间的缝隙最小且各处保持均匀。筒身应靠整体翻出</w:t>
            </w:r>
            <w:r>
              <w:rPr>
                <w:color w:val="auto"/>
                <w:highlight w:val="none"/>
                <w:lang w:eastAsia="zh-CN"/>
              </w:rPr>
              <w:t>90</w:t>
            </w:r>
            <w:r>
              <w:rPr>
                <w:rFonts w:hint="eastAsia"/>
                <w:color w:val="auto"/>
                <w:highlight w:val="none"/>
                <w:lang w:eastAsia="zh-CN"/>
              </w:rPr>
              <w:t>度的法兰边来保证其圆度。</w:t>
            </w:r>
          </w:p>
          <w:p>
            <w:pPr>
              <w:rPr>
                <w:color w:val="auto"/>
                <w:highlight w:val="none"/>
                <w:lang w:eastAsia="zh-CN"/>
              </w:rPr>
            </w:pPr>
            <w:r>
              <w:rPr>
                <w:color w:val="auto"/>
                <w:highlight w:val="none"/>
                <w:lang w:eastAsia="zh-CN"/>
              </w:rPr>
              <w:t>3.1.5</w:t>
            </w:r>
            <w:r>
              <w:rPr>
                <w:rFonts w:hint="eastAsia"/>
                <w:color w:val="auto"/>
                <w:highlight w:val="none"/>
                <w:lang w:eastAsia="zh-CN"/>
              </w:rPr>
              <w:t>风机电机的底座及支架应特别的锁紧及固定以保证安全可靠。可以调节控制电机轴在壳体的中心</w:t>
            </w:r>
            <w:r>
              <w:rPr>
                <w:color w:val="auto"/>
                <w:highlight w:val="none"/>
                <w:lang w:eastAsia="zh-CN"/>
              </w:rPr>
              <w:t>—</w:t>
            </w:r>
            <w:r>
              <w:rPr>
                <w:rFonts w:hint="eastAsia"/>
                <w:color w:val="auto"/>
                <w:highlight w:val="none"/>
                <w:lang w:eastAsia="zh-CN"/>
              </w:rPr>
              <w:t>即使叶片边缘与筒身保持均匀的间隙。为考虑使用的调整，应在不变机壳及风管结构的前提下，适当考虑电机的加大。</w:t>
            </w:r>
          </w:p>
          <w:p>
            <w:pPr>
              <w:rPr>
                <w:color w:val="auto"/>
                <w:highlight w:val="none"/>
                <w:lang w:eastAsia="zh-CN"/>
              </w:rPr>
            </w:pPr>
            <w:r>
              <w:rPr>
                <w:color w:val="auto"/>
                <w:highlight w:val="none"/>
                <w:lang w:eastAsia="zh-CN"/>
              </w:rPr>
              <w:t>3.1.6</w:t>
            </w:r>
            <w:r>
              <w:rPr>
                <w:rFonts w:hint="eastAsia"/>
                <w:color w:val="auto"/>
                <w:highlight w:val="none"/>
                <w:lang w:eastAsia="zh-CN"/>
              </w:rPr>
              <w:t>风机应在厂内全部组装好安装支架（吊装或座装）及进、出口配套法兰。</w:t>
            </w:r>
          </w:p>
          <w:p>
            <w:pPr>
              <w:rPr>
                <w:color w:val="auto"/>
                <w:highlight w:val="none"/>
                <w:lang w:eastAsia="zh-CN"/>
              </w:rPr>
            </w:pPr>
            <w:r>
              <w:rPr>
                <w:color w:val="auto"/>
                <w:highlight w:val="none"/>
                <w:lang w:eastAsia="zh-CN"/>
              </w:rPr>
              <w:t>3.1.7</w:t>
            </w:r>
            <w:r>
              <w:rPr>
                <w:rFonts w:hint="eastAsia"/>
                <w:color w:val="auto"/>
                <w:highlight w:val="none"/>
                <w:lang w:eastAsia="zh-CN"/>
              </w:rPr>
              <w:t>叶轮应采用铝合金等金属材料制作，叶片及轮毂采用精密模压工艺分别一次成型，叶轮应经动、静平衡试验进行校正。除防排烟轴流风机需要铝合金风机叶片，普通风机所有的叶片应是铸铝合金（</w:t>
            </w:r>
            <w:r>
              <w:rPr>
                <w:color w:val="auto"/>
                <w:highlight w:val="none"/>
                <w:lang w:eastAsia="zh-CN"/>
              </w:rPr>
              <w:t>GRADE LM12</w:t>
            </w:r>
            <w:r>
              <w:rPr>
                <w:rFonts w:hint="eastAsia"/>
                <w:color w:val="auto"/>
                <w:highlight w:val="none"/>
                <w:lang w:eastAsia="zh-CN"/>
              </w:rPr>
              <w:t>），叶片材料最好采用</w:t>
            </w:r>
            <w:r>
              <w:rPr>
                <w:color w:val="auto"/>
                <w:highlight w:val="none"/>
                <w:lang w:eastAsia="zh-CN"/>
              </w:rPr>
              <w:t>PP</w:t>
            </w:r>
            <w:r>
              <w:rPr>
                <w:rFonts w:hint="eastAsia"/>
                <w:color w:val="auto"/>
                <w:highlight w:val="none"/>
                <w:lang w:eastAsia="zh-CN"/>
              </w:rPr>
              <w:t>、</w:t>
            </w:r>
            <w:r>
              <w:rPr>
                <w:color w:val="auto"/>
                <w:highlight w:val="none"/>
                <w:lang w:eastAsia="zh-CN"/>
              </w:rPr>
              <w:t>PPG</w:t>
            </w:r>
            <w:r>
              <w:rPr>
                <w:rFonts w:hint="eastAsia"/>
                <w:color w:val="auto"/>
                <w:highlight w:val="none"/>
                <w:lang w:eastAsia="zh-CN"/>
              </w:rPr>
              <w:t>及</w:t>
            </w:r>
            <w:r>
              <w:rPr>
                <w:color w:val="auto"/>
                <w:highlight w:val="none"/>
                <w:lang w:eastAsia="zh-CN"/>
              </w:rPr>
              <w:t>PAG</w:t>
            </w:r>
            <w:r>
              <w:rPr>
                <w:rFonts w:hint="eastAsia"/>
                <w:color w:val="auto"/>
                <w:highlight w:val="none"/>
                <w:lang w:eastAsia="zh-CN"/>
              </w:rPr>
              <w:t>等材质以提供自平衡、防静电、防火花等特性。</w:t>
            </w:r>
          </w:p>
          <w:p>
            <w:pPr>
              <w:rPr>
                <w:color w:val="auto"/>
                <w:highlight w:val="none"/>
                <w:lang w:eastAsia="zh-CN"/>
              </w:rPr>
            </w:pPr>
            <w:r>
              <w:rPr>
                <w:color w:val="auto"/>
                <w:highlight w:val="none"/>
                <w:lang w:eastAsia="zh-CN"/>
              </w:rPr>
              <w:t>3.1.8</w:t>
            </w:r>
            <w:r>
              <w:rPr>
                <w:rFonts w:hint="eastAsia"/>
                <w:color w:val="auto"/>
                <w:highlight w:val="none"/>
                <w:lang w:eastAsia="zh-CN"/>
              </w:rPr>
              <w:t>叶片与筒身间的运转间隙，普通风机应不大于叶轮直径的</w:t>
            </w:r>
            <w:r>
              <w:rPr>
                <w:color w:val="auto"/>
                <w:highlight w:val="none"/>
                <w:lang w:eastAsia="zh-CN"/>
              </w:rPr>
              <w:t>1%</w:t>
            </w:r>
            <w:r>
              <w:rPr>
                <w:rFonts w:hint="eastAsia"/>
                <w:color w:val="auto"/>
                <w:highlight w:val="none"/>
                <w:lang w:eastAsia="zh-CN"/>
              </w:rPr>
              <w:t>；高温时由于机械膨胀系数与常温不同，其间隙应不大于</w:t>
            </w:r>
            <w:r>
              <w:rPr>
                <w:color w:val="auto"/>
                <w:highlight w:val="none"/>
                <w:lang w:eastAsia="zh-CN"/>
              </w:rPr>
              <w:t>2%</w:t>
            </w:r>
            <w:r>
              <w:rPr>
                <w:rFonts w:hint="eastAsia"/>
                <w:color w:val="auto"/>
                <w:highlight w:val="none"/>
                <w:lang w:eastAsia="zh-CN"/>
              </w:rPr>
              <w:t>。风机制造商应提供叶片与机壳均匀间隙装配的试验模型。</w:t>
            </w:r>
          </w:p>
          <w:p>
            <w:pPr>
              <w:rPr>
                <w:color w:val="auto"/>
                <w:highlight w:val="none"/>
                <w:lang w:eastAsia="zh-CN"/>
              </w:rPr>
            </w:pPr>
            <w:r>
              <w:rPr>
                <w:color w:val="auto"/>
                <w:highlight w:val="none"/>
                <w:lang w:eastAsia="zh-CN"/>
              </w:rPr>
              <w:t>3.1.9</w:t>
            </w:r>
            <w:r>
              <w:rPr>
                <w:rFonts w:hint="eastAsia"/>
                <w:color w:val="auto"/>
                <w:highlight w:val="none"/>
                <w:lang w:eastAsia="zh-CN"/>
              </w:rPr>
              <w:t>叶片应靠键与键槽牢固地固定在驱动轴上。轴向应靠通过锥套式连接结构将叶片缩紧在驱动轴相应的位置。</w:t>
            </w:r>
          </w:p>
          <w:p>
            <w:pPr>
              <w:rPr>
                <w:color w:val="auto"/>
                <w:highlight w:val="none"/>
                <w:lang w:eastAsia="zh-CN"/>
              </w:rPr>
            </w:pPr>
            <w:r>
              <w:rPr>
                <w:color w:val="auto"/>
                <w:highlight w:val="none"/>
                <w:lang w:eastAsia="zh-CN"/>
              </w:rPr>
              <w:t>3.1.10</w:t>
            </w:r>
            <w:r>
              <w:rPr>
                <w:rFonts w:hint="eastAsia"/>
                <w:color w:val="auto"/>
                <w:highlight w:val="none"/>
                <w:lang w:eastAsia="zh-CN"/>
              </w:rPr>
              <w:t>电机包括内部及延伸外部接线盒应至少提供</w:t>
            </w:r>
            <w:r>
              <w:rPr>
                <w:color w:val="auto"/>
                <w:highlight w:val="none"/>
                <w:lang w:eastAsia="zh-CN"/>
              </w:rPr>
              <w:t>IP 55</w:t>
            </w:r>
            <w:r>
              <w:rPr>
                <w:rFonts w:hint="eastAsia"/>
                <w:color w:val="auto"/>
                <w:highlight w:val="none"/>
                <w:lang w:eastAsia="zh-CN"/>
              </w:rPr>
              <w:t>的保护等级。</w:t>
            </w:r>
          </w:p>
          <w:p>
            <w:pPr>
              <w:rPr>
                <w:color w:val="auto"/>
                <w:highlight w:val="none"/>
                <w:lang w:eastAsia="zh-CN"/>
              </w:rPr>
            </w:pPr>
            <w:r>
              <w:rPr>
                <w:color w:val="auto"/>
                <w:highlight w:val="none"/>
                <w:lang w:eastAsia="zh-CN"/>
              </w:rPr>
              <w:t>3.2</w:t>
            </w:r>
            <w:r>
              <w:rPr>
                <w:rFonts w:hint="eastAsia"/>
                <w:color w:val="auto"/>
                <w:highlight w:val="none"/>
                <w:lang w:eastAsia="zh-CN"/>
              </w:rPr>
              <w:t>低噪音离心风机箱：</w:t>
            </w:r>
          </w:p>
          <w:p>
            <w:pPr>
              <w:rPr>
                <w:color w:val="auto"/>
                <w:highlight w:val="none"/>
                <w:lang w:eastAsia="zh-CN"/>
              </w:rPr>
            </w:pPr>
            <w:r>
              <w:rPr>
                <w:color w:val="auto"/>
                <w:highlight w:val="none"/>
                <w:lang w:eastAsia="zh-CN"/>
              </w:rPr>
              <w:t>3.2.1</w:t>
            </w:r>
            <w:r>
              <w:rPr>
                <w:rFonts w:hint="eastAsia"/>
                <w:color w:val="auto"/>
                <w:highlight w:val="none"/>
                <w:lang w:eastAsia="zh-CN"/>
              </w:rPr>
              <w:t>离心风机的综合效率应大于</w:t>
            </w:r>
            <w:r>
              <w:rPr>
                <w:color w:val="auto"/>
                <w:highlight w:val="none"/>
                <w:lang w:eastAsia="zh-CN"/>
              </w:rPr>
              <w:t>60%</w:t>
            </w:r>
            <w:r>
              <w:rPr>
                <w:rFonts w:hint="eastAsia"/>
                <w:color w:val="auto"/>
                <w:highlight w:val="none"/>
                <w:lang w:eastAsia="zh-CN"/>
              </w:rPr>
              <w:t>。</w:t>
            </w:r>
          </w:p>
          <w:p>
            <w:pPr>
              <w:rPr>
                <w:color w:val="auto"/>
                <w:highlight w:val="none"/>
                <w:lang w:eastAsia="zh-CN"/>
              </w:rPr>
            </w:pPr>
            <w:r>
              <w:rPr>
                <w:color w:val="auto"/>
                <w:highlight w:val="none"/>
                <w:lang w:eastAsia="zh-CN"/>
              </w:rPr>
              <w:t>3.2.2</w:t>
            </w:r>
            <w:r>
              <w:rPr>
                <w:rFonts w:hint="eastAsia"/>
                <w:color w:val="auto"/>
                <w:highlight w:val="none"/>
                <w:lang w:eastAsia="zh-CN"/>
              </w:rPr>
              <w:t>消防排烟离心风机应有消防部门认证。</w:t>
            </w:r>
          </w:p>
          <w:p>
            <w:pPr>
              <w:rPr>
                <w:color w:val="auto"/>
                <w:highlight w:val="none"/>
                <w:lang w:eastAsia="zh-CN"/>
              </w:rPr>
            </w:pPr>
            <w:r>
              <w:rPr>
                <w:color w:val="auto"/>
                <w:highlight w:val="none"/>
                <w:lang w:eastAsia="zh-CN"/>
              </w:rPr>
              <w:t>3.2.3</w:t>
            </w:r>
            <w:r>
              <w:rPr>
                <w:rFonts w:hint="eastAsia"/>
                <w:color w:val="auto"/>
                <w:highlight w:val="none"/>
                <w:lang w:eastAsia="zh-CN"/>
              </w:rPr>
              <w:t>离心风机安装方式、外形尺寸和基本参数按设计图纸要求。</w:t>
            </w:r>
          </w:p>
          <w:p>
            <w:pPr>
              <w:rPr>
                <w:color w:val="auto"/>
                <w:highlight w:val="none"/>
                <w:lang w:eastAsia="zh-CN"/>
              </w:rPr>
            </w:pPr>
            <w:r>
              <w:rPr>
                <w:color w:val="auto"/>
                <w:highlight w:val="none"/>
                <w:lang w:eastAsia="zh-CN"/>
              </w:rPr>
              <w:t>3.2.4</w:t>
            </w:r>
            <w:r>
              <w:rPr>
                <w:rFonts w:hint="eastAsia"/>
                <w:color w:val="auto"/>
                <w:highlight w:val="none"/>
                <w:lang w:eastAsia="zh-CN"/>
              </w:rPr>
              <w:t>箱式离心风机的静压</w:t>
            </w:r>
            <w:r>
              <w:rPr>
                <w:color w:val="auto"/>
                <w:highlight w:val="none"/>
                <w:lang w:eastAsia="zh-CN"/>
              </w:rPr>
              <w:t>/</w:t>
            </w:r>
            <w:r>
              <w:rPr>
                <w:rFonts w:hint="eastAsia"/>
                <w:color w:val="auto"/>
                <w:highlight w:val="none"/>
                <w:lang w:eastAsia="zh-CN"/>
              </w:rPr>
              <w:t>全压比不小于</w:t>
            </w:r>
            <w:r>
              <w:rPr>
                <w:color w:val="auto"/>
                <w:highlight w:val="none"/>
                <w:lang w:eastAsia="zh-CN"/>
              </w:rPr>
              <w:t>0.7</w:t>
            </w:r>
            <w:r>
              <w:rPr>
                <w:rFonts w:hint="eastAsia"/>
                <w:color w:val="auto"/>
                <w:highlight w:val="none"/>
                <w:lang w:eastAsia="zh-CN"/>
              </w:rPr>
              <w:t>，且出口最大风速不超过</w:t>
            </w:r>
            <w:r>
              <w:rPr>
                <w:color w:val="auto"/>
                <w:highlight w:val="none"/>
                <w:lang w:eastAsia="zh-CN"/>
              </w:rPr>
              <w:t>15m/s</w:t>
            </w:r>
            <w:r>
              <w:rPr>
                <w:rFonts w:hint="eastAsia"/>
                <w:color w:val="auto"/>
                <w:highlight w:val="none"/>
                <w:lang w:eastAsia="zh-CN"/>
              </w:rPr>
              <w:t>。</w:t>
            </w:r>
          </w:p>
          <w:p>
            <w:pPr>
              <w:rPr>
                <w:color w:val="auto"/>
                <w:highlight w:val="none"/>
                <w:lang w:eastAsia="zh-CN"/>
              </w:rPr>
            </w:pPr>
            <w:r>
              <w:rPr>
                <w:color w:val="auto"/>
                <w:highlight w:val="none"/>
                <w:lang w:eastAsia="zh-CN"/>
              </w:rPr>
              <w:t>3.2.5</w:t>
            </w:r>
            <w:r>
              <w:rPr>
                <w:rFonts w:hint="eastAsia"/>
                <w:color w:val="auto"/>
                <w:highlight w:val="none"/>
                <w:lang w:eastAsia="zh-CN"/>
              </w:rPr>
              <w:t>低噪音离心式风机箱：</w:t>
            </w:r>
          </w:p>
          <w:p>
            <w:pPr>
              <w:rPr>
                <w:color w:val="auto"/>
                <w:highlight w:val="none"/>
                <w:lang w:eastAsia="zh-CN"/>
              </w:rPr>
            </w:pPr>
            <w:r>
              <w:rPr>
                <w:rFonts w:hint="eastAsia"/>
                <w:color w:val="auto"/>
                <w:highlight w:val="none"/>
                <w:lang w:eastAsia="zh-CN"/>
              </w:rPr>
              <w:t>机箱骨架为高强度铝形材，并采取防腐蚀处理。外板应是不小于</w:t>
            </w:r>
            <w:r>
              <w:rPr>
                <w:color w:val="auto"/>
                <w:highlight w:val="none"/>
                <w:lang w:eastAsia="zh-CN"/>
              </w:rPr>
              <w:t>1.0mm</w:t>
            </w:r>
            <w:r>
              <w:rPr>
                <w:rFonts w:hint="eastAsia"/>
                <w:color w:val="auto"/>
                <w:highlight w:val="none"/>
                <w:lang w:eastAsia="zh-CN"/>
              </w:rPr>
              <w:t>镀锌或彩色钢板加</w:t>
            </w:r>
            <w:r>
              <w:rPr>
                <w:color w:val="auto"/>
                <w:highlight w:val="none"/>
                <w:lang w:eastAsia="zh-CN"/>
              </w:rPr>
              <w:t>25mm</w:t>
            </w:r>
            <w:r>
              <w:rPr>
                <w:rFonts w:hint="eastAsia"/>
                <w:color w:val="auto"/>
                <w:highlight w:val="none"/>
                <w:lang w:eastAsia="zh-CN"/>
              </w:rPr>
              <w:t>的发泡层为外壳，中间为</w:t>
            </w:r>
            <w:r>
              <w:rPr>
                <w:color w:val="auto"/>
                <w:highlight w:val="none"/>
                <w:lang w:eastAsia="zh-CN"/>
              </w:rPr>
              <w:t>30mm</w:t>
            </w:r>
            <w:r>
              <w:rPr>
                <w:rFonts w:hint="eastAsia"/>
                <w:color w:val="auto"/>
                <w:highlight w:val="none"/>
                <w:lang w:eastAsia="zh-CN"/>
              </w:rPr>
              <w:t>吸音专用玻璃棉吸音板，内板应是不小于</w:t>
            </w:r>
            <w:r>
              <w:rPr>
                <w:color w:val="auto"/>
                <w:highlight w:val="none"/>
                <w:lang w:eastAsia="zh-CN"/>
              </w:rPr>
              <w:t>0.5mm</w:t>
            </w:r>
            <w:r>
              <w:rPr>
                <w:rFonts w:hint="eastAsia"/>
                <w:color w:val="auto"/>
                <w:highlight w:val="none"/>
                <w:lang w:eastAsia="zh-CN"/>
              </w:rPr>
              <w:t>穿孔率不小于</w:t>
            </w:r>
            <w:r>
              <w:rPr>
                <w:color w:val="auto"/>
                <w:highlight w:val="none"/>
                <w:lang w:eastAsia="zh-CN"/>
              </w:rPr>
              <w:t>30%</w:t>
            </w:r>
            <w:r>
              <w:rPr>
                <w:rFonts w:hint="eastAsia"/>
                <w:color w:val="auto"/>
                <w:highlight w:val="none"/>
                <w:lang w:eastAsia="zh-CN"/>
              </w:rPr>
              <w:t>的穿孔镀锌钢板外壳（内板在只作通风用途时用镀锌穿孔板，用于排烟时采用镀锌板）。机箱应是板式结构组合而成。为维修或服务，其结构应可以较快及较容易地拆散及组装。不可以用焊接的机箱；仅用于通风时，电机安装在箱体内，用于排烟时，电机应置于箱体外。</w:t>
            </w:r>
          </w:p>
          <w:p>
            <w:pPr>
              <w:rPr>
                <w:color w:val="auto"/>
                <w:highlight w:val="none"/>
                <w:lang w:eastAsia="zh-CN"/>
              </w:rPr>
            </w:pPr>
            <w:r>
              <w:rPr>
                <w:color w:val="auto"/>
                <w:highlight w:val="none"/>
                <w:lang w:eastAsia="zh-CN"/>
              </w:rPr>
              <w:t>3.2.6</w:t>
            </w:r>
            <w:r>
              <w:rPr>
                <w:rFonts w:hint="eastAsia"/>
                <w:color w:val="auto"/>
                <w:highlight w:val="none"/>
                <w:lang w:eastAsia="zh-CN"/>
              </w:rPr>
              <w:t>风机及电机技术要求：</w:t>
            </w:r>
          </w:p>
          <w:p>
            <w:pPr>
              <w:rPr>
                <w:color w:val="auto"/>
                <w:highlight w:val="none"/>
                <w:lang w:eastAsia="zh-CN"/>
              </w:rPr>
            </w:pPr>
            <w:r>
              <w:rPr>
                <w:rFonts w:hint="eastAsia"/>
                <w:color w:val="auto"/>
                <w:highlight w:val="none"/>
                <w:lang w:eastAsia="zh-CN"/>
              </w:rPr>
              <w:t>①风机应是双进双宽（</w:t>
            </w:r>
            <w:r>
              <w:rPr>
                <w:color w:val="auto"/>
                <w:highlight w:val="none"/>
                <w:lang w:eastAsia="zh-CN"/>
              </w:rPr>
              <w:t>DIDW</w:t>
            </w:r>
            <w:r>
              <w:rPr>
                <w:rFonts w:hint="eastAsia"/>
                <w:color w:val="auto"/>
                <w:highlight w:val="none"/>
                <w:lang w:eastAsia="zh-CN"/>
              </w:rPr>
              <w:t>）、前弯或后倾叶片的离心风机。</w:t>
            </w:r>
          </w:p>
          <w:p>
            <w:pPr>
              <w:rPr>
                <w:color w:val="auto"/>
                <w:highlight w:val="none"/>
                <w:lang w:eastAsia="zh-CN"/>
              </w:rPr>
            </w:pPr>
            <w:r>
              <w:rPr>
                <w:rFonts w:hint="eastAsia"/>
                <w:color w:val="auto"/>
                <w:highlight w:val="none"/>
                <w:lang w:eastAsia="zh-CN"/>
              </w:rPr>
              <w:t>②风机蜗壳及边板应有不小于</w:t>
            </w:r>
            <w:r>
              <w:rPr>
                <w:color w:val="auto"/>
                <w:highlight w:val="none"/>
                <w:lang w:eastAsia="zh-CN"/>
              </w:rPr>
              <w:t>0.6</w:t>
            </w:r>
            <w:r>
              <w:rPr>
                <w:rFonts w:hint="eastAsia"/>
                <w:color w:val="auto"/>
                <w:highlight w:val="none"/>
                <w:lang w:eastAsia="zh-CN"/>
              </w:rPr>
              <w:t>微米厚度的烤漆层除非其材质为镀锌钢板、不锈钢板或铝质等。</w:t>
            </w:r>
          </w:p>
          <w:p>
            <w:pPr>
              <w:rPr>
                <w:color w:val="auto"/>
                <w:highlight w:val="none"/>
                <w:lang w:eastAsia="zh-CN"/>
              </w:rPr>
            </w:pPr>
            <w:r>
              <w:rPr>
                <w:rFonts w:hint="eastAsia"/>
                <w:color w:val="auto"/>
                <w:highlight w:val="none"/>
                <w:lang w:eastAsia="zh-CN"/>
              </w:rPr>
              <w:t>③风机壳体应有适当的厚度以避免产生振动及噪声。风机蜗壳应与边板连续咬口啮合或焊接。叶轮及进口导风环应为流线型设计及结构，制造商应标出最好的特性及效率。</w:t>
            </w:r>
          </w:p>
          <w:p>
            <w:pPr>
              <w:rPr>
                <w:color w:val="auto"/>
                <w:highlight w:val="none"/>
                <w:lang w:eastAsia="zh-CN"/>
              </w:rPr>
            </w:pPr>
            <w:r>
              <w:rPr>
                <w:rFonts w:hint="eastAsia"/>
                <w:color w:val="auto"/>
                <w:highlight w:val="none"/>
                <w:lang w:eastAsia="zh-CN"/>
              </w:rPr>
              <w:t>④风机应完全合格地安全运行在每一点，在或“最小特性”极限下，且能充分满足</w:t>
            </w:r>
            <w:r>
              <w:rPr>
                <w:color w:val="auto"/>
                <w:highlight w:val="none"/>
                <w:lang w:eastAsia="zh-CN"/>
              </w:rPr>
              <w:t>AMCA</w:t>
            </w:r>
            <w:r>
              <w:rPr>
                <w:rFonts w:hint="eastAsia"/>
                <w:color w:val="auto"/>
                <w:highlight w:val="none"/>
                <w:lang w:eastAsia="zh-CN"/>
              </w:rPr>
              <w:t>标准</w:t>
            </w:r>
            <w:r>
              <w:rPr>
                <w:color w:val="auto"/>
                <w:highlight w:val="none"/>
                <w:lang w:eastAsia="zh-CN"/>
              </w:rPr>
              <w:t>99-2408</w:t>
            </w:r>
            <w:r>
              <w:rPr>
                <w:rFonts w:hint="eastAsia"/>
                <w:color w:val="auto"/>
                <w:highlight w:val="none"/>
                <w:lang w:eastAsia="zh-CN"/>
              </w:rPr>
              <w:t>“离心风机特性级别的运行极限”的级别定义。</w:t>
            </w:r>
          </w:p>
          <w:p>
            <w:pPr>
              <w:rPr>
                <w:color w:val="auto"/>
                <w:highlight w:val="none"/>
                <w:lang w:eastAsia="zh-CN"/>
              </w:rPr>
            </w:pPr>
            <w:r>
              <w:rPr>
                <w:rFonts w:hint="eastAsia"/>
                <w:color w:val="auto"/>
                <w:highlight w:val="none"/>
                <w:lang w:eastAsia="zh-CN"/>
              </w:rPr>
              <w:t>⑤风机轴的尺寸应可以满足最大的转速运行极限，且安全运行范围为不超过临界转速的</w:t>
            </w:r>
            <w:r>
              <w:rPr>
                <w:color w:val="auto"/>
                <w:highlight w:val="none"/>
                <w:lang w:eastAsia="zh-CN"/>
              </w:rPr>
              <w:t>75%</w:t>
            </w:r>
            <w:r>
              <w:rPr>
                <w:rFonts w:hint="eastAsia"/>
                <w:color w:val="auto"/>
                <w:highlight w:val="none"/>
                <w:lang w:eastAsia="zh-CN"/>
              </w:rPr>
              <w:t>。任何在制造商提供的样本上未列出的非标准产品的应用，其临界转速及细节的计算应征得制造商的核准。</w:t>
            </w:r>
          </w:p>
          <w:p>
            <w:pPr>
              <w:rPr>
                <w:color w:val="auto"/>
                <w:highlight w:val="none"/>
                <w:lang w:eastAsia="zh-CN"/>
              </w:rPr>
            </w:pPr>
            <w:r>
              <w:rPr>
                <w:rFonts w:hint="eastAsia"/>
                <w:color w:val="auto"/>
                <w:highlight w:val="none"/>
                <w:lang w:eastAsia="zh-CN"/>
              </w:rPr>
              <w:t>⑥风机轴应由</w:t>
            </w:r>
            <w:r>
              <w:rPr>
                <w:color w:val="auto"/>
                <w:highlight w:val="none"/>
                <w:lang w:eastAsia="zh-CN"/>
              </w:rPr>
              <w:t>C45</w:t>
            </w:r>
            <w:r>
              <w:rPr>
                <w:rFonts w:hint="eastAsia"/>
                <w:color w:val="auto"/>
                <w:highlight w:val="none"/>
                <w:lang w:eastAsia="zh-CN"/>
              </w:rPr>
              <w:t>碳钢经调质处理制成，其机械加工精度应符合</w:t>
            </w:r>
            <w:r>
              <w:rPr>
                <w:color w:val="auto"/>
                <w:highlight w:val="none"/>
                <w:lang w:eastAsia="zh-CN"/>
              </w:rPr>
              <w:t xml:space="preserve">ISO 286-2 </w:t>
            </w:r>
            <w:r>
              <w:rPr>
                <w:rFonts w:hint="eastAsia"/>
                <w:color w:val="auto"/>
                <w:highlight w:val="none"/>
                <w:lang w:eastAsia="zh-CN"/>
              </w:rPr>
              <w:t>的</w:t>
            </w:r>
            <w:r>
              <w:rPr>
                <w:color w:val="auto"/>
                <w:highlight w:val="none"/>
                <w:lang w:eastAsia="zh-CN"/>
              </w:rPr>
              <w:t>g6</w:t>
            </w:r>
            <w:r>
              <w:rPr>
                <w:rFonts w:hint="eastAsia"/>
                <w:color w:val="auto"/>
                <w:highlight w:val="none"/>
                <w:lang w:eastAsia="zh-CN"/>
              </w:rPr>
              <w:t>级标准。在工厂内应在所有裸露表面涂有防锈保护漆层。</w:t>
            </w:r>
          </w:p>
          <w:p>
            <w:pPr>
              <w:rPr>
                <w:color w:val="auto"/>
                <w:highlight w:val="none"/>
                <w:lang w:eastAsia="zh-CN"/>
              </w:rPr>
            </w:pPr>
            <w:r>
              <w:rPr>
                <w:rFonts w:hint="eastAsia"/>
                <w:color w:val="auto"/>
                <w:highlight w:val="none"/>
                <w:lang w:eastAsia="zh-CN"/>
              </w:rPr>
              <w:t>⑦轴承应采用优质产品，并配有标准润滑油注入口；轴承应是自对心调整型锥套轴承。轴承应是自润滑密封免维护型球轴承。轴承寿命基于</w:t>
            </w:r>
            <w:r>
              <w:rPr>
                <w:color w:val="auto"/>
                <w:highlight w:val="none"/>
                <w:lang w:eastAsia="zh-CN"/>
              </w:rPr>
              <w:t>ISO 281</w:t>
            </w:r>
            <w:r>
              <w:rPr>
                <w:rFonts w:hint="eastAsia"/>
                <w:color w:val="auto"/>
                <w:highlight w:val="none"/>
                <w:lang w:eastAsia="zh-CN"/>
              </w:rPr>
              <w:t>的</w:t>
            </w:r>
            <w:r>
              <w:rPr>
                <w:color w:val="auto"/>
                <w:highlight w:val="none"/>
                <w:lang w:eastAsia="zh-CN"/>
              </w:rPr>
              <w:t>L10</w:t>
            </w:r>
            <w:r>
              <w:rPr>
                <w:rFonts w:hint="eastAsia"/>
                <w:color w:val="auto"/>
                <w:highlight w:val="none"/>
                <w:lang w:eastAsia="zh-CN"/>
              </w:rPr>
              <w:t>标准，其寿命应不小于</w:t>
            </w:r>
            <w:r>
              <w:rPr>
                <w:color w:val="auto"/>
                <w:highlight w:val="none"/>
                <w:lang w:eastAsia="zh-CN"/>
              </w:rPr>
              <w:t>75,000</w:t>
            </w:r>
            <w:r>
              <w:rPr>
                <w:rFonts w:hint="eastAsia"/>
                <w:color w:val="auto"/>
                <w:highlight w:val="none"/>
                <w:lang w:eastAsia="zh-CN"/>
              </w:rPr>
              <w:t>小时。应提交轴承寿命计算书。</w:t>
            </w:r>
          </w:p>
          <w:p>
            <w:pPr>
              <w:rPr>
                <w:color w:val="auto"/>
                <w:highlight w:val="none"/>
                <w:lang w:eastAsia="zh-CN"/>
              </w:rPr>
            </w:pPr>
            <w:r>
              <w:rPr>
                <w:rFonts w:hint="eastAsia"/>
                <w:color w:val="auto"/>
                <w:highlight w:val="none"/>
                <w:lang w:eastAsia="zh-CN"/>
              </w:rPr>
              <w:t>⑧电机安装功率应不小于吸收功率（轴功率）的</w:t>
            </w:r>
            <w:r>
              <w:rPr>
                <w:color w:val="auto"/>
                <w:highlight w:val="none"/>
                <w:lang w:eastAsia="zh-CN"/>
              </w:rPr>
              <w:t>130%</w:t>
            </w:r>
            <w:r>
              <w:rPr>
                <w:rFonts w:hint="eastAsia"/>
                <w:color w:val="auto"/>
                <w:highlight w:val="none"/>
                <w:lang w:eastAsia="zh-CN"/>
              </w:rPr>
              <w:t>，且应有足够的启动力矩使风机可以顺利地启动及连续运行。电机与风机的传动转速比≤</w:t>
            </w:r>
            <w:r>
              <w:rPr>
                <w:color w:val="auto"/>
                <w:highlight w:val="none"/>
                <w:lang w:eastAsia="zh-CN"/>
              </w:rPr>
              <w:t>1.75</w:t>
            </w:r>
            <w:r>
              <w:rPr>
                <w:rFonts w:hint="eastAsia"/>
                <w:color w:val="auto"/>
                <w:highlight w:val="none"/>
                <w:lang w:eastAsia="zh-CN"/>
              </w:rPr>
              <w:t>。</w:t>
            </w:r>
          </w:p>
          <w:p>
            <w:pPr>
              <w:rPr>
                <w:color w:val="auto"/>
                <w:highlight w:val="none"/>
                <w:lang w:eastAsia="zh-CN"/>
              </w:rPr>
            </w:pPr>
            <w:r>
              <w:rPr>
                <w:rFonts w:hint="eastAsia"/>
                <w:color w:val="auto"/>
                <w:highlight w:val="none"/>
                <w:lang w:eastAsia="zh-CN"/>
              </w:rPr>
              <w:t>⑨皮带及带轮应至少能承载电机功率的</w:t>
            </w:r>
            <w:r>
              <w:rPr>
                <w:color w:val="auto"/>
                <w:highlight w:val="none"/>
                <w:lang w:eastAsia="zh-CN"/>
              </w:rPr>
              <w:t>150%</w:t>
            </w:r>
            <w:r>
              <w:rPr>
                <w:rFonts w:hint="eastAsia"/>
                <w:color w:val="auto"/>
                <w:highlight w:val="none"/>
                <w:lang w:eastAsia="zh-CN"/>
              </w:rPr>
              <w:t>。</w:t>
            </w:r>
          </w:p>
          <w:p>
            <w:pPr>
              <w:rPr>
                <w:color w:val="auto"/>
                <w:highlight w:val="none"/>
                <w:lang w:eastAsia="zh-CN"/>
              </w:rPr>
            </w:pPr>
            <w:r>
              <w:rPr>
                <w:rFonts w:hint="eastAsia"/>
                <w:color w:val="auto"/>
                <w:highlight w:val="none"/>
                <w:lang w:eastAsia="zh-CN"/>
              </w:rPr>
              <w:t>⑩离心风机和驱动电机安装在共同机架上，机架应有双向调节功能（电机壳前后左右调节）；该共同机架底部与箱体之间应设置减振机构。</w:t>
            </w:r>
          </w:p>
          <w:p>
            <w:pPr>
              <w:rPr>
                <w:color w:val="auto"/>
                <w:highlight w:val="none"/>
                <w:lang w:eastAsia="zh-CN"/>
              </w:rPr>
            </w:pPr>
            <w:r>
              <w:rPr>
                <w:color w:val="auto"/>
                <w:highlight w:val="none"/>
                <w:lang w:eastAsia="zh-CN"/>
              </w:rPr>
              <w:t>3.2.7</w:t>
            </w:r>
            <w:r>
              <w:rPr>
                <w:rFonts w:hint="eastAsia"/>
                <w:color w:val="auto"/>
                <w:highlight w:val="none"/>
                <w:lang w:eastAsia="zh-CN"/>
              </w:rPr>
              <w:t>减振机构：机组内减振采用阻尼弹簧或尼龙减振，各减振点经严格选型计算，保证减振效率</w:t>
            </w:r>
            <w:r>
              <w:rPr>
                <w:color w:val="auto"/>
                <w:highlight w:val="none"/>
                <w:lang w:eastAsia="zh-CN"/>
              </w:rPr>
              <w:t>95%</w:t>
            </w:r>
            <w:r>
              <w:rPr>
                <w:rFonts w:hint="eastAsia"/>
                <w:color w:val="auto"/>
                <w:highlight w:val="none"/>
                <w:lang w:eastAsia="zh-CN"/>
              </w:rPr>
              <w:t>以上。当采用弹簧减振器时，应设置防止高频失效措施。</w:t>
            </w:r>
          </w:p>
          <w:p>
            <w:pPr>
              <w:rPr>
                <w:color w:val="auto"/>
                <w:highlight w:val="none"/>
                <w:lang w:eastAsia="zh-CN"/>
              </w:rPr>
            </w:pPr>
            <w:r>
              <w:rPr>
                <w:color w:val="auto"/>
                <w:highlight w:val="none"/>
                <w:lang w:eastAsia="zh-CN"/>
              </w:rPr>
              <w:t>3.2.8</w:t>
            </w:r>
            <w:r>
              <w:rPr>
                <w:rFonts w:hint="eastAsia"/>
                <w:color w:val="auto"/>
                <w:highlight w:val="none"/>
                <w:lang w:eastAsia="zh-CN"/>
              </w:rPr>
              <w:t>风机出口软连接：采用工程专用涂胶玻璃纤维帆布，符合消防要求，且在潮湿环境下可保证较长寿命。</w:t>
            </w:r>
          </w:p>
          <w:p>
            <w:pPr>
              <w:rPr>
                <w:color w:val="auto"/>
                <w:highlight w:val="none"/>
                <w:lang w:eastAsia="zh-CN"/>
              </w:rPr>
            </w:pPr>
            <w:r>
              <w:rPr>
                <w:rFonts w:hint="eastAsia"/>
                <w:color w:val="auto"/>
                <w:highlight w:val="none"/>
                <w:lang w:eastAsia="zh-CN"/>
              </w:rPr>
              <w:t>4、风机变频，变频器按照工业级的标准设计，完善全面的变频器保护及自诊断功能.其体积小，节省空间。强大的通讯接口，可让它以任何的PLC/DCS集成。</w:t>
            </w:r>
          </w:p>
          <w:p>
            <w:pPr>
              <w:rPr>
                <w:color w:val="auto"/>
                <w:highlight w:val="none"/>
                <w:lang w:eastAsia="zh-CN"/>
              </w:rPr>
            </w:pPr>
            <w:r>
              <w:rPr>
                <w:rFonts w:hint="eastAsia"/>
                <w:color w:val="auto"/>
                <w:highlight w:val="none"/>
                <w:lang w:eastAsia="zh-CN"/>
              </w:rPr>
              <w:t>1） 全数字式脉冲宽度制仿正弦波系统，在任何负荷和转速都不须接驳任何外置矫正电容器而能够在基波上提供单一功率数。</w:t>
            </w:r>
          </w:p>
          <w:p>
            <w:pPr>
              <w:rPr>
                <w:color w:val="auto"/>
                <w:highlight w:val="none"/>
                <w:lang w:eastAsia="zh-CN"/>
              </w:rPr>
            </w:pPr>
            <w:r>
              <w:rPr>
                <w:rFonts w:hint="eastAsia"/>
                <w:color w:val="auto"/>
                <w:highlight w:val="none"/>
                <w:lang w:eastAsia="zh-CN"/>
              </w:rPr>
              <w:t>2） 额定输入电源为380～480V，频率范围48～63Hz，额定输出电压为0～460V，可变频率范围0-</w:t>
            </w:r>
            <w:r>
              <w:rPr>
                <w:color w:val="auto"/>
                <w:highlight w:val="none"/>
                <w:lang w:eastAsia="zh-CN"/>
              </w:rPr>
              <w:t>320</w:t>
            </w:r>
            <w:r>
              <w:rPr>
                <w:rFonts w:hint="eastAsia"/>
                <w:color w:val="auto"/>
                <w:highlight w:val="none"/>
                <w:lang w:eastAsia="zh-CN"/>
              </w:rPr>
              <w:t>Hz, 功率因数：0.98，额定电流和额定电压条件下效率为97.5%。功率等级为2.2至250kw。</w:t>
            </w:r>
          </w:p>
          <w:p>
            <w:pPr>
              <w:rPr>
                <w:color w:val="auto"/>
                <w:highlight w:val="none"/>
                <w:lang w:eastAsia="zh-CN"/>
              </w:rPr>
            </w:pPr>
            <w:r>
              <w:rPr>
                <w:rFonts w:hint="eastAsia"/>
                <w:color w:val="auto"/>
                <w:highlight w:val="none"/>
                <w:lang w:eastAsia="zh-CN"/>
              </w:rPr>
              <w:t>3） 能够把电动机转速随意控制在极速之0至100%以内之任何转速运行。</w:t>
            </w:r>
          </w:p>
          <w:p>
            <w:pPr>
              <w:rPr>
                <w:color w:val="auto"/>
                <w:highlight w:val="none"/>
                <w:lang w:eastAsia="zh-CN"/>
              </w:rPr>
            </w:pPr>
            <w:r>
              <w:rPr>
                <w:rFonts w:hint="eastAsia"/>
                <w:color w:val="auto"/>
                <w:highlight w:val="none"/>
                <w:lang w:eastAsia="zh-CN"/>
              </w:rPr>
              <w:t>4） 能维持110%过载电流达1分钟。</w:t>
            </w:r>
          </w:p>
          <w:p>
            <w:pPr>
              <w:rPr>
                <w:color w:val="auto"/>
                <w:highlight w:val="none"/>
                <w:lang w:eastAsia="zh-CN"/>
              </w:rPr>
            </w:pPr>
            <w:r>
              <w:rPr>
                <w:rFonts w:hint="eastAsia"/>
                <w:color w:val="auto"/>
                <w:highlight w:val="none"/>
                <w:lang w:eastAsia="zh-CN"/>
              </w:rPr>
              <w:t>5） 集成的LCD显示屏带简体中文显示。可以记录运行的总时间、变频器的功率因数、输出频率等,在需要时可显示于显示器上。</w:t>
            </w:r>
          </w:p>
          <w:p>
            <w:pPr>
              <w:rPr>
                <w:color w:val="auto"/>
                <w:highlight w:val="none"/>
                <w:lang w:eastAsia="zh-CN"/>
              </w:rPr>
            </w:pPr>
            <w:r>
              <w:rPr>
                <w:rFonts w:hint="eastAsia"/>
                <w:color w:val="auto"/>
                <w:highlight w:val="none"/>
                <w:lang w:eastAsia="zh-CN"/>
              </w:rPr>
              <w:t>6） 内置DC电抗器，可以抑制电网高次谐波干扰,提高功率因数。</w:t>
            </w:r>
          </w:p>
          <w:p>
            <w:pPr>
              <w:rPr>
                <w:color w:val="auto"/>
                <w:highlight w:val="none"/>
                <w:lang w:eastAsia="zh-CN"/>
              </w:rPr>
            </w:pPr>
            <w:r>
              <w:rPr>
                <w:rFonts w:hint="eastAsia"/>
                <w:color w:val="auto"/>
                <w:highlight w:val="none"/>
                <w:lang w:eastAsia="zh-CN"/>
              </w:rPr>
              <w:t>7</w:t>
            </w:r>
            <w:r>
              <w:rPr>
                <w:color w:val="auto"/>
                <w:highlight w:val="none"/>
                <w:lang w:eastAsia="zh-CN"/>
              </w:rPr>
              <w:t xml:space="preserve">) </w:t>
            </w:r>
            <w:r>
              <w:rPr>
                <w:rFonts w:hint="eastAsia"/>
                <w:color w:val="auto"/>
                <w:highlight w:val="none"/>
                <w:lang w:eastAsia="zh-CN"/>
              </w:rPr>
              <w:t xml:space="preserve"> 设有内置电子电动机过载保护；设有定限保护。如限流和限压输出等及跳闸保护包括过电流、过电压、失压停、过热及接地等。</w:t>
            </w:r>
          </w:p>
          <w:p>
            <w:pPr>
              <w:rPr>
                <w:color w:val="auto"/>
                <w:highlight w:val="none"/>
                <w:lang w:eastAsia="zh-CN"/>
              </w:rPr>
            </w:pPr>
            <w:r>
              <w:rPr>
                <w:rFonts w:hint="eastAsia"/>
                <w:color w:val="auto"/>
                <w:highlight w:val="none"/>
                <w:lang w:eastAsia="zh-CN"/>
              </w:rPr>
              <w:t>8)  能检测供电电源在暂停电及故障后自动起动，并能提供最后3次故障记录及其故障时间，包括故障时的电流及频率,直流侧电压等。</w:t>
            </w:r>
          </w:p>
          <w:p>
            <w:pPr>
              <w:rPr>
                <w:color w:val="auto"/>
                <w:highlight w:val="none"/>
                <w:lang w:eastAsia="zh-CN"/>
              </w:rPr>
            </w:pPr>
            <w:r>
              <w:rPr>
                <w:rFonts w:hint="eastAsia"/>
                <w:color w:val="auto"/>
                <w:highlight w:val="none"/>
                <w:lang w:eastAsia="zh-CN"/>
              </w:rPr>
              <w:t>9</w:t>
            </w:r>
            <w:r>
              <w:rPr>
                <w:color w:val="auto"/>
                <w:highlight w:val="none"/>
                <w:lang w:eastAsia="zh-CN"/>
              </w:rPr>
              <w:t xml:space="preserve">) </w:t>
            </w:r>
            <w:r>
              <w:rPr>
                <w:rFonts w:hint="eastAsia"/>
                <w:color w:val="auto"/>
                <w:highlight w:val="none"/>
                <w:lang w:eastAsia="zh-CN"/>
              </w:rPr>
              <w:t xml:space="preserve"> 动作在可调校的载波频率调频模式，使得变频器及电动机能达到最佳的效能。</w:t>
            </w:r>
          </w:p>
          <w:p>
            <w:pPr>
              <w:rPr>
                <w:color w:val="auto"/>
                <w:highlight w:val="none"/>
                <w:lang w:eastAsia="zh-CN"/>
              </w:rPr>
            </w:pPr>
            <w:r>
              <w:rPr>
                <w:rFonts w:hint="eastAsia"/>
                <w:color w:val="auto"/>
                <w:highlight w:val="none"/>
                <w:lang w:eastAsia="zh-CN"/>
              </w:rPr>
              <w:t>10) 主电源电压如下降或上升10%的时候，依然可以保持额定输出容量。</w:t>
            </w:r>
          </w:p>
          <w:p>
            <w:pPr>
              <w:rPr>
                <w:color w:val="auto"/>
                <w:highlight w:val="none"/>
                <w:lang w:eastAsia="zh-CN"/>
              </w:rPr>
            </w:pPr>
            <w:r>
              <w:rPr>
                <w:rFonts w:hint="eastAsia"/>
                <w:color w:val="auto"/>
                <w:highlight w:val="none"/>
                <w:lang w:eastAsia="zh-CN"/>
              </w:rPr>
              <w:t>11) 附设3个可变宽频的跨越频率，能够克服由机械系统或空气系统引起的共振。</w:t>
            </w:r>
          </w:p>
          <w:p>
            <w:pPr>
              <w:rPr>
                <w:color w:val="auto"/>
                <w:highlight w:val="none"/>
                <w:lang w:eastAsia="zh-CN"/>
              </w:rPr>
            </w:pPr>
            <w:r>
              <w:rPr>
                <w:rFonts w:hint="eastAsia"/>
                <w:color w:val="auto"/>
                <w:highlight w:val="none"/>
                <w:lang w:eastAsia="zh-CN"/>
              </w:rPr>
              <w:t>12) 提供两个可选择及能调节的加速/减速坡道。</w:t>
            </w:r>
          </w:p>
          <w:p>
            <w:pPr>
              <w:rPr>
                <w:color w:val="auto"/>
                <w:highlight w:val="none"/>
                <w:lang w:eastAsia="zh-CN"/>
              </w:rPr>
            </w:pPr>
            <w:r>
              <w:rPr>
                <w:rFonts w:hint="eastAsia"/>
                <w:color w:val="auto"/>
                <w:highlight w:val="none"/>
                <w:lang w:eastAsia="zh-CN"/>
              </w:rPr>
              <w:t>13) 内置PID控制器，不需加接任何调节器就能提供配套设备的压力或流量之循环控制。能接收由发送器发出的0－10V，4－20MA，有2个模拟输入和2个模拟量输出。</w:t>
            </w:r>
          </w:p>
          <w:p>
            <w:pPr>
              <w:rPr>
                <w:color w:val="auto"/>
                <w:highlight w:val="none"/>
                <w:lang w:eastAsia="zh-CN"/>
              </w:rPr>
            </w:pPr>
            <w:r>
              <w:rPr>
                <w:rFonts w:hint="eastAsia"/>
                <w:color w:val="auto"/>
                <w:highlight w:val="none"/>
                <w:lang w:eastAsia="zh-CN"/>
              </w:rPr>
              <w:t>14) 支持飞速起动，能立刻自动把仍在转动中的风机、水泵重新起动及运行至指定速度。</w:t>
            </w:r>
          </w:p>
          <w:p>
            <w:pPr>
              <w:rPr>
                <w:color w:val="auto"/>
                <w:highlight w:val="none"/>
                <w:lang w:eastAsia="zh-CN"/>
              </w:rPr>
            </w:pPr>
            <w:r>
              <w:rPr>
                <w:rFonts w:hint="eastAsia"/>
                <w:color w:val="auto"/>
                <w:highlight w:val="none"/>
                <w:lang w:eastAsia="zh-CN"/>
              </w:rPr>
              <w:t>15）设有现场操作及遥控操作二者选择，以配合管理系统应用。</w:t>
            </w:r>
          </w:p>
          <w:p>
            <w:pPr>
              <w:rPr>
                <w:color w:val="auto"/>
                <w:highlight w:val="none"/>
                <w:lang w:eastAsia="zh-CN"/>
              </w:rPr>
            </w:pPr>
            <w:r>
              <w:rPr>
                <w:rFonts w:hint="eastAsia"/>
                <w:color w:val="auto"/>
                <w:highlight w:val="none"/>
                <w:lang w:eastAsia="zh-CN"/>
              </w:rPr>
              <w:t>16</w:t>
            </w:r>
            <w:r>
              <w:rPr>
                <w:color w:val="auto"/>
                <w:highlight w:val="none"/>
                <w:lang w:eastAsia="zh-CN"/>
              </w:rPr>
              <w:t xml:space="preserve">) </w:t>
            </w:r>
            <w:r>
              <w:rPr>
                <w:rFonts w:hint="eastAsia"/>
                <w:color w:val="auto"/>
                <w:highlight w:val="none"/>
                <w:lang w:eastAsia="zh-CN"/>
              </w:rPr>
              <w:t>设有软件锁以防止未经批准之设定更改。</w:t>
            </w:r>
          </w:p>
          <w:p>
            <w:pPr>
              <w:rPr>
                <w:color w:val="auto"/>
                <w:highlight w:val="none"/>
                <w:lang w:eastAsia="zh-CN"/>
              </w:rPr>
            </w:pPr>
            <w:r>
              <w:rPr>
                <w:rFonts w:hint="eastAsia"/>
                <w:color w:val="auto"/>
                <w:highlight w:val="none"/>
                <w:lang w:eastAsia="zh-CN"/>
              </w:rPr>
              <w:t>17</w:t>
            </w:r>
            <w:r>
              <w:rPr>
                <w:color w:val="auto"/>
                <w:highlight w:val="none"/>
                <w:lang w:eastAsia="zh-CN"/>
              </w:rPr>
              <w:t xml:space="preserve">) </w:t>
            </w:r>
            <w:r>
              <w:rPr>
                <w:rFonts w:hint="eastAsia"/>
                <w:color w:val="auto"/>
                <w:highlight w:val="none"/>
                <w:lang w:eastAsia="zh-CN"/>
              </w:rPr>
              <w:t>具有继电器输出卡,最多可以控制三台线电源驱动的电机和一台变频器驱动的电机；若电机为一用一备,自身可以实现定时自动切换。</w:t>
            </w:r>
          </w:p>
          <w:p>
            <w:pPr>
              <w:rPr>
                <w:color w:val="auto"/>
                <w:highlight w:val="none"/>
                <w:lang w:eastAsia="zh-CN"/>
              </w:rPr>
            </w:pPr>
            <w:r>
              <w:rPr>
                <w:rFonts w:hint="eastAsia"/>
                <w:color w:val="auto"/>
                <w:highlight w:val="none"/>
                <w:lang w:eastAsia="zh-CN"/>
              </w:rPr>
              <w:t>18)变频器之间允许采用零间隙并排式安装(书架式设计), 在500C的工作环境下不需降容使用。</w:t>
            </w:r>
          </w:p>
          <w:p>
            <w:pPr>
              <w:rPr>
                <w:color w:val="auto"/>
                <w:highlight w:val="none"/>
                <w:lang w:eastAsia="zh-CN"/>
              </w:rPr>
            </w:pPr>
            <w:r>
              <w:rPr>
                <w:rFonts w:hint="eastAsia"/>
                <w:color w:val="auto"/>
                <w:highlight w:val="none"/>
                <w:lang w:eastAsia="zh-CN"/>
              </w:rPr>
              <w:t>19)控制模式：可以编程选择使用无速度传感器矢量控制模式或电压/频率控制模式。电压/频率控制模式可以设置为直线、风机/水泵曲线或完全自定义模式。</w:t>
            </w:r>
          </w:p>
          <w:p>
            <w:pPr>
              <w:rPr>
                <w:color w:val="auto"/>
                <w:highlight w:val="none"/>
                <w:lang w:eastAsia="zh-CN"/>
              </w:rPr>
            </w:pPr>
            <w:r>
              <w:rPr>
                <w:rFonts w:hint="eastAsia"/>
                <w:color w:val="auto"/>
                <w:highlight w:val="none"/>
                <w:lang w:eastAsia="zh-CN"/>
              </w:rPr>
              <w:t>20)变频器有多种可编程停止模式，包括：斜坡运行、惯性、直流制动、斜坡保持和S曲线运行</w:t>
            </w:r>
          </w:p>
          <w:p>
            <w:pPr>
              <w:rPr>
                <w:color w:val="auto"/>
                <w:highlight w:val="none"/>
                <w:lang w:eastAsia="zh-CN"/>
              </w:rPr>
            </w:pPr>
            <w:r>
              <w:rPr>
                <w:rFonts w:hint="eastAsia"/>
                <w:color w:val="auto"/>
                <w:highlight w:val="none"/>
                <w:lang w:eastAsia="zh-CN"/>
              </w:rPr>
              <w:t>21)PF400P变频器可以有总线控制、端子控制和操作面板控制三种方式，这几种方式可通过逻辑输入/或平稳切换，切换时不会影响系统的正常运行,自动到手动的切换没有速度波动。</w:t>
            </w:r>
          </w:p>
          <w:p>
            <w:pPr>
              <w:rPr>
                <w:color w:val="auto"/>
                <w:highlight w:val="none"/>
                <w:lang w:eastAsia="zh-CN"/>
              </w:rPr>
            </w:pPr>
            <w:r>
              <w:rPr>
                <w:rFonts w:hint="eastAsia"/>
                <w:color w:val="auto"/>
                <w:highlight w:val="none"/>
                <w:lang w:eastAsia="zh-CN"/>
              </w:rPr>
              <w:t>电机：</w:t>
            </w:r>
          </w:p>
          <w:p>
            <w:pPr>
              <w:rPr>
                <w:color w:val="auto"/>
                <w:highlight w:val="none"/>
                <w:lang w:eastAsia="zh-CN"/>
              </w:rPr>
            </w:pPr>
            <w:r>
              <w:rPr>
                <w:rFonts w:hint="eastAsia"/>
                <w:color w:val="auto"/>
                <w:highlight w:val="none"/>
                <w:lang w:eastAsia="zh-CN"/>
              </w:rPr>
              <w:t>1、电机能效为EFF1级高效电机,</w:t>
            </w:r>
            <w:r>
              <w:rPr>
                <w:color w:val="auto"/>
                <w:highlight w:val="none"/>
                <w:lang w:eastAsia="zh-CN"/>
              </w:rPr>
              <w:t>同时应符合我国有关电机技术及安全标准要求。</w:t>
            </w:r>
          </w:p>
          <w:p>
            <w:pPr>
              <w:rPr>
                <w:color w:val="auto"/>
                <w:highlight w:val="none"/>
                <w:lang w:eastAsia="zh-CN"/>
              </w:rPr>
            </w:pPr>
            <w:r>
              <w:rPr>
                <w:rFonts w:hint="eastAsia"/>
                <w:color w:val="auto"/>
                <w:highlight w:val="none"/>
                <w:lang w:eastAsia="zh-CN"/>
              </w:rPr>
              <w:t>2、</w:t>
            </w:r>
            <w:r>
              <w:rPr>
                <w:color w:val="auto"/>
                <w:highlight w:val="none"/>
                <w:lang w:eastAsia="zh-CN"/>
              </w:rPr>
              <w:t>电动机应为耐湿热型的风冷全封闭异步电动机，绝缘等级不低于F级，防护等级不低于IP54，电机</w:t>
            </w:r>
            <w:r>
              <w:rPr>
                <w:rFonts w:hint="eastAsia"/>
                <w:color w:val="auto"/>
                <w:highlight w:val="none"/>
                <w:lang w:eastAsia="zh-CN"/>
              </w:rPr>
              <w:t>配置PTC过热保护装置</w:t>
            </w:r>
            <w:r>
              <w:rPr>
                <w:color w:val="auto"/>
                <w:highlight w:val="none"/>
                <w:lang w:eastAsia="zh-CN"/>
              </w:rPr>
              <w:t>，电机应方便安装、调整。</w:t>
            </w:r>
          </w:p>
          <w:p>
            <w:pPr>
              <w:rPr>
                <w:color w:val="auto"/>
                <w:highlight w:val="none"/>
                <w:lang w:eastAsia="zh-CN"/>
              </w:rPr>
            </w:pPr>
            <w:r>
              <w:rPr>
                <w:rFonts w:hint="eastAsia"/>
                <w:color w:val="auto"/>
                <w:highlight w:val="none"/>
                <w:lang w:eastAsia="zh-CN"/>
              </w:rPr>
              <w:t xml:space="preserve">3、电机配套功率必须大于风机吸收功率20%； </w:t>
            </w:r>
            <w:r>
              <w:rPr>
                <w:color w:val="auto"/>
                <w:highlight w:val="none"/>
                <w:lang w:eastAsia="zh-CN"/>
              </w:rPr>
              <w:t>电机功率不得超过设计功率的110%。</w:t>
            </w:r>
          </w:p>
          <w:p>
            <w:pPr>
              <w:rPr>
                <w:color w:val="auto"/>
                <w:highlight w:val="none"/>
                <w:lang w:eastAsia="zh-CN"/>
              </w:rPr>
            </w:pPr>
            <w:r>
              <w:rPr>
                <w:rFonts w:hint="eastAsia"/>
                <w:color w:val="auto"/>
                <w:highlight w:val="none"/>
                <w:lang w:eastAsia="zh-CN"/>
              </w:rPr>
              <w:t>4、</w:t>
            </w:r>
            <w:r>
              <w:rPr>
                <w:color w:val="auto"/>
                <w:highlight w:val="none"/>
                <w:lang w:eastAsia="zh-CN"/>
              </w:rPr>
              <w:t>电动机应能在温度</w:t>
            </w:r>
            <w:r>
              <w:rPr>
                <w:rFonts w:hint="eastAsia"/>
                <w:color w:val="auto"/>
                <w:highlight w:val="none"/>
                <w:lang w:eastAsia="zh-CN"/>
              </w:rPr>
              <w:t>≤</w:t>
            </w:r>
            <w:r>
              <w:rPr>
                <w:color w:val="auto"/>
                <w:highlight w:val="none"/>
                <w:lang w:eastAsia="zh-CN"/>
              </w:rPr>
              <w:t>40</w:t>
            </w:r>
            <w:r>
              <w:rPr>
                <w:rFonts w:hint="eastAsia"/>
                <w:color w:val="auto"/>
                <w:highlight w:val="none"/>
                <w:lang w:eastAsia="zh-CN"/>
              </w:rPr>
              <w:t>℃</w:t>
            </w:r>
            <w:r>
              <w:rPr>
                <w:color w:val="auto"/>
                <w:highlight w:val="none"/>
                <w:lang w:eastAsia="zh-CN"/>
              </w:rPr>
              <w:t>，相对湿度</w:t>
            </w:r>
            <w:r>
              <w:rPr>
                <w:rFonts w:hint="eastAsia"/>
                <w:color w:val="auto"/>
                <w:highlight w:val="none"/>
                <w:lang w:eastAsia="zh-CN"/>
              </w:rPr>
              <w:t>≤</w:t>
            </w:r>
            <w:r>
              <w:rPr>
                <w:color w:val="auto"/>
                <w:highlight w:val="none"/>
                <w:lang w:eastAsia="zh-CN"/>
              </w:rPr>
              <w:t>90%的环境中存储和连续运行，电动机应按原产地所在国有关标准制造并提供应所采用的制造标准，同时应符合我国有关电机安全标准要求。</w:t>
            </w:r>
          </w:p>
          <w:p>
            <w:pPr>
              <w:rPr>
                <w:color w:val="auto"/>
                <w:highlight w:val="none"/>
                <w:lang w:eastAsia="zh-CN"/>
              </w:rPr>
            </w:pPr>
            <w:r>
              <w:rPr>
                <w:rFonts w:hint="eastAsia"/>
                <w:color w:val="auto"/>
                <w:highlight w:val="none"/>
                <w:lang w:eastAsia="zh-CN"/>
              </w:rPr>
              <w:t>5、</w:t>
            </w:r>
            <w:r>
              <w:rPr>
                <w:color w:val="auto"/>
                <w:highlight w:val="none"/>
                <w:lang w:eastAsia="zh-CN"/>
              </w:rPr>
              <w:t>电机应方便安装、调整，与风机组成的机架应有双向调节功能（电机可前后、左右调节）。</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728" w:type="dxa"/>
            <w:vAlign w:val="center"/>
          </w:tcPr>
          <w:p>
            <w:pPr>
              <w:rPr>
                <w:color w:val="auto"/>
                <w:highlight w:val="none"/>
              </w:rPr>
            </w:pPr>
            <w:r>
              <w:rPr>
                <w:color w:val="auto"/>
                <w:highlight w:val="none"/>
              </w:rPr>
              <w:t>16</w:t>
            </w:r>
          </w:p>
        </w:tc>
        <w:tc>
          <w:tcPr>
            <w:tcW w:w="1260" w:type="dxa"/>
            <w:vAlign w:val="center"/>
          </w:tcPr>
          <w:p>
            <w:pPr>
              <w:rPr>
                <w:color w:val="auto"/>
                <w:highlight w:val="none"/>
                <w:lang w:eastAsia="zh-CN"/>
              </w:rPr>
            </w:pPr>
            <w:r>
              <w:rPr>
                <w:rFonts w:hint="eastAsia"/>
                <w:color w:val="auto"/>
                <w:highlight w:val="none"/>
                <w:lang w:eastAsia="zh-CN"/>
              </w:rPr>
              <w:t>排风扇</w:t>
            </w:r>
          </w:p>
          <w:p>
            <w:pPr>
              <w:rPr>
                <w:color w:val="auto"/>
                <w:highlight w:val="none"/>
                <w:lang w:eastAsia="zh-CN"/>
              </w:rPr>
            </w:pPr>
            <w:r>
              <w:rPr>
                <w:rFonts w:hint="eastAsia"/>
                <w:color w:val="auto"/>
                <w:highlight w:val="none"/>
                <w:lang w:eastAsia="zh-CN"/>
              </w:rPr>
              <w:t>（隔墙式排气扇、橱窗换气扇、天花板管道换气扇、）</w:t>
            </w:r>
          </w:p>
        </w:tc>
        <w:tc>
          <w:tcPr>
            <w:tcW w:w="7736" w:type="dxa"/>
            <w:vAlign w:val="center"/>
          </w:tcPr>
          <w:p>
            <w:pPr>
              <w:rPr>
                <w:color w:val="auto"/>
                <w:highlight w:val="none"/>
                <w:lang w:eastAsia="zh-CN"/>
              </w:rPr>
            </w:pPr>
            <w:r>
              <w:rPr>
                <w:rFonts w:hint="eastAsia"/>
                <w:color w:val="auto"/>
                <w:highlight w:val="none"/>
                <w:lang w:eastAsia="zh-CN"/>
              </w:rPr>
              <w:t>技术要求</w:t>
            </w:r>
          </w:p>
          <w:p>
            <w:pPr>
              <w:rPr>
                <w:color w:val="auto"/>
                <w:highlight w:val="none"/>
                <w:lang w:eastAsia="zh-CN"/>
              </w:rPr>
            </w:pPr>
            <w:r>
              <w:rPr>
                <w:color w:val="auto"/>
                <w:highlight w:val="none"/>
                <w:lang w:eastAsia="zh-CN"/>
              </w:rPr>
              <w:t>1</w:t>
            </w:r>
            <w:r>
              <w:rPr>
                <w:rFonts w:hint="eastAsia"/>
                <w:color w:val="auto"/>
                <w:highlight w:val="none"/>
                <w:lang w:eastAsia="zh-CN"/>
              </w:rPr>
              <w:t>、符合国家或行业的生产技术标准；符合设计及有关规范要求；</w:t>
            </w:r>
          </w:p>
          <w:p>
            <w:pPr>
              <w:rPr>
                <w:color w:val="auto"/>
                <w:highlight w:val="none"/>
                <w:lang w:eastAsia="zh-CN"/>
              </w:rPr>
            </w:pPr>
            <w:r>
              <w:rPr>
                <w:color w:val="auto"/>
                <w:highlight w:val="none"/>
                <w:lang w:eastAsia="zh-CN"/>
              </w:rPr>
              <w:t>2</w:t>
            </w:r>
            <w:r>
              <w:rPr>
                <w:rFonts w:hint="eastAsia"/>
                <w:color w:val="auto"/>
                <w:highlight w:val="none"/>
                <w:lang w:eastAsia="zh-CN"/>
              </w:rPr>
              <w:t>、主要技术要求：</w:t>
            </w:r>
          </w:p>
          <w:p>
            <w:pPr>
              <w:rPr>
                <w:color w:val="auto"/>
                <w:highlight w:val="none"/>
                <w:lang w:eastAsia="zh-CN"/>
              </w:rPr>
            </w:pPr>
            <w:r>
              <w:rPr>
                <w:color w:val="auto"/>
                <w:highlight w:val="none"/>
                <w:lang w:eastAsia="zh-CN"/>
              </w:rPr>
              <w:t>2.1</w:t>
            </w:r>
            <w:r>
              <w:rPr>
                <w:rFonts w:hint="eastAsia"/>
                <w:color w:val="auto"/>
                <w:highlight w:val="none"/>
                <w:lang w:eastAsia="zh-CN"/>
              </w:rPr>
              <w:t>电机：电机转轴采用高精度镜面加工，能持久润滑，永不生锈，难以磨损。应采用合理的电机结构，散热快，能延缓产品材料老化，确保长久的使用寿命。</w:t>
            </w:r>
          </w:p>
          <w:p>
            <w:pPr>
              <w:rPr>
                <w:color w:val="auto"/>
                <w:highlight w:val="none"/>
                <w:lang w:eastAsia="zh-CN"/>
              </w:rPr>
            </w:pPr>
            <w:r>
              <w:rPr>
                <w:color w:val="auto"/>
                <w:highlight w:val="none"/>
                <w:lang w:eastAsia="zh-CN"/>
              </w:rPr>
              <w:t>2.2</w:t>
            </w:r>
            <w:r>
              <w:rPr>
                <w:rFonts w:hint="eastAsia"/>
                <w:color w:val="auto"/>
                <w:highlight w:val="none"/>
                <w:lang w:eastAsia="zh-CN"/>
              </w:rPr>
              <w:t>选择噪声低、产品质量稳定的产品，产品噪声要求在</w:t>
            </w:r>
            <w:r>
              <w:rPr>
                <w:color w:val="auto"/>
                <w:highlight w:val="none"/>
                <w:lang w:eastAsia="zh-CN"/>
              </w:rPr>
              <w:t>40</w:t>
            </w:r>
            <w:r>
              <w:rPr>
                <w:rFonts w:hint="eastAsia"/>
                <w:color w:val="auto"/>
                <w:highlight w:val="none"/>
                <w:lang w:eastAsia="zh-CN"/>
              </w:rPr>
              <w:t>～</w:t>
            </w:r>
            <w:r>
              <w:rPr>
                <w:color w:val="auto"/>
                <w:highlight w:val="none"/>
                <w:lang w:eastAsia="zh-CN"/>
              </w:rPr>
              <w:t>45dB</w:t>
            </w:r>
            <w:r>
              <w:rPr>
                <w:rFonts w:hint="eastAsia"/>
                <w:color w:val="auto"/>
                <w:highlight w:val="none"/>
                <w:lang w:eastAsia="zh-CN"/>
              </w:rPr>
              <w:t>（</w:t>
            </w:r>
            <w:r>
              <w:rPr>
                <w:color w:val="auto"/>
                <w:highlight w:val="none"/>
                <w:lang w:eastAsia="zh-CN"/>
              </w:rPr>
              <w:t>A</w:t>
            </w:r>
            <w:r>
              <w:rPr>
                <w:rFonts w:hint="eastAsia"/>
                <w:color w:val="auto"/>
                <w:highlight w:val="none"/>
                <w:lang w:eastAsia="zh-CN"/>
              </w:rPr>
              <w:t>）。。</w:t>
            </w:r>
          </w:p>
          <w:p>
            <w:pPr>
              <w:rPr>
                <w:color w:val="auto"/>
                <w:highlight w:val="none"/>
                <w:lang w:eastAsia="zh-CN"/>
              </w:rPr>
            </w:pPr>
            <w:r>
              <w:rPr>
                <w:color w:val="auto"/>
                <w:highlight w:val="none"/>
                <w:lang w:eastAsia="zh-CN"/>
              </w:rPr>
              <w:t>2.</w:t>
            </w:r>
            <w:r>
              <w:rPr>
                <w:rFonts w:hint="eastAsia"/>
                <w:color w:val="auto"/>
                <w:highlight w:val="none"/>
                <w:lang w:eastAsia="zh-CN"/>
              </w:rPr>
              <w:t>3应选择采用滚珠轴承的排气扇。排气扇应设有止回阀。带超温保护。</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728" w:type="dxa"/>
            <w:vAlign w:val="center"/>
          </w:tcPr>
          <w:p>
            <w:pPr>
              <w:rPr>
                <w:color w:val="auto"/>
                <w:highlight w:val="none"/>
              </w:rPr>
            </w:pPr>
            <w:r>
              <w:rPr>
                <w:color w:val="auto"/>
                <w:highlight w:val="none"/>
              </w:rPr>
              <w:t>17</w:t>
            </w:r>
          </w:p>
        </w:tc>
        <w:tc>
          <w:tcPr>
            <w:tcW w:w="1260" w:type="dxa"/>
            <w:vAlign w:val="center"/>
          </w:tcPr>
          <w:p>
            <w:pPr>
              <w:rPr>
                <w:color w:val="auto"/>
                <w:highlight w:val="none"/>
              </w:rPr>
            </w:pPr>
            <w:r>
              <w:rPr>
                <w:rFonts w:hint="eastAsia"/>
                <w:color w:val="auto"/>
                <w:highlight w:val="none"/>
              </w:rPr>
              <w:t>风管材</w:t>
            </w:r>
          </w:p>
          <w:p>
            <w:pPr>
              <w:rPr>
                <w:color w:val="auto"/>
                <w:highlight w:val="none"/>
              </w:rPr>
            </w:pPr>
            <w:r>
              <w:rPr>
                <w:rFonts w:hint="eastAsia"/>
                <w:color w:val="auto"/>
                <w:highlight w:val="none"/>
              </w:rPr>
              <w:t>（镀锌钢板）</w:t>
            </w:r>
          </w:p>
        </w:tc>
        <w:tc>
          <w:tcPr>
            <w:tcW w:w="7736" w:type="dxa"/>
            <w:vAlign w:val="center"/>
          </w:tcPr>
          <w:p>
            <w:pPr>
              <w:rPr>
                <w:color w:val="auto"/>
                <w:highlight w:val="none"/>
                <w:lang w:eastAsia="zh-CN"/>
              </w:rPr>
            </w:pPr>
            <w:r>
              <w:rPr>
                <w:rFonts w:hint="eastAsia"/>
                <w:color w:val="auto"/>
                <w:highlight w:val="none"/>
                <w:lang w:eastAsia="zh-CN"/>
              </w:rPr>
              <w:t>技术要求：</w:t>
            </w:r>
          </w:p>
          <w:p>
            <w:pPr>
              <w:rPr>
                <w:color w:val="auto"/>
                <w:highlight w:val="none"/>
                <w:lang w:eastAsia="zh-CN"/>
              </w:rPr>
            </w:pPr>
            <w:r>
              <w:rPr>
                <w:rFonts w:hint="eastAsia"/>
                <w:color w:val="auto"/>
                <w:highlight w:val="none"/>
                <w:lang w:eastAsia="zh-CN"/>
              </w:rPr>
              <w:t>b.1镀锌钢板需检测合格，测试报告须出自国家级质量监督检验中心或发包方认可的其他检测机构。</w:t>
            </w:r>
          </w:p>
          <w:p>
            <w:pPr>
              <w:rPr>
                <w:color w:val="auto"/>
                <w:highlight w:val="none"/>
                <w:lang w:eastAsia="zh-CN"/>
              </w:rPr>
            </w:pPr>
            <w:r>
              <w:rPr>
                <w:rFonts w:hint="eastAsia"/>
                <w:color w:val="auto"/>
                <w:highlight w:val="none"/>
                <w:lang w:eastAsia="zh-CN"/>
              </w:rPr>
              <w:t>b.2材料品种、规格、性能与厚度等应符合设计和现行国家有关产品标准的规定；当设计无规定时，钢板或镀锌钢板的厚度应按《通风与空调工程施工质量验收规范》 GB 50243执行；生产制作严格按照《通风管道技术规程》JGJ141等国家有关规范标准进行。</w:t>
            </w:r>
          </w:p>
          <w:p>
            <w:pPr>
              <w:rPr>
                <w:color w:val="auto"/>
                <w:highlight w:val="none"/>
                <w:lang w:eastAsia="zh-CN"/>
              </w:rPr>
            </w:pPr>
            <w:r>
              <w:rPr>
                <w:rFonts w:hint="eastAsia"/>
                <w:color w:val="auto"/>
                <w:highlight w:val="none"/>
                <w:lang w:eastAsia="zh-CN"/>
              </w:rPr>
              <w:t>b.3</w:t>
            </w:r>
            <w:r>
              <w:rPr>
                <w:rFonts w:hint="eastAsia"/>
                <w:color w:val="auto"/>
                <w:highlight w:val="none"/>
                <w:lang w:eastAsia="zh-CN"/>
              </w:rPr>
              <w:tab/>
            </w:r>
            <w:r>
              <w:rPr>
                <w:rFonts w:hint="eastAsia"/>
                <w:color w:val="auto"/>
                <w:highlight w:val="none"/>
                <w:lang w:eastAsia="zh-CN"/>
              </w:rPr>
              <w:t>对镀锌钢板，镀锌层应均匀（带结晶花纹）；锌层应无泛白、麻点、起皮、脱落等缺陷；风管不得有镀锌层严重损坏的现象，如表面大面积白花、锌层粉化等。</w:t>
            </w:r>
          </w:p>
          <w:p>
            <w:pPr>
              <w:rPr>
                <w:color w:val="auto"/>
                <w:highlight w:val="none"/>
                <w:lang w:eastAsia="zh-CN"/>
              </w:rPr>
            </w:pPr>
            <w:r>
              <w:rPr>
                <w:rFonts w:hint="eastAsia"/>
                <w:color w:val="auto"/>
                <w:highlight w:val="none"/>
                <w:lang w:eastAsia="zh-CN"/>
              </w:rPr>
              <w:t>b.4风管的密封应以板材连接的密封为主，风管的咬口缝、铆接缝以及法兰翻边四角缝隙处应按设计及洁净等级要求采用涂密封胶或其他密封措施堵严。密封材料应满足消防需要，符合国标《建筑材料燃烧性能分级方法》GB8624 中关于B1级难燃性材料以上的要求，有洁净需求的应符合国家或当地的环保标准。</w:t>
            </w:r>
          </w:p>
          <w:p>
            <w:pPr>
              <w:rPr>
                <w:color w:val="auto"/>
                <w:highlight w:val="none"/>
                <w:lang w:eastAsia="zh-CN"/>
              </w:rPr>
            </w:pPr>
            <w:r>
              <w:rPr>
                <w:rFonts w:hint="eastAsia"/>
                <w:color w:val="auto"/>
                <w:highlight w:val="none"/>
                <w:lang w:eastAsia="zh-CN"/>
              </w:rPr>
              <w:t>b.5风管板材拼接的咬口缝应错开，不得有十字型拼接缝。风管应减少纵向接缝，且不得有横向接缝，矩形风管底板的纵向接缝数量应符合相关要求。风管板材连接缝的密封面应设在风管壁的正压侧。</w:t>
            </w:r>
          </w:p>
          <w:p>
            <w:pPr>
              <w:rPr>
                <w:color w:val="auto"/>
                <w:highlight w:val="none"/>
                <w:lang w:eastAsia="zh-CN"/>
              </w:rPr>
            </w:pPr>
            <w:r>
              <w:rPr>
                <w:rFonts w:hint="eastAsia"/>
                <w:color w:val="auto"/>
                <w:highlight w:val="none"/>
                <w:lang w:eastAsia="zh-CN"/>
              </w:rPr>
              <w:t>b.6风管弯管须按国家规范要求设置弯管导流片，导流片弧度应与弯管弧度相等，迎风边缘应光滑。</w:t>
            </w:r>
          </w:p>
          <w:p>
            <w:pPr>
              <w:rPr>
                <w:color w:val="auto"/>
                <w:highlight w:val="none"/>
                <w:lang w:eastAsia="zh-CN"/>
              </w:rPr>
            </w:pPr>
            <w:r>
              <w:rPr>
                <w:rFonts w:hint="eastAsia"/>
                <w:color w:val="auto"/>
                <w:highlight w:val="none"/>
                <w:lang w:eastAsia="zh-CN"/>
              </w:rPr>
              <w:t>b.7风管常用连接方式如下表，根据项目发包方要求进行选择：</w:t>
            </w:r>
          </w:p>
          <w:p>
            <w:pPr>
              <w:rPr>
                <w:color w:val="auto"/>
                <w:highlight w:val="none"/>
                <w:lang w:eastAsia="zh-CN"/>
              </w:rPr>
            </w:pPr>
            <w:r>
              <w:rPr>
                <w:rFonts w:hint="eastAsia"/>
                <w:color w:val="auto"/>
                <w:highlight w:val="none"/>
                <w:lang w:eastAsia="zh-CN"/>
              </w:rPr>
              <w:t>连接方式</w:t>
            </w:r>
            <w:r>
              <w:rPr>
                <w:rFonts w:hint="eastAsia"/>
                <w:color w:val="auto"/>
                <w:highlight w:val="none"/>
                <w:lang w:eastAsia="zh-CN"/>
              </w:rPr>
              <w:tab/>
            </w:r>
            <w:r>
              <w:rPr>
                <w:rFonts w:hint="eastAsia"/>
                <w:color w:val="auto"/>
                <w:highlight w:val="none"/>
                <w:lang w:eastAsia="zh-CN"/>
              </w:rPr>
              <w:t>特点</w:t>
            </w:r>
            <w:r>
              <w:rPr>
                <w:rFonts w:hint="eastAsia"/>
                <w:color w:val="auto"/>
                <w:highlight w:val="none"/>
                <w:lang w:eastAsia="zh-CN"/>
              </w:rPr>
              <w:tab/>
            </w:r>
            <w:r>
              <w:rPr>
                <w:rFonts w:hint="eastAsia"/>
                <w:color w:val="auto"/>
                <w:highlight w:val="none"/>
                <w:lang w:eastAsia="zh-CN"/>
              </w:rPr>
              <w:t>适用场合</w:t>
            </w:r>
            <w:r>
              <w:rPr>
                <w:rFonts w:hint="eastAsia"/>
                <w:color w:val="auto"/>
                <w:highlight w:val="none"/>
                <w:lang w:eastAsia="zh-CN"/>
              </w:rPr>
              <w:tab/>
            </w:r>
            <w:r>
              <w:rPr>
                <w:rFonts w:hint="eastAsia"/>
                <w:color w:val="auto"/>
                <w:highlight w:val="none"/>
                <w:lang w:eastAsia="zh-CN"/>
              </w:rPr>
              <w:t>备注</w:t>
            </w:r>
          </w:p>
          <w:p>
            <w:pPr>
              <w:rPr>
                <w:color w:val="auto"/>
                <w:highlight w:val="none"/>
                <w:lang w:eastAsia="zh-CN"/>
              </w:rPr>
            </w:pPr>
            <w:r>
              <w:rPr>
                <w:rFonts w:hint="eastAsia"/>
                <w:color w:val="auto"/>
                <w:highlight w:val="none"/>
                <w:lang w:eastAsia="zh-CN"/>
              </w:rPr>
              <w:t>共板法兰</w:t>
            </w:r>
            <w:r>
              <w:rPr>
                <w:rFonts w:hint="eastAsia"/>
                <w:color w:val="auto"/>
                <w:highlight w:val="none"/>
                <w:lang w:eastAsia="zh-CN"/>
              </w:rPr>
              <w:tab/>
            </w:r>
            <w:r>
              <w:rPr>
                <w:rFonts w:hint="eastAsia"/>
                <w:color w:val="auto"/>
                <w:highlight w:val="none"/>
                <w:lang w:eastAsia="zh-CN"/>
              </w:rPr>
              <w:t>由镀锌板直接压制而成，使风管与法兰一体成型，无焊接无铆接，连接严密，其优点是节省材料、漏风量小，降低能耗，安装更方便快捷</w:t>
            </w:r>
            <w:r>
              <w:rPr>
                <w:rFonts w:hint="eastAsia"/>
                <w:color w:val="auto"/>
                <w:highlight w:val="none"/>
                <w:lang w:eastAsia="zh-CN"/>
              </w:rPr>
              <w:tab/>
            </w:r>
            <w:r>
              <w:rPr>
                <w:rFonts w:hint="eastAsia"/>
                <w:color w:val="auto"/>
                <w:highlight w:val="none"/>
                <w:lang w:eastAsia="zh-CN"/>
              </w:rPr>
              <w:t>根据行业技术适用于分支风管</w:t>
            </w:r>
            <w:r>
              <w:rPr>
                <w:rFonts w:hint="eastAsia"/>
                <w:color w:val="auto"/>
                <w:highlight w:val="none"/>
                <w:lang w:eastAsia="zh-CN"/>
              </w:rPr>
              <w:tab/>
            </w:r>
          </w:p>
          <w:p>
            <w:pPr>
              <w:rPr>
                <w:color w:val="auto"/>
                <w:highlight w:val="none"/>
                <w:lang w:eastAsia="zh-CN"/>
              </w:rPr>
            </w:pPr>
            <w:r>
              <w:rPr>
                <w:rFonts w:hint="eastAsia"/>
                <w:color w:val="auto"/>
                <w:highlight w:val="none"/>
                <w:lang w:eastAsia="zh-CN"/>
              </w:rPr>
              <w:t>德国法兰（又称插接式法兰）</w:t>
            </w:r>
            <w:r>
              <w:rPr>
                <w:rFonts w:hint="eastAsia"/>
                <w:color w:val="auto"/>
                <w:highlight w:val="none"/>
                <w:lang w:eastAsia="zh-CN"/>
              </w:rPr>
              <w:tab/>
            </w:r>
            <w:r>
              <w:rPr>
                <w:rFonts w:hint="eastAsia"/>
                <w:color w:val="auto"/>
                <w:highlight w:val="none"/>
                <w:lang w:eastAsia="zh-CN"/>
              </w:rPr>
              <w:t>国际上比较先进的几管制作工艺，比传统的制作工艺简单、快捷、省料，具有密封好、坚固耐用和驳接牢固等优点，成本相对较高</w:t>
            </w:r>
            <w:r>
              <w:rPr>
                <w:rFonts w:hint="eastAsia"/>
                <w:color w:val="auto"/>
                <w:highlight w:val="none"/>
                <w:lang w:eastAsia="zh-CN"/>
              </w:rPr>
              <w:tab/>
            </w:r>
            <w:r>
              <w:rPr>
                <w:rFonts w:hint="eastAsia"/>
                <w:color w:val="auto"/>
                <w:highlight w:val="none"/>
                <w:lang w:eastAsia="zh-CN"/>
              </w:rPr>
              <w:t>特别适用于截面面积较大的矩形风管</w:t>
            </w:r>
            <w:r>
              <w:rPr>
                <w:rFonts w:hint="eastAsia"/>
                <w:color w:val="auto"/>
                <w:highlight w:val="none"/>
                <w:lang w:eastAsia="zh-CN"/>
              </w:rPr>
              <w:tab/>
            </w:r>
          </w:p>
          <w:p>
            <w:pPr>
              <w:rPr>
                <w:color w:val="auto"/>
                <w:highlight w:val="none"/>
                <w:lang w:eastAsia="zh-CN"/>
              </w:rPr>
            </w:pPr>
            <w:r>
              <w:rPr>
                <w:rFonts w:hint="eastAsia"/>
                <w:color w:val="auto"/>
                <w:highlight w:val="none"/>
                <w:lang w:eastAsia="zh-CN"/>
              </w:rPr>
              <w:t>角铁法兰</w:t>
            </w:r>
            <w:r>
              <w:rPr>
                <w:rFonts w:hint="eastAsia"/>
                <w:color w:val="auto"/>
                <w:highlight w:val="none"/>
                <w:lang w:eastAsia="zh-CN"/>
              </w:rPr>
              <w:tab/>
            </w:r>
            <w:r>
              <w:rPr>
                <w:rFonts w:hint="eastAsia"/>
                <w:color w:val="auto"/>
                <w:highlight w:val="none"/>
                <w:lang w:eastAsia="zh-CN"/>
              </w:rPr>
              <w:t>由四段角铁组焊成型的角铁框与风管管身用铆钉固定而成，其具有连接牢固、密封性好、抗压性强等特点，成本最高</w:t>
            </w:r>
            <w:r>
              <w:rPr>
                <w:rFonts w:hint="eastAsia"/>
                <w:color w:val="auto"/>
                <w:highlight w:val="none"/>
                <w:lang w:eastAsia="zh-CN"/>
              </w:rPr>
              <w:tab/>
            </w:r>
            <w:r>
              <w:rPr>
                <w:rFonts w:hint="eastAsia"/>
                <w:color w:val="auto"/>
                <w:highlight w:val="none"/>
                <w:lang w:eastAsia="zh-CN"/>
              </w:rPr>
              <w:t>主要用于防排烟及高压系统中</w:t>
            </w:r>
            <w:r>
              <w:rPr>
                <w:rFonts w:hint="eastAsia"/>
                <w:color w:val="auto"/>
                <w:highlight w:val="none"/>
                <w:lang w:eastAsia="zh-CN"/>
              </w:rPr>
              <w:tab/>
            </w:r>
          </w:p>
          <w:p>
            <w:pPr>
              <w:rPr>
                <w:color w:val="auto"/>
                <w:highlight w:val="none"/>
                <w:lang w:eastAsia="zh-CN"/>
              </w:rPr>
            </w:pPr>
          </w:p>
          <w:p>
            <w:pPr>
              <w:rPr>
                <w:color w:val="auto"/>
                <w:highlight w:val="none"/>
                <w:lang w:eastAsia="zh-CN"/>
              </w:rPr>
            </w:pPr>
            <w:r>
              <w:rPr>
                <w:rFonts w:hint="eastAsia"/>
                <w:color w:val="auto"/>
                <w:highlight w:val="none"/>
                <w:lang w:eastAsia="zh-CN"/>
              </w:rPr>
              <w:t>c. 风管安装后必须通过工艺性的检测与验证，其强度与严密性要求应符合设计或下列规定</w:t>
            </w:r>
          </w:p>
          <w:p>
            <w:pPr>
              <w:rPr>
                <w:color w:val="auto"/>
                <w:highlight w:val="none"/>
                <w:lang w:eastAsia="zh-CN"/>
              </w:rPr>
            </w:pPr>
            <w:r>
              <w:rPr>
                <w:rFonts w:hint="eastAsia"/>
                <w:color w:val="auto"/>
                <w:highlight w:val="none"/>
                <w:lang w:eastAsia="zh-CN"/>
              </w:rPr>
              <w:t>c.1风管的强度应能满足在1.5倍工作压力下接缝处无开裂。</w:t>
            </w:r>
          </w:p>
          <w:p>
            <w:pPr>
              <w:rPr>
                <w:color w:val="auto"/>
                <w:highlight w:val="none"/>
                <w:lang w:eastAsia="zh-CN"/>
              </w:rPr>
            </w:pPr>
            <w:r>
              <w:rPr>
                <w:rFonts w:hint="eastAsia"/>
                <w:color w:val="auto"/>
                <w:highlight w:val="none"/>
                <w:lang w:eastAsia="zh-CN"/>
              </w:rPr>
              <w:t>c.2矩形风管的允许漏风量应符合设计和国家规定要求：低压系统风管</w:t>
            </w:r>
            <w:r>
              <w:rPr>
                <w:rFonts w:hint="eastAsia"/>
                <w:color w:val="auto"/>
                <w:highlight w:val="none"/>
              </w:rPr>
              <w:t>Φ</w:t>
            </w:r>
            <w:r>
              <w:rPr>
                <w:rFonts w:hint="eastAsia"/>
                <w:color w:val="auto"/>
                <w:highlight w:val="none"/>
                <w:lang w:eastAsia="zh-CN"/>
              </w:rPr>
              <w:t>L≦0.1056p0.65； 中压系统风管</w:t>
            </w:r>
            <w:r>
              <w:rPr>
                <w:rFonts w:hint="eastAsia"/>
                <w:color w:val="auto"/>
                <w:highlight w:val="none"/>
              </w:rPr>
              <w:t>Φ</w:t>
            </w:r>
            <w:r>
              <w:rPr>
                <w:rFonts w:hint="eastAsia"/>
                <w:color w:val="auto"/>
                <w:highlight w:val="none"/>
                <w:lang w:eastAsia="zh-CN"/>
              </w:rPr>
              <w:t>m≦0.352p0.65；高压系统风管</w:t>
            </w:r>
            <w:r>
              <w:rPr>
                <w:rFonts w:hint="eastAsia"/>
                <w:color w:val="auto"/>
                <w:highlight w:val="none"/>
              </w:rPr>
              <w:t>Φ</w:t>
            </w:r>
            <w:r>
              <w:rPr>
                <w:rFonts w:hint="eastAsia"/>
                <w:color w:val="auto"/>
                <w:highlight w:val="none"/>
                <w:lang w:eastAsia="zh-CN"/>
              </w:rPr>
              <w:t>h≦0.0117p0.65(式中</w:t>
            </w:r>
            <w:r>
              <w:rPr>
                <w:rFonts w:hint="eastAsia"/>
                <w:color w:val="auto"/>
                <w:highlight w:val="none"/>
              </w:rPr>
              <w:t>Φ</w:t>
            </w:r>
            <w:r>
              <w:rPr>
                <w:rFonts w:hint="eastAsia"/>
                <w:color w:val="auto"/>
                <w:highlight w:val="none"/>
                <w:lang w:eastAsia="zh-CN"/>
              </w:rPr>
              <w:t>L</w:t>
            </w:r>
            <w:r>
              <w:rPr>
                <w:rFonts w:hint="eastAsia"/>
                <w:color w:val="auto"/>
                <w:highlight w:val="none"/>
              </w:rPr>
              <w:t>Φ</w:t>
            </w:r>
            <w:r>
              <w:rPr>
                <w:rFonts w:hint="eastAsia"/>
                <w:color w:val="auto"/>
                <w:highlight w:val="none"/>
                <w:lang w:eastAsia="zh-CN"/>
              </w:rPr>
              <w:t>m</w:t>
            </w:r>
            <w:r>
              <w:rPr>
                <w:rFonts w:hint="eastAsia"/>
                <w:color w:val="auto"/>
                <w:highlight w:val="none"/>
              </w:rPr>
              <w:t>Φ</w:t>
            </w:r>
            <w:r>
              <w:rPr>
                <w:rFonts w:hint="eastAsia"/>
                <w:color w:val="auto"/>
                <w:highlight w:val="none"/>
                <w:lang w:eastAsia="zh-CN"/>
              </w:rPr>
              <w:t>h系统风管在相应工作压力下，单位面积风管单位时间的允许漏风量P指风管系统的工作压力)</w:t>
            </w:r>
          </w:p>
          <w:p>
            <w:pPr>
              <w:rPr>
                <w:color w:val="auto"/>
                <w:highlight w:val="none"/>
                <w:lang w:eastAsia="zh-CN"/>
              </w:rPr>
            </w:pPr>
          </w:p>
          <w:p>
            <w:pPr>
              <w:rPr>
                <w:color w:val="auto"/>
                <w:highlight w:val="none"/>
                <w:lang w:eastAsia="zh-CN"/>
              </w:rPr>
            </w:pPr>
            <w:r>
              <w:rPr>
                <w:rFonts w:hint="eastAsia"/>
                <w:color w:val="auto"/>
                <w:highlight w:val="none"/>
                <w:lang w:eastAsia="zh-CN"/>
              </w:rPr>
              <w:t>d. 金属风管的加固</w:t>
            </w:r>
          </w:p>
          <w:p>
            <w:pPr>
              <w:rPr>
                <w:color w:val="auto"/>
                <w:highlight w:val="none"/>
                <w:lang w:eastAsia="zh-CN"/>
              </w:rPr>
            </w:pPr>
            <w:r>
              <w:rPr>
                <w:rFonts w:hint="eastAsia"/>
                <w:color w:val="auto"/>
                <w:highlight w:val="none"/>
                <w:lang w:eastAsia="zh-CN"/>
              </w:rPr>
              <w:t>d.1楞筋或楞线的加固，应排列规则，间隔均匀，板面不应有明显的变形；</w:t>
            </w:r>
          </w:p>
          <w:p>
            <w:pPr>
              <w:rPr>
                <w:color w:val="auto"/>
                <w:highlight w:val="none"/>
                <w:lang w:eastAsia="zh-CN"/>
              </w:rPr>
            </w:pPr>
            <w:r>
              <w:rPr>
                <w:rFonts w:hint="eastAsia"/>
                <w:color w:val="auto"/>
                <w:highlight w:val="none"/>
                <w:lang w:eastAsia="zh-CN"/>
              </w:rPr>
              <w:t>d.2角钢、加固筋和加固应排列整齐、均匀对称，其高度应小于或等于风管的法兰宽度，角钢、加固筋与风管的铆接应牢固、间隔均匀，不应大于220mm；两相交处应连接成一体。</w:t>
            </w:r>
          </w:p>
          <w:p>
            <w:pPr>
              <w:rPr>
                <w:color w:val="auto"/>
                <w:highlight w:val="none"/>
                <w:lang w:eastAsia="zh-CN"/>
              </w:rPr>
            </w:pPr>
            <w:r>
              <w:rPr>
                <w:rFonts w:hint="eastAsia"/>
                <w:color w:val="auto"/>
                <w:highlight w:val="none"/>
                <w:lang w:eastAsia="zh-CN"/>
              </w:rPr>
              <w:t>d.3管内支撑与风管的固定应牢固，各支撑之间或与风管的边沿或法兰的间距均匀，不应大于950mm。</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728" w:type="dxa"/>
            <w:vAlign w:val="center"/>
          </w:tcPr>
          <w:p>
            <w:pPr>
              <w:rPr>
                <w:color w:val="auto"/>
                <w:highlight w:val="none"/>
              </w:rPr>
            </w:pPr>
            <w:r>
              <w:rPr>
                <w:color w:val="auto"/>
                <w:highlight w:val="none"/>
              </w:rPr>
              <w:t>18</w:t>
            </w:r>
          </w:p>
        </w:tc>
        <w:tc>
          <w:tcPr>
            <w:tcW w:w="1260" w:type="dxa"/>
            <w:vAlign w:val="center"/>
          </w:tcPr>
          <w:p>
            <w:pPr>
              <w:rPr>
                <w:color w:val="auto"/>
                <w:highlight w:val="none"/>
              </w:rPr>
            </w:pPr>
            <w:r>
              <w:rPr>
                <w:rFonts w:hint="eastAsia"/>
                <w:color w:val="auto"/>
                <w:highlight w:val="none"/>
              </w:rPr>
              <w:t>风管软接</w:t>
            </w:r>
          </w:p>
        </w:tc>
        <w:tc>
          <w:tcPr>
            <w:tcW w:w="7736" w:type="dxa"/>
            <w:vAlign w:val="center"/>
          </w:tcPr>
          <w:p>
            <w:pPr>
              <w:rPr>
                <w:color w:val="auto"/>
                <w:highlight w:val="none"/>
                <w:lang w:eastAsia="zh-CN"/>
              </w:rPr>
            </w:pPr>
            <w:r>
              <w:rPr>
                <w:rFonts w:hint="eastAsia"/>
                <w:color w:val="auto"/>
                <w:highlight w:val="none"/>
                <w:lang w:eastAsia="zh-CN"/>
              </w:rPr>
              <w:t>技术要求：</w:t>
            </w:r>
          </w:p>
          <w:p>
            <w:pPr>
              <w:rPr>
                <w:color w:val="auto"/>
                <w:highlight w:val="none"/>
                <w:lang w:eastAsia="zh-CN"/>
              </w:rPr>
            </w:pPr>
            <w:r>
              <w:rPr>
                <w:color w:val="auto"/>
                <w:highlight w:val="none"/>
                <w:lang w:eastAsia="zh-CN"/>
              </w:rPr>
              <w:t>1</w:t>
            </w:r>
            <w:r>
              <w:rPr>
                <w:rFonts w:hint="eastAsia"/>
                <w:color w:val="auto"/>
                <w:highlight w:val="none"/>
                <w:lang w:eastAsia="zh-CN"/>
              </w:rPr>
              <w:t>、应符合设计和有关规范的要求；</w:t>
            </w:r>
          </w:p>
          <w:p>
            <w:pPr>
              <w:rPr>
                <w:color w:val="auto"/>
                <w:highlight w:val="none"/>
                <w:lang w:eastAsia="zh-CN"/>
              </w:rPr>
            </w:pPr>
            <w:r>
              <w:rPr>
                <w:color w:val="auto"/>
                <w:highlight w:val="none"/>
                <w:lang w:eastAsia="zh-CN"/>
              </w:rPr>
              <w:t>2</w:t>
            </w:r>
            <w:r>
              <w:rPr>
                <w:rFonts w:hint="eastAsia"/>
                <w:color w:val="auto"/>
                <w:highlight w:val="none"/>
                <w:lang w:eastAsia="zh-CN"/>
              </w:rPr>
              <w:t>、应选用具有防腐、防潮、不透气、不易霉变的柔性材料，并符合要求的气密性标准，燃烧等级达到国标难燃</w:t>
            </w:r>
            <w:r>
              <w:rPr>
                <w:color w:val="auto"/>
                <w:highlight w:val="none"/>
                <w:lang w:eastAsia="zh-CN"/>
              </w:rPr>
              <w:t>B1</w:t>
            </w:r>
            <w:r>
              <w:rPr>
                <w:rFonts w:hint="eastAsia"/>
                <w:color w:val="auto"/>
                <w:highlight w:val="none"/>
                <w:lang w:eastAsia="zh-CN"/>
              </w:rPr>
              <w:t>级；适用于指定的风压和气温条件；有防止结露的措施；</w:t>
            </w:r>
          </w:p>
          <w:p>
            <w:pPr>
              <w:rPr>
                <w:color w:val="auto"/>
                <w:highlight w:val="none"/>
                <w:lang w:eastAsia="zh-CN"/>
              </w:rPr>
            </w:pPr>
            <w:r>
              <w:rPr>
                <w:color w:val="auto"/>
                <w:highlight w:val="none"/>
                <w:lang w:eastAsia="zh-CN"/>
              </w:rPr>
              <w:t>3</w:t>
            </w:r>
            <w:r>
              <w:rPr>
                <w:rFonts w:hint="eastAsia"/>
                <w:color w:val="auto"/>
                <w:highlight w:val="none"/>
                <w:lang w:eastAsia="zh-CN"/>
              </w:rPr>
              <w:t>、长度一般为</w:t>
            </w:r>
            <w:r>
              <w:rPr>
                <w:color w:val="auto"/>
                <w:highlight w:val="none"/>
                <w:lang w:eastAsia="zh-CN"/>
              </w:rPr>
              <w:t>150~250mm</w:t>
            </w:r>
            <w:r>
              <w:rPr>
                <w:rFonts w:hint="eastAsia"/>
                <w:color w:val="auto"/>
                <w:highlight w:val="none"/>
                <w:lang w:eastAsia="zh-CN"/>
              </w:rPr>
              <w:t>，其接合缝应牢固、严密，并不得作为异径管使用；</w:t>
            </w:r>
          </w:p>
          <w:p>
            <w:pPr>
              <w:rPr>
                <w:color w:val="auto"/>
                <w:highlight w:val="none"/>
                <w:lang w:eastAsia="zh-CN"/>
              </w:rPr>
            </w:pPr>
            <w:r>
              <w:rPr>
                <w:color w:val="auto"/>
                <w:highlight w:val="none"/>
                <w:lang w:eastAsia="zh-CN"/>
              </w:rPr>
              <w:t>4</w:t>
            </w:r>
            <w:r>
              <w:rPr>
                <w:rFonts w:hint="eastAsia"/>
                <w:color w:val="auto"/>
                <w:highlight w:val="none"/>
                <w:lang w:eastAsia="zh-CN"/>
              </w:rPr>
              <w:t>、设于沉降缝的软性短管，其长度应大于沉降缝的宽度。</w:t>
            </w:r>
          </w:p>
          <w:p>
            <w:pPr>
              <w:rPr>
                <w:color w:val="auto"/>
                <w:highlight w:val="none"/>
                <w:lang w:eastAsia="zh-CN"/>
              </w:rPr>
            </w:pPr>
            <w:r>
              <w:rPr>
                <w:color w:val="auto"/>
                <w:highlight w:val="none"/>
                <w:lang w:eastAsia="zh-CN"/>
              </w:rPr>
              <w:t>5</w:t>
            </w:r>
            <w:r>
              <w:rPr>
                <w:rFonts w:hint="eastAsia"/>
                <w:color w:val="auto"/>
                <w:highlight w:val="none"/>
                <w:lang w:eastAsia="zh-CN"/>
              </w:rPr>
              <w:t>、风机出口软连接：采用工程专用涂胶玻璃纤维帆布，符合消防要求，且在潮湿环境下可保证较长寿命。</w:t>
            </w:r>
            <w:r>
              <w:rPr>
                <w:color w:val="auto"/>
                <w:highlight w:val="none"/>
                <w:lang w:eastAsia="zh-CN"/>
              </w:rPr>
              <w:t xml:space="preserve"> </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728" w:type="dxa"/>
            <w:vAlign w:val="center"/>
          </w:tcPr>
          <w:p>
            <w:pPr>
              <w:rPr>
                <w:color w:val="auto"/>
                <w:highlight w:val="none"/>
              </w:rPr>
            </w:pPr>
            <w:r>
              <w:rPr>
                <w:color w:val="auto"/>
                <w:highlight w:val="none"/>
              </w:rPr>
              <w:t>19</w:t>
            </w:r>
          </w:p>
        </w:tc>
        <w:tc>
          <w:tcPr>
            <w:tcW w:w="1260" w:type="dxa"/>
            <w:vAlign w:val="center"/>
          </w:tcPr>
          <w:p>
            <w:pPr>
              <w:rPr>
                <w:color w:val="auto"/>
                <w:highlight w:val="none"/>
                <w:lang w:eastAsia="zh-CN"/>
              </w:rPr>
            </w:pPr>
            <w:r>
              <w:rPr>
                <w:rFonts w:hint="eastAsia"/>
                <w:color w:val="auto"/>
                <w:highlight w:val="none"/>
                <w:lang w:eastAsia="zh-CN"/>
              </w:rPr>
              <w:t>风阀、防火阀、手动风量调节阀、电动风量调节阀、风管止回阀</w:t>
            </w:r>
          </w:p>
        </w:tc>
        <w:tc>
          <w:tcPr>
            <w:tcW w:w="7736" w:type="dxa"/>
            <w:vAlign w:val="center"/>
          </w:tcPr>
          <w:p>
            <w:pPr>
              <w:rPr>
                <w:color w:val="auto"/>
                <w:highlight w:val="none"/>
                <w:lang w:eastAsia="zh-CN"/>
              </w:rPr>
            </w:pPr>
            <w:r>
              <w:rPr>
                <w:rFonts w:hint="eastAsia"/>
                <w:color w:val="auto"/>
                <w:highlight w:val="none"/>
                <w:lang w:eastAsia="zh-CN"/>
              </w:rPr>
              <w:t>技术要求：</w:t>
            </w:r>
            <w:r>
              <w:rPr>
                <w:color w:val="auto"/>
                <w:highlight w:val="none"/>
                <w:lang w:eastAsia="zh-CN"/>
              </w:rPr>
              <w:t xml:space="preserve"> </w:t>
            </w:r>
          </w:p>
          <w:p>
            <w:pPr>
              <w:rPr>
                <w:color w:val="auto"/>
                <w:highlight w:val="none"/>
                <w:lang w:eastAsia="zh-CN"/>
              </w:rPr>
            </w:pPr>
            <w:r>
              <w:rPr>
                <w:color w:val="auto"/>
                <w:highlight w:val="none"/>
                <w:lang w:eastAsia="zh-CN"/>
              </w:rPr>
              <w:t>1</w:t>
            </w:r>
            <w:r>
              <w:rPr>
                <w:rFonts w:hint="eastAsia"/>
                <w:color w:val="auto"/>
                <w:highlight w:val="none"/>
                <w:lang w:eastAsia="zh-CN"/>
              </w:rPr>
              <w:t>、阀门型号、规格、耐压强度和严密性试验结果符合设计及有关规范、标准要求；</w:t>
            </w:r>
          </w:p>
          <w:p>
            <w:pPr>
              <w:rPr>
                <w:color w:val="auto"/>
                <w:highlight w:val="none"/>
                <w:lang w:eastAsia="zh-CN"/>
              </w:rPr>
            </w:pPr>
            <w:r>
              <w:rPr>
                <w:color w:val="auto"/>
                <w:highlight w:val="none"/>
                <w:lang w:eastAsia="zh-CN"/>
              </w:rPr>
              <w:t>2</w:t>
            </w:r>
            <w:r>
              <w:rPr>
                <w:rFonts w:hint="eastAsia"/>
                <w:color w:val="auto"/>
                <w:highlight w:val="none"/>
                <w:lang w:eastAsia="zh-CN"/>
              </w:rPr>
              <w:t>、阀门应制作牢固，叶片启闭应灵活，并标明阀门启闭方向和调节角度；</w:t>
            </w:r>
          </w:p>
          <w:p>
            <w:pPr>
              <w:rPr>
                <w:color w:val="auto"/>
                <w:highlight w:val="none"/>
                <w:lang w:eastAsia="zh-CN"/>
              </w:rPr>
            </w:pPr>
            <w:r>
              <w:rPr>
                <w:color w:val="auto"/>
                <w:highlight w:val="none"/>
                <w:lang w:eastAsia="zh-CN"/>
              </w:rPr>
              <w:t>3</w:t>
            </w:r>
            <w:r>
              <w:rPr>
                <w:rFonts w:hint="eastAsia"/>
                <w:color w:val="auto"/>
                <w:highlight w:val="none"/>
                <w:lang w:eastAsia="zh-CN"/>
              </w:rPr>
              <w:t>、采用优质钢板制作，外框板厚不小于</w:t>
            </w:r>
            <w:r>
              <w:rPr>
                <w:color w:val="auto"/>
                <w:highlight w:val="none"/>
                <w:lang w:eastAsia="zh-CN"/>
              </w:rPr>
              <w:t>2mm</w:t>
            </w:r>
            <w:r>
              <w:rPr>
                <w:rFonts w:hint="eastAsia"/>
                <w:color w:val="auto"/>
                <w:highlight w:val="none"/>
                <w:lang w:eastAsia="zh-CN"/>
              </w:rPr>
              <w:t>，叶片板厚不小于</w:t>
            </w:r>
            <w:r>
              <w:rPr>
                <w:color w:val="auto"/>
                <w:highlight w:val="none"/>
                <w:lang w:eastAsia="zh-CN"/>
              </w:rPr>
              <w:t>1.5mm</w:t>
            </w:r>
            <w:r>
              <w:rPr>
                <w:rFonts w:hint="eastAsia"/>
                <w:color w:val="auto"/>
                <w:highlight w:val="none"/>
                <w:lang w:eastAsia="zh-CN"/>
              </w:rPr>
              <w:t>；</w:t>
            </w:r>
          </w:p>
          <w:p>
            <w:pPr>
              <w:rPr>
                <w:color w:val="auto"/>
                <w:highlight w:val="none"/>
                <w:lang w:eastAsia="zh-CN"/>
              </w:rPr>
            </w:pPr>
            <w:r>
              <w:rPr>
                <w:color w:val="auto"/>
                <w:highlight w:val="none"/>
                <w:lang w:eastAsia="zh-CN"/>
              </w:rPr>
              <w:t>4</w:t>
            </w:r>
            <w:r>
              <w:rPr>
                <w:rFonts w:hint="eastAsia"/>
                <w:color w:val="auto"/>
                <w:highlight w:val="none"/>
                <w:lang w:eastAsia="zh-CN"/>
              </w:rPr>
              <w:t>、多叶阀叶片应能贴合，间距均匀，搭接一致。轴与轴之间的距离偏差应小于</w:t>
            </w:r>
            <w:r>
              <w:rPr>
                <w:color w:val="auto"/>
                <w:highlight w:val="none"/>
                <w:lang w:eastAsia="zh-CN"/>
              </w:rPr>
              <w:t>2mm</w:t>
            </w:r>
            <w:r>
              <w:rPr>
                <w:rFonts w:hint="eastAsia"/>
                <w:color w:val="auto"/>
                <w:highlight w:val="none"/>
                <w:lang w:eastAsia="zh-CN"/>
              </w:rPr>
              <w:t>；</w:t>
            </w:r>
          </w:p>
          <w:p>
            <w:pPr>
              <w:rPr>
                <w:color w:val="auto"/>
                <w:highlight w:val="none"/>
                <w:lang w:eastAsia="zh-CN"/>
              </w:rPr>
            </w:pPr>
            <w:r>
              <w:rPr>
                <w:color w:val="auto"/>
                <w:highlight w:val="none"/>
                <w:lang w:eastAsia="zh-CN"/>
              </w:rPr>
              <w:t>5</w:t>
            </w:r>
            <w:r>
              <w:rPr>
                <w:rFonts w:hint="eastAsia"/>
                <w:color w:val="auto"/>
                <w:highlight w:val="none"/>
                <w:lang w:eastAsia="zh-CN"/>
              </w:rPr>
              <w:t>、截面大于</w:t>
            </w:r>
            <w:r>
              <w:rPr>
                <w:color w:val="auto"/>
                <w:highlight w:val="none"/>
                <w:lang w:eastAsia="zh-CN"/>
              </w:rPr>
              <w:t>1.2m2</w:t>
            </w:r>
            <w:r>
              <w:rPr>
                <w:rFonts w:hint="eastAsia"/>
                <w:color w:val="auto"/>
                <w:highlight w:val="none"/>
                <w:lang w:eastAsia="zh-CN"/>
              </w:rPr>
              <w:t>的风阀应实施分组调节；</w:t>
            </w:r>
          </w:p>
          <w:p>
            <w:pPr>
              <w:rPr>
                <w:color w:val="auto"/>
                <w:highlight w:val="none"/>
                <w:lang w:eastAsia="zh-CN"/>
              </w:rPr>
            </w:pPr>
            <w:r>
              <w:rPr>
                <w:color w:val="auto"/>
                <w:highlight w:val="none"/>
                <w:lang w:eastAsia="zh-CN"/>
              </w:rPr>
              <w:t>6</w:t>
            </w:r>
            <w:r>
              <w:rPr>
                <w:rFonts w:hint="eastAsia"/>
                <w:color w:val="auto"/>
                <w:highlight w:val="none"/>
                <w:lang w:eastAsia="zh-CN"/>
              </w:rPr>
              <w:t>、风量调节阀、风管防火阀：提供产品检验合格证，风管防火阀提供国家消防部门产品认证。提供在不同的阻力、风速（</w:t>
            </w:r>
            <w:r>
              <w:rPr>
                <w:color w:val="auto"/>
                <w:highlight w:val="none"/>
                <w:lang w:eastAsia="zh-CN"/>
              </w:rPr>
              <w:t>5m/s</w:t>
            </w:r>
            <w:r>
              <w:rPr>
                <w:rFonts w:hint="eastAsia"/>
                <w:color w:val="auto"/>
                <w:highlight w:val="none"/>
                <w:lang w:eastAsia="zh-CN"/>
              </w:rPr>
              <w:t>、</w:t>
            </w:r>
            <w:r>
              <w:rPr>
                <w:color w:val="auto"/>
                <w:highlight w:val="none"/>
                <w:lang w:eastAsia="zh-CN"/>
              </w:rPr>
              <w:t>8 m/s</w:t>
            </w:r>
            <w:r>
              <w:rPr>
                <w:rFonts w:hint="eastAsia"/>
                <w:color w:val="auto"/>
                <w:highlight w:val="none"/>
                <w:lang w:eastAsia="zh-CN"/>
              </w:rPr>
              <w:t>、</w:t>
            </w:r>
            <w:r>
              <w:rPr>
                <w:color w:val="auto"/>
                <w:highlight w:val="none"/>
                <w:lang w:eastAsia="zh-CN"/>
              </w:rPr>
              <w:t>10m/s</w:t>
            </w:r>
            <w:r>
              <w:rPr>
                <w:rFonts w:hint="eastAsia"/>
                <w:color w:val="auto"/>
                <w:highlight w:val="none"/>
                <w:lang w:eastAsia="zh-CN"/>
              </w:rPr>
              <w:t>）下的噪声值及每平方米漏风量的检测报告，检测数据须符合设计要求。输出关闭信号，联锁风柜或风机。手动调节阀门开启角度。全开时阻力系数＜</w:t>
            </w:r>
            <w:r>
              <w:rPr>
                <w:color w:val="auto"/>
                <w:highlight w:val="none"/>
                <w:lang w:eastAsia="zh-CN"/>
              </w:rPr>
              <w:t>0.4</w:t>
            </w:r>
            <w:r>
              <w:rPr>
                <w:rFonts w:hint="eastAsia"/>
                <w:color w:val="auto"/>
                <w:highlight w:val="none"/>
                <w:lang w:eastAsia="zh-CN"/>
              </w:rPr>
              <w:t>。耐火时间不低于</w:t>
            </w:r>
            <w:r>
              <w:rPr>
                <w:color w:val="auto"/>
                <w:highlight w:val="none"/>
                <w:lang w:eastAsia="zh-CN"/>
              </w:rPr>
              <w:t>1.5h</w:t>
            </w:r>
            <w:r>
              <w:rPr>
                <w:rFonts w:hint="eastAsia"/>
                <w:color w:val="auto"/>
                <w:highlight w:val="none"/>
                <w:lang w:eastAsia="zh-CN"/>
              </w:rPr>
              <w:t>。</w:t>
            </w:r>
          </w:p>
          <w:p>
            <w:pPr>
              <w:rPr>
                <w:color w:val="auto"/>
                <w:highlight w:val="none"/>
                <w:lang w:eastAsia="zh-CN"/>
              </w:rPr>
            </w:pPr>
            <w:r>
              <w:rPr>
                <w:color w:val="auto"/>
                <w:highlight w:val="none"/>
                <w:lang w:eastAsia="zh-CN"/>
              </w:rPr>
              <w:t>7</w:t>
            </w:r>
            <w:r>
              <w:rPr>
                <w:rFonts w:hint="eastAsia"/>
                <w:color w:val="auto"/>
                <w:highlight w:val="none"/>
                <w:lang w:eastAsia="zh-CN"/>
              </w:rPr>
              <w:t>、止回阀的阀轴灵活，阀板关闭严密，转轴、铰链应采用不易锈蚀的材料制作，阀片的强度应保证在最大负荷压力下不弯曲变形。要求密闭性能好、结构牢固且采用弹簧闭合式方式。提供在不同的阻力、风速（</w:t>
            </w:r>
            <w:r>
              <w:rPr>
                <w:color w:val="auto"/>
                <w:highlight w:val="none"/>
                <w:lang w:eastAsia="zh-CN"/>
              </w:rPr>
              <w:t>5m/s</w:t>
            </w:r>
            <w:r>
              <w:rPr>
                <w:rFonts w:hint="eastAsia"/>
                <w:color w:val="auto"/>
                <w:highlight w:val="none"/>
                <w:lang w:eastAsia="zh-CN"/>
              </w:rPr>
              <w:t>、</w:t>
            </w:r>
            <w:r>
              <w:rPr>
                <w:color w:val="auto"/>
                <w:highlight w:val="none"/>
                <w:lang w:eastAsia="zh-CN"/>
              </w:rPr>
              <w:t>8m/s</w:t>
            </w:r>
            <w:r>
              <w:rPr>
                <w:rFonts w:hint="eastAsia"/>
                <w:color w:val="auto"/>
                <w:highlight w:val="none"/>
                <w:lang w:eastAsia="zh-CN"/>
              </w:rPr>
              <w:t>）下的噪声值及每平方米漏风量的检测报告，检测数据须符合设计要求。</w:t>
            </w:r>
          </w:p>
          <w:p>
            <w:pPr>
              <w:rPr>
                <w:color w:val="auto"/>
                <w:highlight w:val="none"/>
                <w:lang w:eastAsia="zh-CN"/>
              </w:rPr>
            </w:pPr>
            <w:r>
              <w:rPr>
                <w:color w:val="auto"/>
                <w:highlight w:val="none"/>
                <w:lang w:eastAsia="zh-CN"/>
              </w:rPr>
              <w:t>8</w:t>
            </w:r>
            <w:r>
              <w:rPr>
                <w:rFonts w:hint="eastAsia"/>
                <w:color w:val="auto"/>
                <w:highlight w:val="none"/>
                <w:lang w:eastAsia="zh-CN"/>
              </w:rPr>
              <w:t>、电动或气动调节风阀的执行机构及联动装置的动作应可靠，其调节范围及指示角度应与阀板开启角度相一致。电动启闭阀、电动调节阀执行机构及联动装置动作可靠，调节范围为</w:t>
            </w:r>
            <w:r>
              <w:rPr>
                <w:color w:val="auto"/>
                <w:highlight w:val="none"/>
                <w:lang w:eastAsia="zh-CN"/>
              </w:rPr>
              <w:t>0%</w:t>
            </w:r>
            <w:r>
              <w:rPr>
                <w:rFonts w:hint="eastAsia"/>
                <w:color w:val="auto"/>
                <w:highlight w:val="none"/>
                <w:lang w:eastAsia="zh-CN"/>
              </w:rPr>
              <w:t>～</w:t>
            </w:r>
            <w:r>
              <w:rPr>
                <w:color w:val="auto"/>
                <w:highlight w:val="none"/>
                <w:lang w:eastAsia="zh-CN"/>
              </w:rPr>
              <w:t>100%</w:t>
            </w:r>
            <w:r>
              <w:rPr>
                <w:rFonts w:hint="eastAsia"/>
                <w:color w:val="auto"/>
                <w:highlight w:val="none"/>
                <w:lang w:eastAsia="zh-CN"/>
              </w:rPr>
              <w:t>模拟调节；调节指示角度与阀板开启角度一致；接受</w:t>
            </w:r>
            <w:r>
              <w:rPr>
                <w:color w:val="auto"/>
                <w:highlight w:val="none"/>
                <w:lang w:eastAsia="zh-CN"/>
              </w:rPr>
              <w:t>BA</w:t>
            </w:r>
            <w:r>
              <w:rPr>
                <w:rFonts w:hint="eastAsia"/>
                <w:color w:val="auto"/>
                <w:highlight w:val="none"/>
                <w:lang w:eastAsia="zh-CN"/>
              </w:rPr>
              <w:t>系统</w:t>
            </w:r>
            <w:r>
              <w:rPr>
                <w:color w:val="auto"/>
                <w:highlight w:val="none"/>
                <w:lang w:eastAsia="zh-CN"/>
              </w:rPr>
              <w:t>0</w:t>
            </w:r>
            <w:r>
              <w:rPr>
                <w:rFonts w:hint="eastAsia"/>
                <w:color w:val="auto"/>
                <w:highlight w:val="none"/>
                <w:lang w:eastAsia="zh-CN"/>
              </w:rPr>
              <w:t>～</w:t>
            </w:r>
            <w:r>
              <w:rPr>
                <w:color w:val="auto"/>
                <w:highlight w:val="none"/>
                <w:lang w:eastAsia="zh-CN"/>
              </w:rPr>
              <w:t>10V</w:t>
            </w:r>
            <w:r>
              <w:rPr>
                <w:rFonts w:hint="eastAsia"/>
                <w:color w:val="auto"/>
                <w:highlight w:val="none"/>
                <w:lang w:eastAsia="zh-CN"/>
              </w:rPr>
              <w:t>或</w:t>
            </w:r>
            <w:r>
              <w:rPr>
                <w:color w:val="auto"/>
                <w:highlight w:val="none"/>
                <w:lang w:eastAsia="zh-CN"/>
              </w:rPr>
              <w:t>4</w:t>
            </w:r>
            <w:r>
              <w:rPr>
                <w:rFonts w:hint="eastAsia"/>
                <w:color w:val="auto"/>
                <w:highlight w:val="none"/>
                <w:lang w:eastAsia="zh-CN"/>
              </w:rPr>
              <w:t>～</w:t>
            </w:r>
            <w:r>
              <w:rPr>
                <w:color w:val="auto"/>
                <w:highlight w:val="none"/>
                <w:lang w:eastAsia="zh-CN"/>
              </w:rPr>
              <w:t xml:space="preserve">20mA </w:t>
            </w:r>
            <w:r>
              <w:rPr>
                <w:rFonts w:hint="eastAsia"/>
                <w:color w:val="auto"/>
                <w:highlight w:val="none"/>
                <w:lang w:eastAsia="zh-CN"/>
              </w:rPr>
              <w:t>的模拟控制信号。执行机构扭矩自行计算。阀门全开时阻力系数＜</w:t>
            </w:r>
            <w:r>
              <w:rPr>
                <w:color w:val="auto"/>
                <w:highlight w:val="none"/>
                <w:lang w:eastAsia="zh-CN"/>
              </w:rPr>
              <w:t>0.4</w:t>
            </w:r>
            <w:r>
              <w:rPr>
                <w:rFonts w:hint="eastAsia"/>
                <w:color w:val="auto"/>
                <w:highlight w:val="none"/>
                <w:lang w:eastAsia="zh-CN"/>
              </w:rPr>
              <w:t>。耐火时间不低于</w:t>
            </w:r>
            <w:r>
              <w:rPr>
                <w:color w:val="auto"/>
                <w:highlight w:val="none"/>
                <w:lang w:eastAsia="zh-CN"/>
              </w:rPr>
              <w:t>1.5h</w:t>
            </w:r>
            <w:r>
              <w:rPr>
                <w:rFonts w:hint="eastAsia"/>
                <w:color w:val="auto"/>
                <w:highlight w:val="none"/>
                <w:lang w:eastAsia="zh-CN"/>
              </w:rPr>
              <w:t>。电动风阀均采用气密性风阀，气密性要求为：风阀前后压差≥</w:t>
            </w:r>
            <w:r>
              <w:rPr>
                <w:color w:val="auto"/>
                <w:highlight w:val="none"/>
                <w:lang w:eastAsia="zh-CN"/>
              </w:rPr>
              <w:t>300Pa</w:t>
            </w:r>
            <w:r>
              <w:rPr>
                <w:rFonts w:hint="eastAsia"/>
                <w:color w:val="auto"/>
                <w:highlight w:val="none"/>
                <w:lang w:eastAsia="zh-CN"/>
              </w:rPr>
              <w:t>时，漏风量≤</w:t>
            </w:r>
            <w:r>
              <w:rPr>
                <w:color w:val="auto"/>
                <w:highlight w:val="none"/>
                <w:lang w:eastAsia="zh-CN"/>
              </w:rPr>
              <w:t>220m</w:t>
            </w:r>
            <w:r>
              <w:rPr>
                <w:rFonts w:hint="eastAsia"/>
                <w:color w:val="auto"/>
                <w:highlight w:val="none"/>
                <w:lang w:eastAsia="zh-CN"/>
              </w:rPr>
              <w:t>³</w:t>
            </w:r>
            <w:r>
              <w:rPr>
                <w:color w:val="auto"/>
                <w:highlight w:val="none"/>
                <w:lang w:eastAsia="zh-CN"/>
              </w:rPr>
              <w:t>/</w:t>
            </w:r>
            <w:r>
              <w:rPr>
                <w:rFonts w:hint="eastAsia"/>
                <w:color w:val="auto"/>
                <w:highlight w:val="none"/>
                <w:lang w:eastAsia="zh-CN"/>
              </w:rPr>
              <w:t>（</w:t>
            </w:r>
            <w:r>
              <w:rPr>
                <w:color w:val="auto"/>
                <w:highlight w:val="none"/>
                <w:lang w:eastAsia="zh-CN"/>
              </w:rPr>
              <w:t>m</w:t>
            </w:r>
            <w:r>
              <w:rPr>
                <w:rFonts w:hint="eastAsia"/>
                <w:color w:val="auto"/>
                <w:highlight w:val="none"/>
                <w:lang w:eastAsia="zh-CN"/>
              </w:rPr>
              <w:t>²</w:t>
            </w:r>
            <w:r>
              <w:rPr>
                <w:color w:val="auto"/>
                <w:highlight w:val="none"/>
                <w:lang w:eastAsia="zh-CN"/>
              </w:rPr>
              <w:t>.h</w:t>
            </w:r>
            <w:r>
              <w:rPr>
                <w:rFonts w:hint="eastAsia"/>
                <w:color w:val="auto"/>
                <w:highlight w:val="none"/>
                <w:lang w:eastAsia="zh-CN"/>
              </w:rPr>
              <w:t>）。</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728" w:type="dxa"/>
            <w:vAlign w:val="center"/>
          </w:tcPr>
          <w:p>
            <w:pPr>
              <w:rPr>
                <w:color w:val="auto"/>
                <w:highlight w:val="none"/>
              </w:rPr>
            </w:pPr>
            <w:r>
              <w:rPr>
                <w:color w:val="auto"/>
                <w:highlight w:val="none"/>
              </w:rPr>
              <w:t>20</w:t>
            </w:r>
          </w:p>
        </w:tc>
        <w:tc>
          <w:tcPr>
            <w:tcW w:w="1260" w:type="dxa"/>
            <w:vAlign w:val="center"/>
          </w:tcPr>
          <w:p>
            <w:pPr>
              <w:rPr>
                <w:color w:val="auto"/>
                <w:highlight w:val="none"/>
              </w:rPr>
            </w:pPr>
            <w:r>
              <w:rPr>
                <w:rFonts w:hint="eastAsia"/>
                <w:color w:val="auto"/>
                <w:highlight w:val="none"/>
              </w:rPr>
              <w:t>消声器</w:t>
            </w:r>
          </w:p>
          <w:p>
            <w:pPr>
              <w:rPr>
                <w:color w:val="auto"/>
                <w:highlight w:val="none"/>
              </w:rPr>
            </w:pPr>
            <w:r>
              <w:rPr>
                <w:rFonts w:hint="eastAsia"/>
                <w:color w:val="auto"/>
                <w:highlight w:val="none"/>
              </w:rPr>
              <w:t>静压箱</w:t>
            </w:r>
          </w:p>
        </w:tc>
        <w:tc>
          <w:tcPr>
            <w:tcW w:w="7736" w:type="dxa"/>
            <w:vAlign w:val="center"/>
          </w:tcPr>
          <w:p>
            <w:pPr>
              <w:rPr>
                <w:color w:val="auto"/>
                <w:highlight w:val="none"/>
                <w:lang w:eastAsia="zh-CN"/>
              </w:rPr>
            </w:pPr>
            <w:r>
              <w:rPr>
                <w:rFonts w:hint="eastAsia"/>
                <w:color w:val="auto"/>
                <w:highlight w:val="none"/>
                <w:lang w:eastAsia="zh-CN"/>
              </w:rPr>
              <w:t>技术要求：</w:t>
            </w:r>
          </w:p>
          <w:p>
            <w:pPr>
              <w:rPr>
                <w:color w:val="auto"/>
                <w:highlight w:val="none"/>
                <w:lang w:eastAsia="zh-CN"/>
              </w:rPr>
            </w:pPr>
            <w:r>
              <w:rPr>
                <w:color w:val="auto"/>
                <w:highlight w:val="none"/>
                <w:lang w:eastAsia="zh-CN"/>
              </w:rPr>
              <w:t>1</w:t>
            </w:r>
            <w:r>
              <w:rPr>
                <w:rFonts w:hint="eastAsia"/>
                <w:color w:val="auto"/>
                <w:highlight w:val="none"/>
                <w:lang w:eastAsia="zh-CN"/>
              </w:rPr>
              <w:t>、消声设备的生产厂家必须具有不小于五年制造同类型产品的经验；</w:t>
            </w:r>
          </w:p>
          <w:p>
            <w:pPr>
              <w:rPr>
                <w:color w:val="auto"/>
                <w:highlight w:val="none"/>
                <w:lang w:eastAsia="zh-CN"/>
              </w:rPr>
            </w:pPr>
            <w:r>
              <w:rPr>
                <w:color w:val="auto"/>
                <w:highlight w:val="none"/>
                <w:lang w:eastAsia="zh-CN"/>
              </w:rPr>
              <w:t>2</w:t>
            </w:r>
            <w:r>
              <w:rPr>
                <w:rFonts w:hint="eastAsia"/>
                <w:color w:val="auto"/>
                <w:highlight w:val="none"/>
                <w:lang w:eastAsia="zh-CN"/>
              </w:rPr>
              <w:t>、每个消声设备须附有详细标明厂家的名称、设备的型号和标号及正常的气流方向指示的标志铭牌；</w:t>
            </w:r>
          </w:p>
          <w:p>
            <w:pPr>
              <w:rPr>
                <w:color w:val="auto"/>
                <w:highlight w:val="none"/>
                <w:lang w:eastAsia="zh-CN"/>
              </w:rPr>
            </w:pPr>
            <w:r>
              <w:rPr>
                <w:color w:val="auto"/>
                <w:highlight w:val="none"/>
                <w:lang w:eastAsia="zh-CN"/>
              </w:rPr>
              <w:t>3</w:t>
            </w:r>
            <w:r>
              <w:rPr>
                <w:rFonts w:hint="eastAsia"/>
                <w:color w:val="auto"/>
                <w:highlight w:val="none"/>
                <w:lang w:eastAsia="zh-CN"/>
              </w:rPr>
              <w:t>、所有消声设备应有不可燃的材料制成并能满足当地消防局的要求；</w:t>
            </w:r>
          </w:p>
          <w:p>
            <w:pPr>
              <w:rPr>
                <w:color w:val="auto"/>
                <w:highlight w:val="none"/>
                <w:lang w:eastAsia="zh-CN"/>
              </w:rPr>
            </w:pPr>
            <w:r>
              <w:rPr>
                <w:color w:val="auto"/>
                <w:highlight w:val="none"/>
                <w:lang w:eastAsia="zh-CN"/>
              </w:rPr>
              <w:t>4</w:t>
            </w:r>
            <w:r>
              <w:rPr>
                <w:rFonts w:hint="eastAsia"/>
                <w:color w:val="auto"/>
                <w:highlight w:val="none"/>
                <w:lang w:eastAsia="zh-CN"/>
              </w:rPr>
              <w:t>、内外壳采用优质镀锌钢板制作，外壳厚度不小于</w:t>
            </w:r>
            <w:r>
              <w:rPr>
                <w:color w:val="auto"/>
                <w:highlight w:val="none"/>
                <w:lang w:eastAsia="zh-CN"/>
              </w:rPr>
              <w:t>1.2mm</w:t>
            </w:r>
            <w:r>
              <w:rPr>
                <w:rFonts w:hint="eastAsia"/>
                <w:color w:val="auto"/>
                <w:highlight w:val="none"/>
                <w:lang w:eastAsia="zh-CN"/>
              </w:rPr>
              <w:t>；内衬镀锌穿孔板厚度不小于</w:t>
            </w:r>
            <w:r>
              <w:rPr>
                <w:color w:val="auto"/>
                <w:highlight w:val="none"/>
                <w:lang w:eastAsia="zh-CN"/>
              </w:rPr>
              <w:t>0.75 mm</w:t>
            </w:r>
            <w:r>
              <w:rPr>
                <w:rFonts w:hint="eastAsia"/>
                <w:color w:val="auto"/>
                <w:highlight w:val="none"/>
                <w:lang w:eastAsia="zh-CN"/>
              </w:rPr>
              <w:t>，穿孔孔径和穿孔率应符合设计要求。内外表面应平整，孔眼排列均匀，不得有毛刺；</w:t>
            </w:r>
          </w:p>
          <w:p>
            <w:pPr>
              <w:rPr>
                <w:color w:val="auto"/>
                <w:highlight w:val="none"/>
                <w:lang w:eastAsia="zh-CN"/>
              </w:rPr>
            </w:pPr>
            <w:r>
              <w:rPr>
                <w:color w:val="auto"/>
                <w:highlight w:val="none"/>
                <w:lang w:eastAsia="zh-CN"/>
              </w:rPr>
              <w:t>5</w:t>
            </w:r>
            <w:r>
              <w:rPr>
                <w:rFonts w:hint="eastAsia"/>
                <w:color w:val="auto"/>
                <w:highlight w:val="none"/>
                <w:lang w:eastAsia="zh-CN"/>
              </w:rPr>
              <w:t>、所选用的消声材料应符合设计规定的防火、防腐、防潮及卫生要求；填充的消声材料应按规定的密度均匀铺设，有防止下沉的措施，覆面层应均匀拉紧并有保护措施；</w:t>
            </w:r>
          </w:p>
          <w:p>
            <w:pPr>
              <w:rPr>
                <w:color w:val="auto"/>
                <w:highlight w:val="none"/>
                <w:lang w:eastAsia="zh-CN"/>
              </w:rPr>
            </w:pPr>
            <w:r>
              <w:rPr>
                <w:color w:val="auto"/>
                <w:highlight w:val="none"/>
                <w:lang w:eastAsia="zh-CN"/>
              </w:rPr>
              <w:t>6</w:t>
            </w:r>
            <w:r>
              <w:rPr>
                <w:rFonts w:hint="eastAsia"/>
                <w:color w:val="auto"/>
                <w:highlight w:val="none"/>
                <w:lang w:eastAsia="zh-CN"/>
              </w:rPr>
              <w:t>、具有足够的整体强度，不变形、不漏风。</w:t>
            </w:r>
          </w:p>
          <w:p>
            <w:pPr>
              <w:rPr>
                <w:color w:val="auto"/>
                <w:highlight w:val="none"/>
                <w:lang w:eastAsia="zh-CN"/>
              </w:rPr>
            </w:pPr>
            <w:r>
              <w:rPr>
                <w:color w:val="auto"/>
                <w:highlight w:val="none"/>
                <w:lang w:eastAsia="zh-CN"/>
              </w:rPr>
              <w:t>7</w:t>
            </w:r>
            <w:r>
              <w:rPr>
                <w:rFonts w:hint="eastAsia"/>
                <w:color w:val="auto"/>
                <w:highlight w:val="none"/>
                <w:lang w:eastAsia="zh-CN"/>
              </w:rPr>
              <w:t>、镀锌金属板的切割面和焊接点均须涂上高锌漆料；</w:t>
            </w:r>
          </w:p>
          <w:p>
            <w:pPr>
              <w:rPr>
                <w:color w:val="auto"/>
                <w:highlight w:val="none"/>
                <w:lang w:eastAsia="zh-CN"/>
              </w:rPr>
            </w:pPr>
            <w:r>
              <w:rPr>
                <w:color w:val="auto"/>
                <w:highlight w:val="none"/>
                <w:lang w:eastAsia="zh-CN"/>
              </w:rPr>
              <w:t>8</w:t>
            </w:r>
            <w:r>
              <w:rPr>
                <w:rFonts w:hint="eastAsia"/>
                <w:color w:val="auto"/>
                <w:highlight w:val="none"/>
                <w:lang w:eastAsia="zh-CN"/>
              </w:rPr>
              <w:t>、应用于室外的消声器须完全防风雨及经过防腐蚀处理。</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728" w:type="dxa"/>
            <w:vAlign w:val="center"/>
          </w:tcPr>
          <w:p>
            <w:pPr>
              <w:rPr>
                <w:color w:val="auto"/>
                <w:highlight w:val="none"/>
              </w:rPr>
            </w:pPr>
            <w:r>
              <w:rPr>
                <w:color w:val="auto"/>
                <w:highlight w:val="none"/>
              </w:rPr>
              <w:t>21</w:t>
            </w:r>
          </w:p>
        </w:tc>
        <w:tc>
          <w:tcPr>
            <w:tcW w:w="1260" w:type="dxa"/>
            <w:vAlign w:val="center"/>
          </w:tcPr>
          <w:p>
            <w:pPr>
              <w:rPr>
                <w:color w:val="auto"/>
                <w:highlight w:val="none"/>
                <w:lang w:eastAsia="zh-CN"/>
              </w:rPr>
            </w:pPr>
            <w:r>
              <w:rPr>
                <w:rFonts w:hint="eastAsia"/>
                <w:color w:val="auto"/>
                <w:highlight w:val="none"/>
                <w:lang w:eastAsia="zh-CN"/>
              </w:rPr>
              <w:t>风口</w:t>
            </w:r>
          </w:p>
          <w:p>
            <w:pPr>
              <w:rPr>
                <w:color w:val="auto"/>
                <w:highlight w:val="none"/>
                <w:lang w:eastAsia="zh-CN"/>
              </w:rPr>
            </w:pPr>
            <w:r>
              <w:rPr>
                <w:rFonts w:hint="eastAsia"/>
                <w:color w:val="auto"/>
                <w:highlight w:val="none"/>
                <w:lang w:eastAsia="zh-CN"/>
              </w:rPr>
              <w:t>（散流器、百叶风口）</w:t>
            </w:r>
          </w:p>
        </w:tc>
        <w:tc>
          <w:tcPr>
            <w:tcW w:w="7736" w:type="dxa"/>
            <w:vAlign w:val="center"/>
          </w:tcPr>
          <w:p>
            <w:pPr>
              <w:rPr>
                <w:color w:val="auto"/>
                <w:highlight w:val="none"/>
                <w:lang w:eastAsia="zh-CN"/>
              </w:rPr>
            </w:pPr>
            <w:r>
              <w:rPr>
                <w:rFonts w:hint="eastAsia"/>
                <w:color w:val="auto"/>
                <w:highlight w:val="none"/>
                <w:lang w:eastAsia="zh-CN"/>
              </w:rPr>
              <w:t>技术要求：</w:t>
            </w:r>
          </w:p>
          <w:p>
            <w:pPr>
              <w:rPr>
                <w:color w:val="auto"/>
                <w:highlight w:val="none"/>
                <w:lang w:eastAsia="zh-CN"/>
              </w:rPr>
            </w:pPr>
            <w:r>
              <w:rPr>
                <w:color w:val="auto"/>
                <w:highlight w:val="none"/>
                <w:lang w:eastAsia="zh-CN"/>
              </w:rPr>
              <w:t>1</w:t>
            </w:r>
            <w:r>
              <w:rPr>
                <w:rFonts w:hint="eastAsia"/>
                <w:color w:val="auto"/>
                <w:highlight w:val="none"/>
                <w:lang w:eastAsia="zh-CN"/>
              </w:rPr>
              <w:t>、各种形式的风口尺寸应符合设计要求。</w:t>
            </w:r>
          </w:p>
          <w:p>
            <w:pPr>
              <w:rPr>
                <w:color w:val="auto"/>
                <w:highlight w:val="none"/>
                <w:lang w:eastAsia="zh-CN"/>
              </w:rPr>
            </w:pPr>
            <w:r>
              <w:rPr>
                <w:color w:val="auto"/>
                <w:highlight w:val="none"/>
                <w:lang w:eastAsia="zh-CN"/>
              </w:rPr>
              <w:t>2</w:t>
            </w:r>
            <w:r>
              <w:rPr>
                <w:rFonts w:hint="eastAsia"/>
                <w:color w:val="auto"/>
                <w:highlight w:val="none"/>
                <w:lang w:eastAsia="zh-CN"/>
              </w:rPr>
              <w:t>、均采用铝合金材料，表面喷防腐涂料或经过阳极氧化处理，亚白色；风口产品应选用防腐性能好，易成型的材料制造，采用铝型材时，应符合</w:t>
            </w:r>
            <w:r>
              <w:rPr>
                <w:color w:val="auto"/>
                <w:highlight w:val="none"/>
                <w:lang w:eastAsia="zh-CN"/>
              </w:rPr>
              <w:t>GB5237-2004</w:t>
            </w:r>
            <w:r>
              <w:rPr>
                <w:rFonts w:hint="eastAsia"/>
                <w:color w:val="auto"/>
                <w:highlight w:val="none"/>
                <w:lang w:eastAsia="zh-CN"/>
              </w:rPr>
              <w:t>《</w:t>
            </w:r>
            <w:r>
              <w:rPr>
                <w:color w:val="auto"/>
                <w:highlight w:val="none"/>
                <w:lang w:eastAsia="zh-CN"/>
              </w:rPr>
              <w:t>&lt;</w:t>
            </w:r>
            <w:r>
              <w:rPr>
                <w:rFonts w:hint="eastAsia"/>
                <w:color w:val="auto"/>
                <w:highlight w:val="none"/>
                <w:lang w:eastAsia="zh-CN"/>
              </w:rPr>
              <w:t>铝合金建筑型材</w:t>
            </w:r>
            <w:r>
              <w:rPr>
                <w:color w:val="auto"/>
                <w:highlight w:val="none"/>
                <w:lang w:eastAsia="zh-CN"/>
              </w:rPr>
              <w:t>&gt;</w:t>
            </w:r>
            <w:r>
              <w:rPr>
                <w:rFonts w:hint="eastAsia"/>
                <w:color w:val="auto"/>
                <w:highlight w:val="none"/>
                <w:lang w:eastAsia="zh-CN"/>
              </w:rPr>
              <w:t>实施指南》的规定；采用钢材时，应符合</w:t>
            </w:r>
            <w:r>
              <w:rPr>
                <w:color w:val="auto"/>
                <w:highlight w:val="none"/>
                <w:lang w:eastAsia="zh-CN"/>
              </w:rPr>
              <w:t>GB11253-89</w:t>
            </w:r>
            <w:r>
              <w:rPr>
                <w:rFonts w:hint="eastAsia"/>
                <w:color w:val="auto"/>
                <w:highlight w:val="none"/>
                <w:lang w:eastAsia="zh-CN"/>
              </w:rPr>
              <w:t>《碳素结构钢和低合金结构钢冷轧薄板及钢带》的规定。</w:t>
            </w:r>
          </w:p>
          <w:p>
            <w:pPr>
              <w:rPr>
                <w:color w:val="auto"/>
                <w:highlight w:val="none"/>
                <w:lang w:eastAsia="zh-CN"/>
              </w:rPr>
            </w:pPr>
            <w:r>
              <w:rPr>
                <w:color w:val="auto"/>
                <w:highlight w:val="none"/>
                <w:lang w:eastAsia="zh-CN"/>
              </w:rPr>
              <w:t>3</w:t>
            </w:r>
            <w:r>
              <w:rPr>
                <w:rFonts w:hint="eastAsia"/>
                <w:color w:val="auto"/>
                <w:highlight w:val="none"/>
                <w:lang w:eastAsia="zh-CN"/>
              </w:rPr>
              <w:t>、各类风口的外框及导风叶片的材料厚度不得小于</w:t>
            </w:r>
            <w:r>
              <w:rPr>
                <w:color w:val="auto"/>
                <w:highlight w:val="none"/>
                <w:lang w:eastAsia="zh-CN"/>
              </w:rPr>
              <w:t>1.0mm</w:t>
            </w:r>
            <w:r>
              <w:rPr>
                <w:rFonts w:hint="eastAsia"/>
                <w:color w:val="auto"/>
                <w:highlight w:val="none"/>
                <w:lang w:eastAsia="zh-CN"/>
              </w:rPr>
              <w:t>，装饰面拼接严密平整，焊接牢固，焊点光滑。风口的转动调节部分应灵活，叶片应平直，同边框不得碰擦，定位后应无松动现象；</w:t>
            </w:r>
          </w:p>
          <w:p>
            <w:pPr>
              <w:rPr>
                <w:color w:val="auto"/>
                <w:highlight w:val="none"/>
                <w:lang w:eastAsia="zh-CN"/>
              </w:rPr>
            </w:pPr>
            <w:r>
              <w:rPr>
                <w:color w:val="auto"/>
                <w:highlight w:val="none"/>
                <w:lang w:eastAsia="zh-CN"/>
              </w:rPr>
              <w:t>4</w:t>
            </w:r>
            <w:r>
              <w:rPr>
                <w:rFonts w:hint="eastAsia"/>
                <w:color w:val="auto"/>
                <w:highlight w:val="none"/>
                <w:lang w:eastAsia="zh-CN"/>
              </w:rPr>
              <w:t>、百叶式风口的叶片间距应均匀；双层百叶风口上、下两层叶片应互相垂直，且自带调节阀；</w:t>
            </w:r>
          </w:p>
          <w:p>
            <w:pPr>
              <w:rPr>
                <w:color w:val="auto"/>
                <w:highlight w:val="none"/>
                <w:lang w:eastAsia="zh-CN"/>
              </w:rPr>
            </w:pPr>
            <w:r>
              <w:rPr>
                <w:color w:val="auto"/>
                <w:highlight w:val="none"/>
                <w:lang w:eastAsia="zh-CN"/>
              </w:rPr>
              <w:t>5</w:t>
            </w:r>
            <w:r>
              <w:rPr>
                <w:rFonts w:hint="eastAsia"/>
                <w:color w:val="auto"/>
                <w:highlight w:val="none"/>
                <w:lang w:eastAsia="zh-CN"/>
              </w:rPr>
              <w:t>、散流器的扩散环和调节环应同轴，径向间距分布应均匀；</w:t>
            </w:r>
          </w:p>
          <w:p>
            <w:pPr>
              <w:rPr>
                <w:color w:val="auto"/>
                <w:highlight w:val="none"/>
                <w:lang w:eastAsia="zh-CN"/>
              </w:rPr>
            </w:pPr>
            <w:r>
              <w:rPr>
                <w:color w:val="auto"/>
                <w:highlight w:val="none"/>
                <w:lang w:eastAsia="zh-CN"/>
              </w:rPr>
              <w:t>6</w:t>
            </w:r>
            <w:r>
              <w:rPr>
                <w:rFonts w:hint="eastAsia"/>
                <w:color w:val="auto"/>
                <w:highlight w:val="none"/>
                <w:lang w:eastAsia="zh-CN"/>
              </w:rPr>
              <w:t>、门铰式单层百叶回风口应自带</w:t>
            </w:r>
            <w:r>
              <w:rPr>
                <w:color w:val="auto"/>
                <w:highlight w:val="none"/>
                <w:lang w:eastAsia="zh-CN"/>
              </w:rPr>
              <w:t>NF</w:t>
            </w:r>
            <w:r>
              <w:rPr>
                <w:rFonts w:hint="eastAsia"/>
                <w:color w:val="auto"/>
                <w:highlight w:val="none"/>
                <w:lang w:eastAsia="zh-CN"/>
              </w:rPr>
              <w:t>尼龙双层过滤网，叶芯与外框用门铰连接，安装后可任意打开叶芯组件，更换风口过滤器。</w:t>
            </w:r>
            <w:r>
              <w:rPr>
                <w:color w:val="auto"/>
                <w:highlight w:val="none"/>
                <w:lang w:eastAsia="zh-CN"/>
              </w:rPr>
              <w:t xml:space="preserve"> </w:t>
            </w:r>
          </w:p>
          <w:p>
            <w:pPr>
              <w:rPr>
                <w:color w:val="auto"/>
                <w:highlight w:val="none"/>
                <w:lang w:eastAsia="zh-CN"/>
              </w:rPr>
            </w:pPr>
            <w:r>
              <w:rPr>
                <w:color w:val="auto"/>
                <w:highlight w:val="none"/>
                <w:lang w:eastAsia="zh-CN"/>
              </w:rPr>
              <w:t>7</w:t>
            </w:r>
            <w:r>
              <w:rPr>
                <w:rFonts w:hint="eastAsia"/>
                <w:color w:val="auto"/>
                <w:highlight w:val="none"/>
                <w:lang w:eastAsia="zh-CN"/>
              </w:rPr>
              <w:t>、防雨单层百叶风口应带镀锌铁丝网，采用直径</w:t>
            </w:r>
            <w:r>
              <w:rPr>
                <w:rFonts w:hint="eastAsia"/>
                <w:color w:val="auto"/>
                <w:highlight w:val="none"/>
              </w:rPr>
              <w:t>φ</w:t>
            </w:r>
            <w:r>
              <w:rPr>
                <w:color w:val="auto"/>
                <w:highlight w:val="none"/>
                <w:lang w:eastAsia="zh-CN"/>
              </w:rPr>
              <w:t>2mm</w:t>
            </w:r>
            <w:r>
              <w:rPr>
                <w:rFonts w:hint="eastAsia"/>
                <w:color w:val="auto"/>
                <w:highlight w:val="none"/>
                <w:lang w:eastAsia="zh-CN"/>
              </w:rPr>
              <w:t>，网孔为</w:t>
            </w:r>
            <w:r>
              <w:rPr>
                <w:color w:val="auto"/>
                <w:highlight w:val="none"/>
                <w:lang w:eastAsia="zh-CN"/>
              </w:rPr>
              <w:t>20 mm</w:t>
            </w:r>
            <w:r>
              <w:rPr>
                <w:rFonts w:hint="eastAsia"/>
                <w:color w:val="auto"/>
                <w:highlight w:val="none"/>
                <w:lang w:eastAsia="zh-CN"/>
              </w:rPr>
              <w:t>。</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728" w:type="dxa"/>
            <w:vAlign w:val="center"/>
          </w:tcPr>
          <w:p>
            <w:pPr>
              <w:rPr>
                <w:color w:val="auto"/>
                <w:highlight w:val="none"/>
              </w:rPr>
            </w:pPr>
            <w:r>
              <w:rPr>
                <w:color w:val="auto"/>
                <w:highlight w:val="none"/>
              </w:rPr>
              <w:t>22</w:t>
            </w:r>
          </w:p>
        </w:tc>
        <w:tc>
          <w:tcPr>
            <w:tcW w:w="1260" w:type="dxa"/>
            <w:vAlign w:val="center"/>
          </w:tcPr>
          <w:p>
            <w:pPr>
              <w:rPr>
                <w:color w:val="auto"/>
                <w:highlight w:val="none"/>
              </w:rPr>
            </w:pPr>
            <w:r>
              <w:rPr>
                <w:rFonts w:hint="eastAsia"/>
                <w:color w:val="auto"/>
                <w:highlight w:val="none"/>
              </w:rPr>
              <w:t>防火封堵</w:t>
            </w:r>
          </w:p>
        </w:tc>
        <w:tc>
          <w:tcPr>
            <w:tcW w:w="7736" w:type="dxa"/>
            <w:vAlign w:val="center"/>
          </w:tcPr>
          <w:p>
            <w:pPr>
              <w:rPr>
                <w:color w:val="auto"/>
                <w:highlight w:val="none"/>
                <w:lang w:eastAsia="zh-CN"/>
              </w:rPr>
            </w:pPr>
            <w:r>
              <w:rPr>
                <w:color w:val="auto"/>
                <w:highlight w:val="none"/>
                <w:lang w:eastAsia="zh-CN"/>
              </w:rPr>
              <w:t>1</w:t>
            </w:r>
            <w:r>
              <w:rPr>
                <w:rFonts w:hint="eastAsia"/>
                <w:color w:val="auto"/>
                <w:highlight w:val="none"/>
                <w:lang w:eastAsia="zh-CN"/>
              </w:rPr>
              <w:t>、生产制作严格按照《建筑防火封堵应用技术》</w:t>
            </w:r>
          </w:p>
          <w:p>
            <w:pPr>
              <w:rPr>
                <w:color w:val="auto"/>
                <w:highlight w:val="none"/>
                <w:lang w:eastAsia="zh-CN"/>
              </w:rPr>
            </w:pPr>
            <w:r>
              <w:rPr>
                <w:color w:val="auto"/>
                <w:highlight w:val="none"/>
                <w:lang w:eastAsia="zh-CN"/>
              </w:rPr>
              <w:t>2</w:t>
            </w:r>
            <w:r>
              <w:rPr>
                <w:rFonts w:hint="eastAsia"/>
                <w:color w:val="auto"/>
                <w:highlight w:val="none"/>
                <w:lang w:eastAsia="zh-CN"/>
              </w:rPr>
              <w:t>、</w:t>
            </w:r>
            <w:r>
              <w:rPr>
                <w:color w:val="auto"/>
                <w:highlight w:val="none"/>
                <w:lang w:eastAsia="zh-CN"/>
              </w:rPr>
              <w:t>CECS154:2003</w:t>
            </w:r>
            <w:r>
              <w:rPr>
                <w:rFonts w:hint="eastAsia"/>
                <w:color w:val="auto"/>
                <w:highlight w:val="none"/>
                <w:lang w:eastAsia="zh-CN"/>
              </w:rPr>
              <w:t>等国家有关规范标准进行。</w:t>
            </w:r>
          </w:p>
          <w:p>
            <w:pPr>
              <w:rPr>
                <w:color w:val="auto"/>
                <w:highlight w:val="none"/>
                <w:lang w:eastAsia="zh-CN"/>
              </w:rPr>
            </w:pPr>
            <w:r>
              <w:rPr>
                <w:color w:val="auto"/>
                <w:highlight w:val="none"/>
                <w:lang w:eastAsia="zh-CN"/>
              </w:rPr>
              <w:t>3</w:t>
            </w:r>
            <w:r>
              <w:rPr>
                <w:rFonts w:hint="eastAsia"/>
                <w:color w:val="auto"/>
                <w:highlight w:val="none"/>
                <w:lang w:eastAsia="zh-CN"/>
              </w:rPr>
              <w:t>、符合设计和施工说明及设备材料表参数规格要求。</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728" w:type="dxa"/>
            <w:vAlign w:val="center"/>
          </w:tcPr>
          <w:p>
            <w:pPr>
              <w:rPr>
                <w:color w:val="auto"/>
                <w:highlight w:val="none"/>
              </w:rPr>
            </w:pPr>
            <w:r>
              <w:rPr>
                <w:color w:val="auto"/>
                <w:highlight w:val="none"/>
              </w:rPr>
              <w:t>23</w:t>
            </w:r>
          </w:p>
        </w:tc>
        <w:tc>
          <w:tcPr>
            <w:tcW w:w="1260" w:type="dxa"/>
            <w:vAlign w:val="center"/>
          </w:tcPr>
          <w:p>
            <w:pPr>
              <w:tabs>
                <w:tab w:val="left" w:pos="1701"/>
              </w:tabs>
              <w:spacing w:after="120" w:line="360" w:lineRule="exact"/>
              <w:rPr>
                <w:color w:val="auto"/>
                <w:highlight w:val="none"/>
                <w:lang w:val="zh-CN"/>
              </w:rPr>
            </w:pPr>
            <w:r>
              <w:rPr>
                <w:color w:val="auto"/>
                <w:highlight w:val="none"/>
                <w:lang w:val="zh-CN"/>
              </w:rPr>
              <w:t>定风量阀</w:t>
            </w:r>
          </w:p>
        </w:tc>
        <w:tc>
          <w:tcPr>
            <w:tcW w:w="7736" w:type="dxa"/>
            <w:vAlign w:val="center"/>
          </w:tcPr>
          <w:p>
            <w:pPr>
              <w:spacing w:line="360" w:lineRule="exact"/>
              <w:rPr>
                <w:b/>
                <w:color w:val="auto"/>
                <w:highlight w:val="none"/>
                <w:lang w:val="zh-CN"/>
              </w:rPr>
            </w:pPr>
            <w:r>
              <w:rPr>
                <w:b/>
                <w:color w:val="auto"/>
                <w:highlight w:val="none"/>
                <w:lang w:val="zh-CN"/>
              </w:rPr>
              <w:t>技术要求</w:t>
            </w:r>
          </w:p>
          <w:p>
            <w:pPr>
              <w:keepLines w:val="0"/>
              <w:numPr>
                <w:ilvl w:val="0"/>
                <w:numId w:val="184"/>
              </w:numPr>
              <w:spacing w:line="360" w:lineRule="exact"/>
              <w:ind w:firstLine="0"/>
              <w:rPr>
                <w:color w:val="auto"/>
                <w:highlight w:val="none"/>
                <w:lang w:val="zh-CN" w:eastAsia="zh-CN"/>
              </w:rPr>
            </w:pPr>
            <w:r>
              <w:rPr>
                <w:color w:val="auto"/>
                <w:highlight w:val="none"/>
                <w:lang w:val="zh-CN" w:eastAsia="zh-CN"/>
              </w:rPr>
              <w:t>定风量调节阀用于通风系统管道中，起到恒定风量的作用。</w:t>
            </w:r>
          </w:p>
          <w:p>
            <w:pPr>
              <w:keepLines w:val="0"/>
              <w:numPr>
                <w:ilvl w:val="0"/>
                <w:numId w:val="184"/>
              </w:numPr>
              <w:spacing w:line="360" w:lineRule="exact"/>
              <w:ind w:firstLine="0"/>
              <w:rPr>
                <w:color w:val="auto"/>
                <w:highlight w:val="none"/>
                <w:lang w:val="zh-CN" w:eastAsia="zh-CN"/>
              </w:rPr>
            </w:pPr>
            <w:r>
              <w:rPr>
                <w:color w:val="auto"/>
                <w:highlight w:val="none"/>
                <w:lang w:val="zh-CN" w:eastAsia="zh-CN"/>
              </w:rPr>
              <w:t>定风量调节阀须为压力无关型风量调节阀，风阀可根据管道同的压力变化自动调整阀板开度，使通过定风量阀的风量维持在恒定值。</w:t>
            </w:r>
          </w:p>
          <w:p>
            <w:pPr>
              <w:keepLines w:val="0"/>
              <w:numPr>
                <w:ilvl w:val="0"/>
                <w:numId w:val="184"/>
              </w:numPr>
              <w:spacing w:line="360" w:lineRule="exact"/>
              <w:ind w:firstLine="0"/>
              <w:rPr>
                <w:color w:val="auto"/>
                <w:highlight w:val="none"/>
                <w:lang w:val="zh-CN" w:eastAsia="zh-CN"/>
              </w:rPr>
            </w:pPr>
            <w:r>
              <w:rPr>
                <w:color w:val="auto"/>
                <w:highlight w:val="none"/>
                <w:lang w:val="zh-CN" w:eastAsia="zh-CN"/>
              </w:rPr>
              <w:t>定风量调节阀由阀体、阀片、风量调节刻度盘等组成，通过机械结构自动调节阀片的开度，使得风量在风管压力变化的情况下还能恒定在设定值上。</w:t>
            </w:r>
          </w:p>
          <w:p>
            <w:pPr>
              <w:keepLines w:val="0"/>
              <w:numPr>
                <w:ilvl w:val="0"/>
                <w:numId w:val="184"/>
              </w:numPr>
              <w:spacing w:line="360" w:lineRule="exact"/>
              <w:ind w:firstLine="0"/>
              <w:rPr>
                <w:color w:val="auto"/>
                <w:highlight w:val="none"/>
                <w:lang w:val="zh-CN" w:eastAsia="zh-CN"/>
              </w:rPr>
            </w:pPr>
            <w:r>
              <w:rPr>
                <w:color w:val="auto"/>
                <w:highlight w:val="none"/>
                <w:lang w:val="zh-CN" w:eastAsia="zh-CN"/>
              </w:rPr>
              <w:t>定风量调节阀为全机械结构，无需外部供电即可保持风量恒定。</w:t>
            </w:r>
          </w:p>
          <w:p>
            <w:pPr>
              <w:keepLines w:val="0"/>
              <w:numPr>
                <w:ilvl w:val="0"/>
                <w:numId w:val="184"/>
              </w:numPr>
              <w:spacing w:line="360" w:lineRule="exact"/>
              <w:ind w:firstLine="0"/>
              <w:rPr>
                <w:color w:val="auto"/>
                <w:highlight w:val="none"/>
                <w:lang w:val="zh-CN" w:eastAsia="zh-CN"/>
              </w:rPr>
            </w:pPr>
            <w:r>
              <w:rPr>
                <w:color w:val="auto"/>
                <w:highlight w:val="none"/>
                <w:lang w:val="zh-CN" w:eastAsia="zh-CN"/>
              </w:rPr>
              <w:t>定风量调节阀外部须配有风量设定装置，并标明详细的风量调节范围，可以通过设定装置设定不同的定风量值，调节须简单可靠。</w:t>
            </w:r>
          </w:p>
          <w:p>
            <w:pPr>
              <w:keepLines w:val="0"/>
              <w:numPr>
                <w:ilvl w:val="0"/>
                <w:numId w:val="184"/>
              </w:numPr>
              <w:spacing w:line="360" w:lineRule="exact"/>
              <w:ind w:firstLine="0"/>
              <w:rPr>
                <w:color w:val="auto"/>
                <w:highlight w:val="none"/>
                <w:lang w:val="zh-CN" w:eastAsia="zh-CN"/>
              </w:rPr>
            </w:pPr>
            <w:r>
              <w:rPr>
                <w:color w:val="auto"/>
                <w:highlight w:val="none"/>
                <w:lang w:val="zh-CN" w:eastAsia="zh-CN"/>
              </w:rPr>
              <w:t>定风量调节阀可提供圆形及方形两种结构形式供选择。</w:t>
            </w:r>
          </w:p>
          <w:p>
            <w:pPr>
              <w:keepLines w:val="0"/>
              <w:numPr>
                <w:ilvl w:val="0"/>
                <w:numId w:val="184"/>
              </w:numPr>
              <w:spacing w:line="360" w:lineRule="exact"/>
              <w:ind w:firstLine="0"/>
              <w:rPr>
                <w:color w:val="auto"/>
                <w:highlight w:val="none"/>
                <w:lang w:val="zh-CN" w:eastAsia="zh-CN"/>
              </w:rPr>
            </w:pPr>
            <w:r>
              <w:rPr>
                <w:color w:val="auto"/>
                <w:highlight w:val="none"/>
                <w:lang w:val="zh-CN" w:eastAsia="zh-CN"/>
              </w:rPr>
              <w:t>定风量调节阀工作压差要求需满足50至1000Pa范围内使用。</w:t>
            </w:r>
          </w:p>
          <w:p>
            <w:pPr>
              <w:keepLines w:val="0"/>
              <w:numPr>
                <w:ilvl w:val="0"/>
                <w:numId w:val="184"/>
              </w:numPr>
              <w:spacing w:line="360" w:lineRule="exact"/>
              <w:ind w:firstLine="0"/>
              <w:rPr>
                <w:color w:val="auto"/>
                <w:highlight w:val="none"/>
                <w:lang w:val="zh-CN" w:eastAsia="zh-CN"/>
              </w:rPr>
            </w:pPr>
            <w:r>
              <w:rPr>
                <w:color w:val="auto"/>
                <w:highlight w:val="none"/>
                <w:lang w:val="zh-CN" w:eastAsia="zh-CN"/>
              </w:rPr>
              <w:t>定风量调节器的风量调节范围不得小于4：1（最大风量与最小风量之比）。</w:t>
            </w:r>
          </w:p>
          <w:p>
            <w:pPr>
              <w:keepLines w:val="0"/>
              <w:numPr>
                <w:ilvl w:val="0"/>
                <w:numId w:val="184"/>
              </w:numPr>
              <w:spacing w:line="360" w:lineRule="exact"/>
              <w:ind w:firstLine="0"/>
              <w:rPr>
                <w:color w:val="auto"/>
                <w:highlight w:val="none"/>
                <w:lang w:val="zh-CN" w:eastAsia="zh-CN"/>
              </w:rPr>
            </w:pPr>
            <w:r>
              <w:rPr>
                <w:color w:val="auto"/>
                <w:highlight w:val="none"/>
                <w:lang w:val="zh-CN" w:eastAsia="zh-CN"/>
              </w:rPr>
              <w:t>定风量调节阀需无特别的安装位置限制，无论垂直安装还是水平安装均可使用。</w:t>
            </w:r>
          </w:p>
          <w:p>
            <w:pPr>
              <w:keepLines w:val="0"/>
              <w:numPr>
                <w:ilvl w:val="0"/>
                <w:numId w:val="184"/>
              </w:numPr>
              <w:spacing w:line="360" w:lineRule="exact"/>
              <w:ind w:firstLine="0"/>
              <w:rPr>
                <w:color w:val="auto"/>
                <w:highlight w:val="none"/>
                <w:lang w:val="zh-CN" w:eastAsia="zh-CN"/>
              </w:rPr>
            </w:pPr>
            <w:r>
              <w:rPr>
                <w:color w:val="auto"/>
                <w:highlight w:val="none"/>
                <w:lang w:val="zh-CN" w:eastAsia="zh-CN"/>
              </w:rPr>
              <w:t>定风量调节阀风量控制精度必须要高，风量设定误差不大于5%。</w:t>
            </w:r>
          </w:p>
          <w:p>
            <w:pPr>
              <w:keepLines w:val="0"/>
              <w:numPr>
                <w:ilvl w:val="0"/>
                <w:numId w:val="184"/>
              </w:numPr>
              <w:tabs>
                <w:tab w:val="left" w:pos="540"/>
              </w:tabs>
              <w:spacing w:line="360" w:lineRule="exact"/>
              <w:ind w:left="540" w:firstLine="0"/>
              <w:rPr>
                <w:color w:val="auto"/>
                <w:highlight w:val="none"/>
                <w:lang w:val="zh-CN" w:eastAsia="zh-CN"/>
              </w:rPr>
            </w:pPr>
            <w:r>
              <w:rPr>
                <w:color w:val="auto"/>
                <w:highlight w:val="none"/>
                <w:lang w:val="zh-CN" w:eastAsia="zh-CN"/>
              </w:rPr>
              <w:t>定风量调节阀的阀体和阀板材料为</w:t>
            </w:r>
            <w:r>
              <w:rPr>
                <w:color w:val="auto"/>
                <w:highlight w:val="none"/>
                <w:u w:val="single"/>
                <w:lang w:val="zh-CN" w:eastAsia="zh-CN"/>
              </w:rPr>
              <w:t>镀锌钢板，厚度不小于1mm，轴承免维护</w:t>
            </w:r>
            <w:r>
              <w:rPr>
                <w:color w:val="auto"/>
                <w:highlight w:val="none"/>
                <w:lang w:val="zh-CN" w:eastAsia="zh-CN"/>
              </w:rPr>
              <w:t>，在常规的空调或通风系统中，使用寿命须不低于10年。</w:t>
            </w:r>
          </w:p>
          <w:p>
            <w:pPr>
              <w:keepLines w:val="0"/>
              <w:numPr>
                <w:ilvl w:val="0"/>
                <w:numId w:val="184"/>
              </w:numPr>
              <w:tabs>
                <w:tab w:val="left" w:pos="540"/>
              </w:tabs>
              <w:spacing w:line="360" w:lineRule="exact"/>
              <w:ind w:left="540" w:firstLine="0"/>
              <w:rPr>
                <w:color w:val="auto"/>
                <w:highlight w:val="none"/>
                <w:lang w:val="zh-CN" w:eastAsia="zh-CN"/>
              </w:rPr>
            </w:pPr>
            <w:r>
              <w:rPr>
                <w:color w:val="auto"/>
                <w:highlight w:val="none"/>
                <w:lang w:val="zh-CN" w:eastAsia="zh-CN"/>
              </w:rPr>
              <w:t>定风量调节阀生产厂家必须拥有风量标定测试台，每个定风量调节阀在出厂前都必须经过风量标定，以保证正常使用和风量控制的精确。</w:t>
            </w:r>
          </w:p>
          <w:p>
            <w:pPr>
              <w:keepLines w:val="0"/>
              <w:numPr>
                <w:ilvl w:val="0"/>
                <w:numId w:val="184"/>
              </w:numPr>
              <w:tabs>
                <w:tab w:val="left" w:pos="540"/>
              </w:tabs>
              <w:spacing w:line="360" w:lineRule="exact"/>
              <w:ind w:left="540" w:firstLine="0"/>
              <w:rPr>
                <w:color w:val="auto"/>
                <w:highlight w:val="none"/>
                <w:lang w:val="zh-CN" w:eastAsia="zh-CN"/>
              </w:rPr>
            </w:pPr>
            <w:r>
              <w:rPr>
                <w:color w:val="auto"/>
                <w:highlight w:val="none"/>
                <w:lang w:val="zh-CN" w:eastAsia="zh-CN"/>
              </w:rPr>
              <w:t>定风量调节阀的噪声必须维持在一定的限度内，必要时可加设消声器。所有的声学测试应在噪声回响室内测得，并列出风压在200Pa和500Pa时，不同频谱的噪声数据。</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728" w:type="dxa"/>
            <w:vAlign w:val="center"/>
          </w:tcPr>
          <w:p>
            <w:pPr>
              <w:rPr>
                <w:color w:val="auto"/>
                <w:highlight w:val="none"/>
              </w:rPr>
            </w:pPr>
            <w:r>
              <w:rPr>
                <w:color w:val="auto"/>
                <w:highlight w:val="none"/>
              </w:rPr>
              <w:t>24</w:t>
            </w:r>
          </w:p>
        </w:tc>
        <w:tc>
          <w:tcPr>
            <w:tcW w:w="1260" w:type="dxa"/>
            <w:vAlign w:val="center"/>
          </w:tcPr>
          <w:p>
            <w:pPr>
              <w:rPr>
                <w:color w:val="auto"/>
                <w:highlight w:val="none"/>
              </w:rPr>
            </w:pPr>
            <w:r>
              <w:rPr>
                <w:rFonts w:hint="eastAsia"/>
                <w:color w:val="auto"/>
                <w:highlight w:val="none"/>
              </w:rPr>
              <w:t>过滤器</w:t>
            </w:r>
            <w:r>
              <w:rPr>
                <w:color w:val="auto"/>
                <w:highlight w:val="none"/>
              </w:rPr>
              <w:t>(</w:t>
            </w:r>
            <w:r>
              <w:rPr>
                <w:rFonts w:hint="eastAsia"/>
                <w:color w:val="auto"/>
                <w:highlight w:val="none"/>
              </w:rPr>
              <w:t>初、中、高效</w:t>
            </w:r>
            <w:r>
              <w:rPr>
                <w:color w:val="auto"/>
                <w:highlight w:val="none"/>
              </w:rPr>
              <w:t>)</w:t>
            </w:r>
          </w:p>
        </w:tc>
        <w:tc>
          <w:tcPr>
            <w:tcW w:w="7736" w:type="dxa"/>
            <w:vAlign w:val="center"/>
          </w:tcPr>
          <w:p>
            <w:pPr>
              <w:rPr>
                <w:color w:val="auto"/>
                <w:highlight w:val="none"/>
                <w:lang w:eastAsia="zh-CN"/>
              </w:rPr>
            </w:pPr>
            <w:r>
              <w:rPr>
                <w:rFonts w:hint="eastAsia"/>
                <w:color w:val="auto"/>
                <w:highlight w:val="none"/>
                <w:lang w:eastAsia="zh-CN"/>
              </w:rPr>
              <w:t>中效过滤器：</w:t>
            </w:r>
          </w:p>
          <w:p>
            <w:pPr>
              <w:rPr>
                <w:color w:val="auto"/>
                <w:highlight w:val="none"/>
                <w:lang w:eastAsia="zh-CN"/>
              </w:rPr>
            </w:pPr>
            <w:r>
              <w:rPr>
                <w:color w:val="auto"/>
                <w:highlight w:val="none"/>
                <w:lang w:eastAsia="zh-CN"/>
              </w:rPr>
              <w:t>2</w:t>
            </w:r>
            <w:r>
              <w:rPr>
                <w:rFonts w:hint="eastAsia"/>
                <w:color w:val="auto"/>
                <w:highlight w:val="none"/>
                <w:lang w:eastAsia="zh-CN"/>
              </w:rPr>
              <w:t>、机组内使用的采用袋式中效过滤器，合成纤维材料；</w:t>
            </w:r>
          </w:p>
          <w:p>
            <w:pPr>
              <w:rPr>
                <w:color w:val="auto"/>
                <w:highlight w:val="none"/>
                <w:lang w:eastAsia="zh-CN"/>
              </w:rPr>
            </w:pPr>
            <w:r>
              <w:rPr>
                <w:color w:val="auto"/>
                <w:highlight w:val="none"/>
                <w:lang w:eastAsia="zh-CN"/>
              </w:rPr>
              <w:t>3</w:t>
            </w:r>
            <w:r>
              <w:rPr>
                <w:rFonts w:hint="eastAsia"/>
                <w:color w:val="auto"/>
                <w:highlight w:val="none"/>
                <w:lang w:eastAsia="zh-CN"/>
              </w:rPr>
              <w:t>、风口使用的采用板式中效，合成纤维材料；</w:t>
            </w:r>
          </w:p>
          <w:p>
            <w:pPr>
              <w:rPr>
                <w:color w:val="auto"/>
                <w:highlight w:val="none"/>
                <w:lang w:eastAsia="zh-CN"/>
              </w:rPr>
            </w:pPr>
            <w:r>
              <w:rPr>
                <w:color w:val="auto"/>
                <w:highlight w:val="none"/>
                <w:lang w:eastAsia="zh-CN"/>
              </w:rPr>
              <w:t>4</w:t>
            </w:r>
            <w:r>
              <w:rPr>
                <w:rFonts w:hint="eastAsia"/>
                <w:color w:val="auto"/>
                <w:highlight w:val="none"/>
                <w:lang w:eastAsia="zh-CN"/>
              </w:rPr>
              <w:t>、连续运行温度≤</w:t>
            </w:r>
            <w:r>
              <w:rPr>
                <w:color w:val="auto"/>
                <w:highlight w:val="none"/>
                <w:lang w:eastAsia="zh-CN"/>
              </w:rPr>
              <w:t>70</w:t>
            </w:r>
            <w:r>
              <w:rPr>
                <w:rFonts w:hint="eastAsia"/>
                <w:color w:val="auto"/>
                <w:highlight w:val="none"/>
                <w:lang w:eastAsia="zh-CN"/>
              </w:rPr>
              <w:t>℃；</w:t>
            </w:r>
          </w:p>
          <w:p>
            <w:pPr>
              <w:rPr>
                <w:color w:val="auto"/>
                <w:highlight w:val="none"/>
                <w:lang w:eastAsia="zh-CN"/>
              </w:rPr>
            </w:pPr>
            <w:r>
              <w:rPr>
                <w:color w:val="auto"/>
                <w:highlight w:val="none"/>
                <w:lang w:eastAsia="zh-CN"/>
              </w:rPr>
              <w:t>5</w:t>
            </w:r>
            <w:r>
              <w:rPr>
                <w:rFonts w:hint="eastAsia"/>
                <w:color w:val="auto"/>
                <w:highlight w:val="none"/>
                <w:lang w:eastAsia="zh-CN"/>
              </w:rPr>
              <w:t>、耐湿性能：≤</w:t>
            </w:r>
            <w:r>
              <w:rPr>
                <w:color w:val="auto"/>
                <w:highlight w:val="none"/>
                <w:lang w:eastAsia="zh-CN"/>
              </w:rPr>
              <w:t>95% RH</w:t>
            </w:r>
            <w:r>
              <w:rPr>
                <w:rFonts w:hint="eastAsia"/>
                <w:color w:val="auto"/>
                <w:highlight w:val="none"/>
                <w:lang w:eastAsia="zh-CN"/>
              </w:rPr>
              <w:t>；</w:t>
            </w:r>
          </w:p>
          <w:p>
            <w:pPr>
              <w:rPr>
                <w:color w:val="auto"/>
                <w:highlight w:val="none"/>
                <w:lang w:eastAsia="zh-CN"/>
              </w:rPr>
            </w:pPr>
            <w:r>
              <w:rPr>
                <w:color w:val="auto"/>
                <w:highlight w:val="none"/>
                <w:lang w:eastAsia="zh-CN"/>
              </w:rPr>
              <w:t>6</w:t>
            </w:r>
            <w:r>
              <w:rPr>
                <w:rFonts w:hint="eastAsia"/>
                <w:color w:val="auto"/>
                <w:highlight w:val="none"/>
                <w:lang w:eastAsia="zh-CN"/>
              </w:rPr>
              <w:t>、初阻力：小于</w:t>
            </w:r>
            <w:r>
              <w:rPr>
                <w:color w:val="auto"/>
                <w:highlight w:val="none"/>
                <w:lang w:eastAsia="zh-CN"/>
              </w:rPr>
              <w:t>150Pa</w:t>
            </w:r>
            <w:r>
              <w:rPr>
                <w:rFonts w:hint="eastAsia"/>
                <w:color w:val="auto"/>
                <w:highlight w:val="none"/>
                <w:lang w:eastAsia="zh-CN"/>
              </w:rPr>
              <w:t>，终阻力按照实际运行调试后设定，应不大于</w:t>
            </w:r>
            <w:r>
              <w:rPr>
                <w:color w:val="auto"/>
                <w:highlight w:val="none"/>
                <w:lang w:eastAsia="zh-CN"/>
              </w:rPr>
              <w:t>300Pa</w:t>
            </w:r>
            <w:r>
              <w:rPr>
                <w:rFonts w:hint="eastAsia"/>
                <w:color w:val="auto"/>
                <w:highlight w:val="none"/>
                <w:lang w:eastAsia="zh-CN"/>
              </w:rPr>
              <w:t>。</w:t>
            </w:r>
          </w:p>
          <w:p>
            <w:pPr>
              <w:rPr>
                <w:color w:val="auto"/>
                <w:highlight w:val="none"/>
                <w:lang w:eastAsia="zh-CN"/>
              </w:rPr>
            </w:pPr>
            <w:r>
              <w:rPr>
                <w:rFonts w:hint="eastAsia"/>
                <w:color w:val="auto"/>
                <w:highlight w:val="none"/>
                <w:lang w:eastAsia="zh-CN"/>
              </w:rPr>
              <w:t>高效过滤器：</w:t>
            </w:r>
          </w:p>
          <w:p>
            <w:pPr>
              <w:rPr>
                <w:color w:val="auto"/>
                <w:highlight w:val="none"/>
                <w:lang w:eastAsia="zh-CN"/>
              </w:rPr>
            </w:pPr>
            <w:r>
              <w:rPr>
                <w:color w:val="auto"/>
                <w:highlight w:val="none"/>
                <w:lang w:eastAsia="zh-CN"/>
              </w:rPr>
              <w:t>2</w:t>
            </w:r>
            <w:r>
              <w:rPr>
                <w:rFonts w:hint="eastAsia"/>
                <w:color w:val="auto"/>
                <w:highlight w:val="none"/>
                <w:lang w:eastAsia="zh-CN"/>
              </w:rPr>
              <w:t>、采用无隔板式结构、玻璃纤维滤纸；</w:t>
            </w:r>
          </w:p>
          <w:p>
            <w:pPr>
              <w:rPr>
                <w:color w:val="auto"/>
                <w:highlight w:val="none"/>
                <w:lang w:eastAsia="zh-CN"/>
              </w:rPr>
            </w:pPr>
            <w:r>
              <w:rPr>
                <w:color w:val="auto"/>
                <w:highlight w:val="none"/>
                <w:lang w:eastAsia="zh-CN"/>
              </w:rPr>
              <w:t>3</w:t>
            </w:r>
            <w:r>
              <w:rPr>
                <w:rFonts w:hint="eastAsia"/>
                <w:color w:val="auto"/>
                <w:highlight w:val="none"/>
                <w:lang w:eastAsia="zh-CN"/>
              </w:rPr>
              <w:t>、采用一体注塑无接缝聚氨酯密封垫、聚氨酯密封胶；</w:t>
            </w:r>
          </w:p>
          <w:p>
            <w:pPr>
              <w:rPr>
                <w:color w:val="auto"/>
                <w:highlight w:val="none"/>
                <w:lang w:eastAsia="zh-CN"/>
              </w:rPr>
            </w:pPr>
            <w:r>
              <w:rPr>
                <w:color w:val="auto"/>
                <w:highlight w:val="none"/>
                <w:lang w:eastAsia="zh-CN"/>
              </w:rPr>
              <w:t>4</w:t>
            </w:r>
            <w:r>
              <w:rPr>
                <w:rFonts w:hint="eastAsia"/>
                <w:color w:val="auto"/>
                <w:highlight w:val="none"/>
                <w:lang w:eastAsia="zh-CN"/>
              </w:rPr>
              <w:t>、要求每个过滤器出厂前均应经过效率及检漏测试，并能提供独立的监测报告；</w:t>
            </w:r>
          </w:p>
          <w:p>
            <w:pPr>
              <w:rPr>
                <w:color w:val="auto"/>
                <w:highlight w:val="none"/>
                <w:lang w:eastAsia="zh-CN"/>
              </w:rPr>
            </w:pPr>
            <w:r>
              <w:rPr>
                <w:color w:val="auto"/>
                <w:highlight w:val="none"/>
                <w:lang w:eastAsia="zh-CN"/>
              </w:rPr>
              <w:t>5</w:t>
            </w:r>
            <w:r>
              <w:rPr>
                <w:rFonts w:hint="eastAsia"/>
                <w:color w:val="auto"/>
                <w:highlight w:val="none"/>
                <w:lang w:eastAsia="zh-CN"/>
              </w:rPr>
              <w:t>、过滤效率：</w:t>
            </w:r>
            <w:r>
              <w:rPr>
                <w:color w:val="auto"/>
                <w:highlight w:val="none"/>
                <w:lang w:eastAsia="zh-CN"/>
              </w:rPr>
              <w:t>H13</w:t>
            </w:r>
            <w:r>
              <w:rPr>
                <w:rFonts w:hint="eastAsia"/>
                <w:color w:val="auto"/>
                <w:highlight w:val="none"/>
                <w:lang w:eastAsia="zh-CN"/>
              </w:rPr>
              <w:t>（</w:t>
            </w:r>
            <w:r>
              <w:rPr>
                <w:color w:val="auto"/>
                <w:highlight w:val="none"/>
                <w:lang w:eastAsia="zh-CN"/>
              </w:rPr>
              <w:t>MPPS</w:t>
            </w:r>
            <w:r>
              <w:rPr>
                <w:rFonts w:hint="eastAsia"/>
                <w:color w:val="auto"/>
                <w:highlight w:val="none"/>
                <w:lang w:eastAsia="zh-CN"/>
              </w:rPr>
              <w:t>），同时应符合设计要求；</w:t>
            </w:r>
          </w:p>
          <w:p>
            <w:pPr>
              <w:rPr>
                <w:color w:val="auto"/>
                <w:highlight w:val="none"/>
                <w:lang w:eastAsia="zh-CN"/>
              </w:rPr>
            </w:pPr>
            <w:r>
              <w:rPr>
                <w:color w:val="auto"/>
                <w:highlight w:val="none"/>
                <w:lang w:eastAsia="zh-CN"/>
              </w:rPr>
              <w:t>6</w:t>
            </w:r>
            <w:r>
              <w:rPr>
                <w:rFonts w:hint="eastAsia"/>
                <w:color w:val="auto"/>
                <w:highlight w:val="none"/>
                <w:lang w:eastAsia="zh-CN"/>
              </w:rPr>
              <w:t>、初阻力：小于</w:t>
            </w:r>
            <w:r>
              <w:rPr>
                <w:color w:val="auto"/>
                <w:highlight w:val="none"/>
                <w:lang w:eastAsia="zh-CN"/>
              </w:rPr>
              <w:t>250Pa</w:t>
            </w:r>
            <w:r>
              <w:rPr>
                <w:rFonts w:hint="eastAsia"/>
                <w:color w:val="auto"/>
                <w:highlight w:val="none"/>
                <w:lang w:eastAsia="zh-CN"/>
              </w:rPr>
              <w:t>，终阻力按照实际运行调试后设定，应不大于</w:t>
            </w:r>
            <w:r>
              <w:rPr>
                <w:color w:val="auto"/>
                <w:highlight w:val="none"/>
                <w:lang w:eastAsia="zh-CN"/>
              </w:rPr>
              <w:t>500Pa</w:t>
            </w:r>
            <w:r>
              <w:rPr>
                <w:rFonts w:hint="eastAsia"/>
                <w:color w:val="auto"/>
                <w:highlight w:val="none"/>
                <w:lang w:eastAsia="zh-CN"/>
              </w:rPr>
              <w:t>。</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728" w:type="dxa"/>
            <w:vAlign w:val="center"/>
          </w:tcPr>
          <w:p>
            <w:pPr>
              <w:rPr>
                <w:color w:val="auto"/>
                <w:highlight w:val="none"/>
              </w:rPr>
            </w:pPr>
            <w:r>
              <w:rPr>
                <w:color w:val="auto"/>
                <w:highlight w:val="none"/>
              </w:rPr>
              <w:t>25</w:t>
            </w:r>
          </w:p>
        </w:tc>
        <w:tc>
          <w:tcPr>
            <w:tcW w:w="1260" w:type="dxa"/>
            <w:vAlign w:val="center"/>
          </w:tcPr>
          <w:p>
            <w:pPr>
              <w:tabs>
                <w:tab w:val="left" w:pos="1701"/>
              </w:tabs>
              <w:spacing w:after="120" w:line="360" w:lineRule="exact"/>
              <w:rPr>
                <w:color w:val="auto"/>
                <w:highlight w:val="none"/>
                <w:lang w:val="zh-CN"/>
              </w:rPr>
            </w:pPr>
            <w:r>
              <w:rPr>
                <w:rFonts w:hint="eastAsia"/>
                <w:color w:val="auto"/>
                <w:highlight w:val="none"/>
                <w:lang w:val="zh-CN"/>
              </w:rPr>
              <w:t>加湿器</w:t>
            </w:r>
          </w:p>
        </w:tc>
        <w:tc>
          <w:tcPr>
            <w:tcW w:w="7736" w:type="dxa"/>
            <w:vAlign w:val="center"/>
          </w:tcPr>
          <w:p>
            <w:pPr>
              <w:spacing w:line="360" w:lineRule="exact"/>
              <w:rPr>
                <w:color w:val="auto"/>
                <w:highlight w:val="none"/>
                <w:lang w:val="zh-CN" w:eastAsia="zh-CN"/>
              </w:rPr>
            </w:pPr>
            <w:r>
              <w:rPr>
                <w:rFonts w:hint="eastAsia"/>
                <w:color w:val="auto"/>
                <w:highlight w:val="none"/>
                <w:lang w:val="zh-CN" w:eastAsia="zh-CN"/>
              </w:rPr>
              <w:t>电热</w:t>
            </w:r>
            <w:r>
              <w:rPr>
                <w:color w:val="auto"/>
                <w:highlight w:val="none"/>
                <w:lang w:val="zh-CN" w:eastAsia="zh-CN"/>
              </w:rPr>
              <w:t>加湿</w:t>
            </w:r>
            <w:r>
              <w:rPr>
                <w:rFonts w:hint="eastAsia"/>
                <w:color w:val="auto"/>
                <w:highlight w:val="none"/>
                <w:lang w:val="zh-CN" w:eastAsia="zh-CN"/>
              </w:rPr>
              <w:t>技术</w:t>
            </w:r>
            <w:r>
              <w:rPr>
                <w:color w:val="auto"/>
                <w:highlight w:val="none"/>
                <w:lang w:val="zh-CN" w:eastAsia="zh-CN"/>
              </w:rPr>
              <w:t>要求：</w:t>
            </w:r>
          </w:p>
          <w:p>
            <w:pPr>
              <w:spacing w:line="360" w:lineRule="exact"/>
              <w:rPr>
                <w:color w:val="auto"/>
                <w:highlight w:val="none"/>
                <w:lang w:val="zh-CN" w:eastAsia="zh-CN"/>
              </w:rPr>
            </w:pPr>
            <w:r>
              <w:rPr>
                <w:color w:val="auto"/>
                <w:highlight w:val="none"/>
                <w:lang w:val="zh-CN" w:eastAsia="zh-CN"/>
              </w:rPr>
              <w:t>1.</w:t>
            </w:r>
            <w:r>
              <w:rPr>
                <w:rFonts w:hint="eastAsia"/>
                <w:color w:val="auto"/>
                <w:highlight w:val="none"/>
                <w:lang w:val="zh-CN" w:eastAsia="zh-CN"/>
              </w:rPr>
              <w:t>设备要求可以</w:t>
            </w:r>
            <w:r>
              <w:rPr>
                <w:color w:val="auto"/>
                <w:highlight w:val="none"/>
                <w:lang w:val="zh-CN" w:eastAsia="zh-CN"/>
              </w:rPr>
              <w:t>24</w:t>
            </w:r>
            <w:r>
              <w:rPr>
                <w:rFonts w:hint="eastAsia"/>
                <w:color w:val="auto"/>
                <w:highlight w:val="none"/>
                <w:lang w:val="zh-CN" w:eastAsia="zh-CN"/>
              </w:rPr>
              <w:t>小时连续运行，每年不少于</w:t>
            </w:r>
            <w:r>
              <w:rPr>
                <w:color w:val="auto"/>
                <w:highlight w:val="none"/>
                <w:lang w:val="zh-CN" w:eastAsia="zh-CN"/>
              </w:rPr>
              <w:t>300</w:t>
            </w:r>
            <w:r>
              <w:rPr>
                <w:rFonts w:hint="eastAsia"/>
                <w:color w:val="auto"/>
                <w:highlight w:val="none"/>
                <w:lang w:val="zh-CN" w:eastAsia="zh-CN"/>
              </w:rPr>
              <w:t>天，整机使用寿命应大于</w:t>
            </w:r>
            <w:r>
              <w:rPr>
                <w:color w:val="auto"/>
                <w:highlight w:val="none"/>
                <w:lang w:val="zh-CN" w:eastAsia="zh-CN"/>
              </w:rPr>
              <w:t>8</w:t>
            </w:r>
            <w:r>
              <w:rPr>
                <w:rFonts w:hint="eastAsia"/>
                <w:color w:val="auto"/>
                <w:highlight w:val="none"/>
                <w:lang w:val="zh-CN" w:eastAsia="zh-CN"/>
              </w:rPr>
              <w:t>年以上。；</w:t>
            </w:r>
          </w:p>
          <w:p>
            <w:pPr>
              <w:spacing w:line="360" w:lineRule="exact"/>
              <w:rPr>
                <w:color w:val="auto"/>
                <w:highlight w:val="none"/>
                <w:lang w:val="zh-CN" w:eastAsia="zh-CN"/>
              </w:rPr>
            </w:pPr>
            <w:r>
              <w:rPr>
                <w:color w:val="auto"/>
                <w:highlight w:val="none"/>
                <w:lang w:val="zh-CN" w:eastAsia="zh-CN"/>
              </w:rPr>
              <w:t>2</w:t>
            </w:r>
            <w:r>
              <w:rPr>
                <w:rFonts w:hint="eastAsia"/>
                <w:color w:val="auto"/>
                <w:highlight w:val="none"/>
                <w:lang w:val="zh-CN" w:eastAsia="zh-CN"/>
              </w:rPr>
              <w:t>．加湿器必须是</w:t>
            </w:r>
            <w:r>
              <w:rPr>
                <w:color w:val="auto"/>
                <w:highlight w:val="none"/>
                <w:lang w:val="zh-CN" w:eastAsia="zh-CN"/>
              </w:rPr>
              <w:t>0-100%</w:t>
            </w:r>
            <w:r>
              <w:rPr>
                <w:rFonts w:hint="eastAsia"/>
                <w:color w:val="auto"/>
                <w:highlight w:val="none"/>
                <w:lang w:val="zh-CN" w:eastAsia="zh-CN"/>
              </w:rPr>
              <w:t>连续可调节控制，可接收中控室</w:t>
            </w:r>
            <w:r>
              <w:rPr>
                <w:color w:val="auto"/>
                <w:highlight w:val="none"/>
                <w:lang w:val="zh-CN" w:eastAsia="zh-CN"/>
              </w:rPr>
              <w:t>0-10V/4-20mA</w:t>
            </w:r>
            <w:r>
              <w:rPr>
                <w:rFonts w:hint="eastAsia"/>
                <w:color w:val="auto"/>
                <w:highlight w:val="none"/>
                <w:lang w:val="zh-CN" w:eastAsia="zh-CN"/>
              </w:rPr>
              <w:t>加湿量比例调节信号的控制；</w:t>
            </w:r>
          </w:p>
          <w:p>
            <w:pPr>
              <w:spacing w:line="360" w:lineRule="exact"/>
              <w:rPr>
                <w:color w:val="auto"/>
                <w:highlight w:val="none"/>
                <w:lang w:val="zh-CN" w:eastAsia="zh-CN"/>
              </w:rPr>
            </w:pPr>
            <w:r>
              <w:rPr>
                <w:color w:val="auto"/>
                <w:highlight w:val="none"/>
                <w:lang w:val="zh-CN" w:eastAsia="zh-CN"/>
              </w:rPr>
              <w:t>3</w:t>
            </w:r>
            <w:r>
              <w:rPr>
                <w:rFonts w:hint="eastAsia"/>
                <w:color w:val="auto"/>
                <w:highlight w:val="none"/>
                <w:lang w:val="zh-CN" w:eastAsia="zh-CN"/>
              </w:rPr>
              <w:t>．加湿器应配有微电脑液晶控制器；</w:t>
            </w:r>
          </w:p>
          <w:p>
            <w:pPr>
              <w:spacing w:line="360" w:lineRule="exact"/>
              <w:rPr>
                <w:color w:val="auto"/>
                <w:highlight w:val="none"/>
                <w:lang w:val="zh-CN" w:eastAsia="zh-CN"/>
              </w:rPr>
            </w:pPr>
            <w:r>
              <w:rPr>
                <w:rFonts w:hint="eastAsia"/>
                <w:color w:val="auto"/>
                <w:highlight w:val="none"/>
                <w:lang w:val="zh-CN" w:eastAsia="zh-CN"/>
              </w:rPr>
              <w:t>①可自动进行水位的精确小流量补给，确保蒸汽输出波动小于±</w:t>
            </w:r>
            <w:r>
              <w:rPr>
                <w:color w:val="auto"/>
                <w:highlight w:val="none"/>
                <w:lang w:val="zh-CN" w:eastAsia="zh-CN"/>
              </w:rPr>
              <w:t>3%</w:t>
            </w:r>
            <w:r>
              <w:rPr>
                <w:rFonts w:hint="eastAsia"/>
                <w:color w:val="auto"/>
                <w:highlight w:val="none"/>
                <w:lang w:val="zh-CN" w:eastAsia="zh-CN"/>
              </w:rPr>
              <w:t>；</w:t>
            </w:r>
          </w:p>
          <w:p>
            <w:pPr>
              <w:spacing w:line="360" w:lineRule="exact"/>
              <w:rPr>
                <w:color w:val="auto"/>
                <w:highlight w:val="none"/>
                <w:lang w:val="zh-CN" w:eastAsia="zh-CN"/>
              </w:rPr>
            </w:pPr>
            <w:r>
              <w:rPr>
                <w:rFonts w:hint="eastAsia"/>
                <w:color w:val="auto"/>
                <w:highlight w:val="none"/>
                <w:lang w:val="zh-CN" w:eastAsia="zh-CN"/>
              </w:rPr>
              <w:t>②可自动进行排水排污功能，确保高温蒸发箱体内水质卫生，</w:t>
            </w:r>
            <w:r>
              <w:rPr>
                <w:color w:val="auto"/>
                <w:highlight w:val="none"/>
                <w:lang w:val="zh-CN" w:eastAsia="zh-CN"/>
              </w:rPr>
              <w:t>PH</w:t>
            </w:r>
            <w:r>
              <w:rPr>
                <w:rFonts w:hint="eastAsia"/>
                <w:color w:val="auto"/>
                <w:highlight w:val="none"/>
                <w:lang w:val="zh-CN" w:eastAsia="zh-CN"/>
              </w:rPr>
              <w:t>值在</w:t>
            </w:r>
            <w:r>
              <w:rPr>
                <w:color w:val="auto"/>
                <w:highlight w:val="none"/>
                <w:lang w:val="zh-CN" w:eastAsia="zh-CN"/>
              </w:rPr>
              <w:t>7</w:t>
            </w:r>
            <w:r>
              <w:rPr>
                <w:rFonts w:hint="eastAsia"/>
                <w:color w:val="auto"/>
                <w:highlight w:val="none"/>
                <w:lang w:val="zh-CN" w:eastAsia="zh-CN"/>
              </w:rPr>
              <w:t>左右，防止酸性或碱性蒸汽的输出；</w:t>
            </w:r>
          </w:p>
          <w:p>
            <w:pPr>
              <w:spacing w:line="360" w:lineRule="exact"/>
              <w:rPr>
                <w:color w:val="auto"/>
                <w:highlight w:val="none"/>
                <w:lang w:val="zh-CN" w:eastAsia="zh-CN"/>
              </w:rPr>
            </w:pPr>
            <w:r>
              <w:rPr>
                <w:rFonts w:hint="eastAsia"/>
                <w:color w:val="auto"/>
                <w:highlight w:val="none"/>
                <w:lang w:val="zh-CN" w:eastAsia="zh-CN"/>
              </w:rPr>
              <w:t>③可面板设定各种参数，实现系统的全自动化运行；</w:t>
            </w:r>
          </w:p>
          <w:p>
            <w:pPr>
              <w:spacing w:line="360" w:lineRule="exact"/>
              <w:rPr>
                <w:color w:val="auto"/>
                <w:highlight w:val="none"/>
                <w:lang w:val="zh-CN" w:eastAsia="zh-CN"/>
              </w:rPr>
            </w:pPr>
            <w:r>
              <w:rPr>
                <w:color w:val="auto"/>
                <w:highlight w:val="none"/>
                <w:lang w:val="zh-CN" w:eastAsia="zh-CN"/>
              </w:rPr>
              <w:t>4.</w:t>
            </w:r>
            <w:r>
              <w:rPr>
                <w:rFonts w:hint="eastAsia"/>
                <w:color w:val="auto"/>
                <w:highlight w:val="none"/>
                <w:lang w:val="zh-CN" w:eastAsia="zh-CN"/>
              </w:rPr>
              <w:t>加湿器必须具有双湿控制功能，不仅可以接收中控室加湿比例调节信号的控制，还必须可以接收送风管道高湿传感器</w:t>
            </w:r>
            <w:r>
              <w:rPr>
                <w:color w:val="auto"/>
                <w:highlight w:val="none"/>
                <w:lang w:val="zh-CN" w:eastAsia="zh-CN"/>
              </w:rPr>
              <w:t>0-10V/4-20mA</w:t>
            </w:r>
            <w:r>
              <w:rPr>
                <w:rFonts w:hint="eastAsia"/>
                <w:color w:val="auto"/>
                <w:highlight w:val="none"/>
                <w:lang w:val="zh-CN" w:eastAsia="zh-CN"/>
              </w:rPr>
              <w:t>高湿信号控制，通过微电脑控制器，有效地防止送风管道送风湿度过大而造成的超湿滴水问题；</w:t>
            </w:r>
          </w:p>
          <w:p>
            <w:pPr>
              <w:spacing w:line="360" w:lineRule="exact"/>
              <w:rPr>
                <w:color w:val="auto"/>
                <w:highlight w:val="none"/>
                <w:lang w:val="zh-CN" w:eastAsia="zh-CN"/>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728" w:type="dxa"/>
            <w:vAlign w:val="center"/>
          </w:tcPr>
          <w:p>
            <w:pPr>
              <w:rPr>
                <w:color w:val="auto"/>
                <w:highlight w:val="none"/>
              </w:rPr>
            </w:pPr>
            <w:r>
              <w:rPr>
                <w:color w:val="auto"/>
                <w:highlight w:val="none"/>
              </w:rPr>
              <w:t>26</w:t>
            </w:r>
          </w:p>
        </w:tc>
        <w:tc>
          <w:tcPr>
            <w:tcW w:w="1260" w:type="dxa"/>
            <w:vAlign w:val="center"/>
          </w:tcPr>
          <w:p>
            <w:pPr>
              <w:rPr>
                <w:color w:val="auto"/>
                <w:highlight w:val="none"/>
                <w:lang w:eastAsia="zh-CN"/>
              </w:rPr>
            </w:pPr>
            <w:r>
              <w:rPr>
                <w:rFonts w:hint="eastAsia"/>
                <w:color w:val="auto"/>
                <w:highlight w:val="none"/>
                <w:lang w:eastAsia="zh-CN"/>
              </w:rPr>
              <w:t>控制器、传感器、软件</w:t>
            </w:r>
            <w:r>
              <w:rPr>
                <w:color w:val="auto"/>
                <w:highlight w:val="none"/>
                <w:lang w:eastAsia="zh-CN"/>
              </w:rPr>
              <w:t>(</w:t>
            </w:r>
            <w:r>
              <w:rPr>
                <w:rFonts w:hint="eastAsia"/>
                <w:color w:val="auto"/>
                <w:highlight w:val="none"/>
                <w:lang w:eastAsia="zh-CN"/>
              </w:rPr>
              <w:t>适用于净化空调中央监控系统和检验科、病理科、静配中心等送排风平衡控制系统</w:t>
            </w:r>
            <w:r>
              <w:rPr>
                <w:color w:val="auto"/>
                <w:highlight w:val="none"/>
                <w:lang w:eastAsia="zh-CN"/>
              </w:rPr>
              <w:t>)</w:t>
            </w:r>
          </w:p>
        </w:tc>
        <w:tc>
          <w:tcPr>
            <w:tcW w:w="7736" w:type="dxa"/>
            <w:vAlign w:val="center"/>
          </w:tcPr>
          <w:p>
            <w:pPr>
              <w:rPr>
                <w:color w:val="auto"/>
                <w:highlight w:val="none"/>
                <w:lang w:eastAsia="zh-CN"/>
              </w:rPr>
            </w:pPr>
            <w:r>
              <w:rPr>
                <w:color w:val="auto"/>
                <w:highlight w:val="none"/>
                <w:lang w:eastAsia="zh-CN"/>
              </w:rPr>
              <w:t xml:space="preserve">1.1  </w:t>
            </w:r>
            <w:r>
              <w:rPr>
                <w:rFonts w:hint="eastAsia"/>
                <w:color w:val="auto"/>
                <w:highlight w:val="none"/>
                <w:lang w:eastAsia="zh-CN"/>
              </w:rPr>
              <w:t>系统要求及实现目标</w:t>
            </w:r>
          </w:p>
          <w:p>
            <w:pPr>
              <w:rPr>
                <w:color w:val="auto"/>
                <w:highlight w:val="none"/>
                <w:lang w:eastAsia="zh-CN"/>
              </w:rPr>
            </w:pPr>
            <w:r>
              <w:rPr>
                <w:rFonts w:hint="eastAsia"/>
                <w:color w:val="auto"/>
                <w:highlight w:val="none"/>
                <w:lang w:eastAsia="zh-CN"/>
              </w:rPr>
              <w:t>（</w:t>
            </w:r>
            <w:r>
              <w:rPr>
                <w:color w:val="auto"/>
                <w:highlight w:val="none"/>
                <w:lang w:eastAsia="zh-CN"/>
              </w:rPr>
              <w:t>1</w:t>
            </w:r>
            <w:r>
              <w:rPr>
                <w:rFonts w:hint="eastAsia"/>
                <w:color w:val="auto"/>
                <w:highlight w:val="none"/>
                <w:lang w:eastAsia="zh-CN"/>
              </w:rPr>
              <w:t>）楼宇自控系统</w:t>
            </w:r>
            <w:r>
              <w:rPr>
                <w:color w:val="auto"/>
                <w:highlight w:val="none"/>
                <w:lang w:eastAsia="zh-CN"/>
              </w:rPr>
              <w:t>(BAS)</w:t>
            </w:r>
            <w:r>
              <w:rPr>
                <w:rFonts w:hint="eastAsia"/>
                <w:color w:val="auto"/>
                <w:highlight w:val="none"/>
                <w:lang w:eastAsia="zh-CN"/>
              </w:rPr>
              <w:t>应包括对必要设备的监测或监控，包含报警管理、历史数据记录</w:t>
            </w:r>
            <w:r>
              <w:rPr>
                <w:color w:val="auto"/>
                <w:highlight w:val="none"/>
                <w:lang w:eastAsia="zh-CN"/>
              </w:rPr>
              <w:t>(</w:t>
            </w:r>
            <w:r>
              <w:rPr>
                <w:rFonts w:hint="eastAsia"/>
                <w:color w:val="auto"/>
                <w:highlight w:val="none"/>
                <w:lang w:eastAsia="zh-CN"/>
              </w:rPr>
              <w:t>要求自主选择监控点，间隔，保证至少一年记录的硬盘空间，数据可以输出到通用数据库可以提取</w:t>
            </w:r>
            <w:r>
              <w:rPr>
                <w:color w:val="auto"/>
                <w:highlight w:val="none"/>
                <w:lang w:eastAsia="zh-CN"/>
              </w:rPr>
              <w:t>)</w:t>
            </w:r>
            <w:r>
              <w:rPr>
                <w:rFonts w:hint="eastAsia"/>
                <w:color w:val="auto"/>
                <w:highlight w:val="none"/>
                <w:lang w:eastAsia="zh-CN"/>
              </w:rPr>
              <w:t>、动态趋势图等。</w:t>
            </w:r>
          </w:p>
          <w:p>
            <w:pPr>
              <w:rPr>
                <w:color w:val="auto"/>
                <w:highlight w:val="none"/>
                <w:lang w:eastAsia="zh-CN"/>
              </w:rPr>
            </w:pPr>
            <w:r>
              <w:rPr>
                <w:rFonts w:hint="eastAsia"/>
                <w:color w:val="auto"/>
                <w:highlight w:val="none"/>
                <w:lang w:eastAsia="zh-CN"/>
              </w:rPr>
              <w:t>（</w:t>
            </w:r>
            <w:r>
              <w:rPr>
                <w:color w:val="auto"/>
                <w:highlight w:val="none"/>
                <w:lang w:eastAsia="zh-CN"/>
              </w:rPr>
              <w:t>2</w:t>
            </w:r>
            <w:r>
              <w:rPr>
                <w:rFonts w:hint="eastAsia"/>
                <w:color w:val="auto"/>
                <w:highlight w:val="none"/>
                <w:lang w:eastAsia="zh-CN"/>
              </w:rPr>
              <w:t>）本工程要求采用集散式计算机控制管理方式、分布式智能控制技术。要求监控设备现场就地安装，对被控设备进行数据采集就地自动处理控制。分散控制、集中管理，各现场控制器可实现点对点（</w:t>
            </w:r>
            <w:r>
              <w:rPr>
                <w:color w:val="auto"/>
                <w:highlight w:val="none"/>
                <w:lang w:eastAsia="zh-CN"/>
              </w:rPr>
              <w:t>peer to peer</w:t>
            </w:r>
            <w:r>
              <w:rPr>
                <w:rFonts w:hint="eastAsia"/>
                <w:color w:val="auto"/>
                <w:highlight w:val="none"/>
                <w:lang w:eastAsia="zh-CN"/>
              </w:rPr>
              <w:t>）通讯。</w:t>
            </w:r>
          </w:p>
          <w:p>
            <w:pPr>
              <w:rPr>
                <w:color w:val="auto"/>
                <w:highlight w:val="none"/>
                <w:lang w:eastAsia="zh-CN"/>
              </w:rPr>
            </w:pPr>
            <w:r>
              <w:rPr>
                <w:rFonts w:hint="eastAsia"/>
                <w:color w:val="auto"/>
                <w:highlight w:val="none"/>
                <w:lang w:eastAsia="zh-CN"/>
              </w:rPr>
              <w:t>（</w:t>
            </w:r>
            <w:r>
              <w:rPr>
                <w:color w:val="auto"/>
                <w:highlight w:val="none"/>
                <w:lang w:eastAsia="zh-CN"/>
              </w:rPr>
              <w:t>3</w:t>
            </w:r>
            <w:r>
              <w:rPr>
                <w:rFonts w:hint="eastAsia"/>
                <w:color w:val="auto"/>
                <w:highlight w:val="none"/>
                <w:lang w:eastAsia="zh-CN"/>
              </w:rPr>
              <w:t>）楼宇自控系统要有较强的开放性和独立性，各现场控制器应能独立完成所有监控工作，监控信号和数据采集结果通过网络反馈至控制管理中心，由控制中心集中管理监控。中央站停止工作不影响现场</w:t>
            </w:r>
            <w:r>
              <w:rPr>
                <w:color w:val="auto"/>
                <w:highlight w:val="none"/>
                <w:lang w:eastAsia="zh-CN"/>
              </w:rPr>
              <w:t>DDC</w:t>
            </w:r>
            <w:r>
              <w:rPr>
                <w:rFonts w:hint="eastAsia"/>
                <w:color w:val="auto"/>
                <w:highlight w:val="none"/>
                <w:lang w:eastAsia="zh-CN"/>
              </w:rPr>
              <w:t>的正常运转，现场某个</w:t>
            </w:r>
            <w:r>
              <w:rPr>
                <w:color w:val="auto"/>
                <w:highlight w:val="none"/>
                <w:lang w:eastAsia="zh-CN"/>
              </w:rPr>
              <w:t>DDC</w:t>
            </w:r>
            <w:r>
              <w:rPr>
                <w:rFonts w:hint="eastAsia"/>
                <w:color w:val="auto"/>
                <w:highlight w:val="none"/>
                <w:lang w:eastAsia="zh-CN"/>
              </w:rPr>
              <w:t>故障不影响网络上其它</w:t>
            </w:r>
            <w:r>
              <w:rPr>
                <w:color w:val="auto"/>
                <w:highlight w:val="none"/>
                <w:lang w:eastAsia="zh-CN"/>
              </w:rPr>
              <w:t>DDC</w:t>
            </w:r>
            <w:r>
              <w:rPr>
                <w:rFonts w:hint="eastAsia"/>
                <w:color w:val="auto"/>
                <w:highlight w:val="none"/>
                <w:lang w:eastAsia="zh-CN"/>
              </w:rPr>
              <w:t>及分站工作。</w:t>
            </w:r>
          </w:p>
          <w:p>
            <w:pPr>
              <w:rPr>
                <w:color w:val="auto"/>
                <w:highlight w:val="none"/>
                <w:lang w:eastAsia="zh-CN"/>
              </w:rPr>
            </w:pPr>
            <w:r>
              <w:rPr>
                <w:rFonts w:hint="eastAsia"/>
                <w:color w:val="auto"/>
                <w:highlight w:val="none"/>
                <w:lang w:eastAsia="zh-CN"/>
              </w:rPr>
              <w:t>（</w:t>
            </w:r>
            <w:r>
              <w:rPr>
                <w:color w:val="auto"/>
                <w:highlight w:val="none"/>
                <w:lang w:eastAsia="zh-CN"/>
              </w:rPr>
              <w:t>4</w:t>
            </w:r>
            <w:r>
              <w:rPr>
                <w:rFonts w:hint="eastAsia"/>
                <w:color w:val="auto"/>
                <w:highlight w:val="none"/>
                <w:lang w:eastAsia="zh-CN"/>
              </w:rPr>
              <w:t>）楼宇自控系统软件采用开放式、标准化设计，可简易、灵活的实现中央管理软件功能的增减，并具有现场编程和二次开发的功能。要求采用友好的全中文界面、交互式图形显示和多文档窗口技术，可实时的体现各种设备的运行状态，要求有完整的数据库记录等。要求具有系统流程图、设备监控图、动态趋势图、运行曲线图以及各种数据报表等的显示打印功能，并统计各监控设备的运行时间。</w:t>
            </w:r>
          </w:p>
          <w:p>
            <w:pPr>
              <w:rPr>
                <w:color w:val="auto"/>
                <w:highlight w:val="none"/>
                <w:lang w:eastAsia="zh-CN"/>
              </w:rPr>
            </w:pPr>
          </w:p>
          <w:p>
            <w:pPr>
              <w:rPr>
                <w:color w:val="auto"/>
                <w:highlight w:val="none"/>
                <w:lang w:eastAsia="zh-CN"/>
              </w:rPr>
            </w:pPr>
            <w:r>
              <w:rPr>
                <w:color w:val="auto"/>
                <w:highlight w:val="none"/>
                <w:lang w:eastAsia="zh-CN"/>
              </w:rPr>
              <w:t xml:space="preserve">1.2  </w:t>
            </w:r>
            <w:r>
              <w:rPr>
                <w:rFonts w:hint="eastAsia"/>
                <w:color w:val="auto"/>
                <w:highlight w:val="none"/>
                <w:lang w:eastAsia="zh-CN"/>
              </w:rPr>
              <w:t>依据的标准与规范</w:t>
            </w:r>
          </w:p>
          <w:p>
            <w:pPr>
              <w:rPr>
                <w:color w:val="auto"/>
                <w:highlight w:val="none"/>
                <w:lang w:eastAsia="zh-CN"/>
              </w:rPr>
            </w:pPr>
            <w:r>
              <w:rPr>
                <w:color w:val="auto"/>
                <w:highlight w:val="none"/>
                <w:lang w:eastAsia="zh-CN"/>
              </w:rPr>
              <w:t>1.2.1</w:t>
            </w:r>
            <w:r>
              <w:rPr>
                <w:rFonts w:hint="eastAsia"/>
                <w:color w:val="auto"/>
                <w:highlight w:val="none"/>
                <w:lang w:eastAsia="zh-CN"/>
              </w:rPr>
              <w:t>供依据和参照的标准及规范</w:t>
            </w:r>
          </w:p>
          <w:p>
            <w:pPr>
              <w:rPr>
                <w:color w:val="auto"/>
                <w:highlight w:val="none"/>
                <w:lang w:eastAsia="zh-CN"/>
              </w:rPr>
            </w:pPr>
            <w:r>
              <w:rPr>
                <w:rFonts w:hint="eastAsia"/>
                <w:color w:val="auto"/>
                <w:highlight w:val="none"/>
                <w:lang w:eastAsia="zh-CN"/>
              </w:rPr>
              <w:t>投标人应依据和参照（但不限于）以下标准及规范：</w:t>
            </w:r>
          </w:p>
          <w:p>
            <w:pPr>
              <w:rPr>
                <w:color w:val="auto"/>
                <w:highlight w:val="none"/>
                <w:lang w:eastAsia="zh-CN"/>
              </w:rPr>
            </w:pPr>
            <w:r>
              <w:rPr>
                <w:rFonts w:hint="eastAsia"/>
                <w:color w:val="auto"/>
                <w:highlight w:val="none"/>
                <w:lang w:eastAsia="zh-CN"/>
              </w:rPr>
              <w:t>《智能建筑设计标准》</w:t>
            </w:r>
            <w:r>
              <w:rPr>
                <w:color w:val="auto"/>
                <w:highlight w:val="none"/>
                <w:lang w:eastAsia="zh-CN"/>
              </w:rPr>
              <w:t>GB/T50314-2006</w:t>
            </w:r>
            <w:r>
              <w:rPr>
                <w:rFonts w:hint="eastAsia"/>
                <w:color w:val="auto"/>
                <w:highlight w:val="none"/>
                <w:lang w:eastAsia="zh-CN"/>
              </w:rPr>
              <w:t>；</w:t>
            </w:r>
          </w:p>
          <w:p>
            <w:pPr>
              <w:rPr>
                <w:color w:val="auto"/>
                <w:highlight w:val="none"/>
                <w:lang w:eastAsia="zh-CN"/>
              </w:rPr>
            </w:pPr>
            <w:r>
              <w:rPr>
                <w:rFonts w:hint="eastAsia"/>
                <w:color w:val="auto"/>
                <w:highlight w:val="none"/>
                <w:lang w:eastAsia="zh-CN"/>
              </w:rPr>
              <w:t>《民用建筑电气设计规范》</w:t>
            </w:r>
            <w:r>
              <w:rPr>
                <w:color w:val="auto"/>
                <w:highlight w:val="none"/>
                <w:lang w:eastAsia="zh-CN"/>
              </w:rPr>
              <w:t>JGJ/T16-92</w:t>
            </w:r>
            <w:r>
              <w:rPr>
                <w:rFonts w:hint="eastAsia"/>
                <w:color w:val="auto"/>
                <w:highlight w:val="none"/>
                <w:lang w:eastAsia="zh-CN"/>
              </w:rPr>
              <w:t>；</w:t>
            </w:r>
          </w:p>
          <w:p>
            <w:pPr>
              <w:rPr>
                <w:color w:val="auto"/>
                <w:highlight w:val="none"/>
                <w:lang w:eastAsia="zh-CN"/>
              </w:rPr>
            </w:pPr>
            <w:r>
              <w:rPr>
                <w:rFonts w:hint="eastAsia"/>
                <w:color w:val="auto"/>
                <w:highlight w:val="none"/>
                <w:lang w:eastAsia="zh-CN"/>
              </w:rPr>
              <w:t>《高层民用建筑设计防火规范》（</w:t>
            </w:r>
            <w:r>
              <w:rPr>
                <w:color w:val="auto"/>
                <w:highlight w:val="none"/>
                <w:lang w:eastAsia="zh-CN"/>
              </w:rPr>
              <w:t>GB50045-95</w:t>
            </w:r>
            <w:r>
              <w:rPr>
                <w:rFonts w:hint="eastAsia"/>
                <w:color w:val="auto"/>
                <w:highlight w:val="none"/>
                <w:lang w:eastAsia="zh-CN"/>
              </w:rPr>
              <w:t>）（</w:t>
            </w:r>
            <w:r>
              <w:rPr>
                <w:color w:val="auto"/>
                <w:highlight w:val="none"/>
                <w:lang w:eastAsia="zh-CN"/>
              </w:rPr>
              <w:t>2005</w:t>
            </w:r>
            <w:r>
              <w:rPr>
                <w:rFonts w:hint="eastAsia"/>
                <w:color w:val="auto"/>
                <w:highlight w:val="none"/>
                <w:lang w:eastAsia="zh-CN"/>
              </w:rPr>
              <w:t>版）</w:t>
            </w:r>
          </w:p>
          <w:p>
            <w:pPr>
              <w:rPr>
                <w:color w:val="auto"/>
                <w:highlight w:val="none"/>
                <w:lang w:eastAsia="zh-CN"/>
              </w:rPr>
            </w:pPr>
            <w:r>
              <w:rPr>
                <w:rFonts w:hint="eastAsia"/>
                <w:color w:val="auto"/>
                <w:highlight w:val="none"/>
                <w:lang w:eastAsia="zh-CN"/>
              </w:rPr>
              <w:t>《中国采暖通风与空气调节设计规范》（</w:t>
            </w:r>
            <w:r>
              <w:rPr>
                <w:color w:val="auto"/>
                <w:highlight w:val="none"/>
                <w:lang w:eastAsia="zh-CN"/>
              </w:rPr>
              <w:t>GB50019-2003</w:t>
            </w:r>
            <w:r>
              <w:rPr>
                <w:rFonts w:hint="eastAsia"/>
                <w:color w:val="auto"/>
                <w:highlight w:val="none"/>
                <w:lang w:eastAsia="zh-CN"/>
              </w:rPr>
              <w:t>）</w:t>
            </w:r>
          </w:p>
          <w:p>
            <w:pPr>
              <w:rPr>
                <w:color w:val="auto"/>
                <w:highlight w:val="none"/>
                <w:lang w:eastAsia="zh-CN"/>
              </w:rPr>
            </w:pPr>
            <w:r>
              <w:rPr>
                <w:rFonts w:hint="eastAsia"/>
                <w:color w:val="auto"/>
                <w:highlight w:val="none"/>
                <w:lang w:eastAsia="zh-CN"/>
              </w:rPr>
              <w:t>《中国室内给水排水热水供应设计规范》（</w:t>
            </w:r>
            <w:r>
              <w:rPr>
                <w:color w:val="auto"/>
                <w:highlight w:val="none"/>
                <w:lang w:eastAsia="zh-CN"/>
              </w:rPr>
              <w:t>GB50015-2003</w:t>
            </w:r>
            <w:r>
              <w:rPr>
                <w:rFonts w:hint="eastAsia"/>
                <w:color w:val="auto"/>
                <w:highlight w:val="none"/>
                <w:lang w:eastAsia="zh-CN"/>
              </w:rPr>
              <w:t>）</w:t>
            </w:r>
          </w:p>
          <w:p>
            <w:pPr>
              <w:rPr>
                <w:color w:val="auto"/>
                <w:highlight w:val="none"/>
              </w:rPr>
            </w:pPr>
            <w:r>
              <w:rPr>
                <w:rFonts w:hint="eastAsia"/>
                <w:color w:val="auto"/>
                <w:highlight w:val="none"/>
              </w:rPr>
              <w:t>《安全防范工程程序与要求》（</w:t>
            </w:r>
            <w:r>
              <w:rPr>
                <w:color w:val="auto"/>
                <w:highlight w:val="none"/>
              </w:rPr>
              <w:t>GA/T75-94</w:t>
            </w:r>
            <w:r>
              <w:rPr>
                <w:rFonts w:hint="eastAsia"/>
                <w:color w:val="auto"/>
                <w:highlight w:val="none"/>
              </w:rPr>
              <w:t>）</w:t>
            </w:r>
          </w:p>
          <w:p>
            <w:pPr>
              <w:rPr>
                <w:color w:val="auto"/>
                <w:highlight w:val="none"/>
                <w:lang w:eastAsia="zh-CN"/>
              </w:rPr>
            </w:pPr>
            <w:r>
              <w:rPr>
                <w:rFonts w:hint="eastAsia"/>
                <w:color w:val="auto"/>
                <w:highlight w:val="none"/>
                <w:lang w:eastAsia="zh-CN"/>
              </w:rPr>
              <w:t>《电工、电子产品基本环境试验规程》</w:t>
            </w:r>
            <w:r>
              <w:rPr>
                <w:color w:val="auto"/>
                <w:highlight w:val="none"/>
                <w:lang w:eastAsia="zh-CN"/>
              </w:rPr>
              <w:t>GA2423</w:t>
            </w:r>
          </w:p>
          <w:p>
            <w:pPr>
              <w:rPr>
                <w:color w:val="auto"/>
                <w:highlight w:val="none"/>
                <w:lang w:eastAsia="zh-CN"/>
              </w:rPr>
            </w:pPr>
            <w:r>
              <w:rPr>
                <w:rFonts w:hint="eastAsia"/>
                <w:color w:val="auto"/>
                <w:highlight w:val="none"/>
                <w:lang w:eastAsia="zh-CN"/>
              </w:rPr>
              <w:t>《商用建筑线缆标准》（</w:t>
            </w:r>
            <w:r>
              <w:rPr>
                <w:color w:val="auto"/>
                <w:highlight w:val="none"/>
                <w:lang w:eastAsia="zh-CN"/>
              </w:rPr>
              <w:t>EIA/TIA-568A</w:t>
            </w:r>
            <w:r>
              <w:rPr>
                <w:rFonts w:hint="eastAsia"/>
                <w:color w:val="auto"/>
                <w:highlight w:val="none"/>
                <w:lang w:eastAsia="zh-CN"/>
              </w:rPr>
              <w:t>）</w:t>
            </w:r>
          </w:p>
          <w:p>
            <w:pPr>
              <w:rPr>
                <w:color w:val="auto"/>
                <w:highlight w:val="none"/>
                <w:lang w:eastAsia="zh-CN"/>
              </w:rPr>
            </w:pPr>
            <w:r>
              <w:rPr>
                <w:rFonts w:hint="eastAsia"/>
                <w:color w:val="auto"/>
                <w:highlight w:val="none"/>
                <w:lang w:eastAsia="zh-CN"/>
              </w:rPr>
              <w:t>《电气装置安装工程施工及验收规范》（</w:t>
            </w:r>
            <w:r>
              <w:rPr>
                <w:color w:val="auto"/>
                <w:highlight w:val="none"/>
                <w:lang w:eastAsia="zh-CN"/>
              </w:rPr>
              <w:t>GB232-92</w:t>
            </w:r>
            <w:r>
              <w:rPr>
                <w:rFonts w:hint="eastAsia"/>
                <w:color w:val="auto"/>
                <w:highlight w:val="none"/>
                <w:lang w:eastAsia="zh-CN"/>
              </w:rPr>
              <w:t>）</w:t>
            </w:r>
          </w:p>
          <w:p>
            <w:pPr>
              <w:rPr>
                <w:color w:val="auto"/>
                <w:highlight w:val="none"/>
                <w:lang w:eastAsia="zh-CN"/>
              </w:rPr>
            </w:pPr>
            <w:r>
              <w:rPr>
                <w:rFonts w:hint="eastAsia"/>
                <w:color w:val="auto"/>
                <w:highlight w:val="none"/>
                <w:lang w:eastAsia="zh-CN"/>
              </w:rPr>
              <w:t>《建筑物防雷接地设计规范》（</w:t>
            </w:r>
            <w:r>
              <w:rPr>
                <w:color w:val="auto"/>
                <w:highlight w:val="none"/>
                <w:lang w:eastAsia="zh-CN"/>
              </w:rPr>
              <w:t>GB50057-94</w:t>
            </w:r>
            <w:r>
              <w:rPr>
                <w:rFonts w:hint="eastAsia"/>
                <w:color w:val="auto"/>
                <w:highlight w:val="none"/>
                <w:lang w:eastAsia="zh-CN"/>
              </w:rPr>
              <w:t>）</w:t>
            </w:r>
          </w:p>
          <w:p>
            <w:pPr>
              <w:rPr>
                <w:color w:val="auto"/>
                <w:highlight w:val="none"/>
                <w:lang w:eastAsia="zh-CN"/>
              </w:rPr>
            </w:pPr>
            <w:r>
              <w:rPr>
                <w:rFonts w:hint="eastAsia"/>
                <w:color w:val="auto"/>
                <w:highlight w:val="none"/>
                <w:lang w:eastAsia="zh-CN"/>
              </w:rPr>
              <w:t>《建筑物电子信息系统防雷技术规范》</w:t>
            </w:r>
            <w:r>
              <w:rPr>
                <w:color w:val="auto"/>
                <w:highlight w:val="none"/>
                <w:lang w:eastAsia="zh-CN"/>
              </w:rPr>
              <w:t>GB 50343-2004</w:t>
            </w:r>
          </w:p>
          <w:p>
            <w:pPr>
              <w:rPr>
                <w:color w:val="auto"/>
                <w:highlight w:val="none"/>
                <w:lang w:eastAsia="zh-CN"/>
              </w:rPr>
            </w:pPr>
            <w:r>
              <w:rPr>
                <w:rFonts w:hint="eastAsia"/>
                <w:color w:val="auto"/>
                <w:highlight w:val="none"/>
                <w:lang w:eastAsia="zh-CN"/>
              </w:rPr>
              <w:t>《自动化仪表工程及验收规范》</w:t>
            </w:r>
            <w:r>
              <w:rPr>
                <w:color w:val="auto"/>
                <w:highlight w:val="none"/>
                <w:lang w:eastAsia="zh-CN"/>
              </w:rPr>
              <w:t>GB/J93-96</w:t>
            </w:r>
          </w:p>
          <w:p>
            <w:pPr>
              <w:rPr>
                <w:color w:val="auto"/>
                <w:highlight w:val="none"/>
                <w:lang w:eastAsia="zh-CN"/>
              </w:rPr>
            </w:pPr>
            <w:r>
              <w:rPr>
                <w:rFonts w:hint="eastAsia"/>
                <w:color w:val="auto"/>
                <w:highlight w:val="none"/>
                <w:lang w:eastAsia="zh-CN"/>
              </w:rPr>
              <w:t>实验区域控制应遵循的标准：</w:t>
            </w:r>
          </w:p>
          <w:p>
            <w:pPr>
              <w:rPr>
                <w:color w:val="auto"/>
                <w:highlight w:val="none"/>
                <w:lang w:eastAsia="zh-CN"/>
              </w:rPr>
            </w:pPr>
            <w:r>
              <w:rPr>
                <w:color w:val="auto"/>
                <w:highlight w:val="none"/>
                <w:lang w:eastAsia="zh-CN"/>
              </w:rPr>
              <w:t xml:space="preserve">EN14175 </w:t>
            </w:r>
          </w:p>
          <w:p>
            <w:pPr>
              <w:rPr>
                <w:color w:val="auto"/>
                <w:highlight w:val="none"/>
                <w:lang w:eastAsia="zh-CN"/>
              </w:rPr>
            </w:pPr>
            <w:r>
              <w:rPr>
                <w:rFonts w:hint="eastAsia"/>
                <w:color w:val="auto"/>
                <w:highlight w:val="none"/>
                <w:lang w:eastAsia="zh-CN"/>
              </w:rPr>
              <w:t>通风柜</w:t>
            </w:r>
            <w:r>
              <w:rPr>
                <w:color w:val="auto"/>
                <w:highlight w:val="none"/>
                <w:lang w:eastAsia="zh-CN"/>
              </w:rPr>
              <w:t xml:space="preserve"> </w:t>
            </w:r>
          </w:p>
          <w:p>
            <w:pPr>
              <w:rPr>
                <w:color w:val="auto"/>
                <w:highlight w:val="none"/>
                <w:lang w:eastAsia="zh-CN"/>
              </w:rPr>
            </w:pPr>
            <w:r>
              <w:rPr>
                <w:color w:val="auto"/>
                <w:highlight w:val="none"/>
                <w:lang w:eastAsia="zh-CN"/>
              </w:rPr>
              <w:t xml:space="preserve">EN ISO 14644 </w:t>
            </w:r>
          </w:p>
          <w:p>
            <w:pPr>
              <w:rPr>
                <w:color w:val="auto"/>
                <w:highlight w:val="none"/>
                <w:lang w:eastAsia="zh-CN"/>
              </w:rPr>
            </w:pPr>
            <w:r>
              <w:rPr>
                <w:rFonts w:hint="eastAsia"/>
                <w:color w:val="auto"/>
                <w:highlight w:val="none"/>
                <w:lang w:eastAsia="zh-CN"/>
              </w:rPr>
              <w:t>洁净室</w:t>
            </w:r>
            <w:r>
              <w:rPr>
                <w:color w:val="auto"/>
                <w:highlight w:val="none"/>
                <w:lang w:eastAsia="zh-CN"/>
              </w:rPr>
              <w:t>/</w:t>
            </w:r>
            <w:r>
              <w:rPr>
                <w:rFonts w:hint="eastAsia"/>
                <w:color w:val="auto"/>
                <w:highlight w:val="none"/>
                <w:lang w:eastAsia="zh-CN"/>
              </w:rPr>
              <w:t>实验室及其他环境控制区域的要求</w:t>
            </w:r>
            <w:r>
              <w:rPr>
                <w:color w:val="auto"/>
                <w:highlight w:val="none"/>
                <w:lang w:eastAsia="zh-CN"/>
              </w:rPr>
              <w:t xml:space="preserve"> </w:t>
            </w:r>
          </w:p>
          <w:p>
            <w:pPr>
              <w:rPr>
                <w:color w:val="auto"/>
                <w:highlight w:val="none"/>
                <w:lang w:eastAsia="zh-CN"/>
              </w:rPr>
            </w:pPr>
            <w:r>
              <w:rPr>
                <w:color w:val="auto"/>
                <w:highlight w:val="none"/>
                <w:lang w:eastAsia="zh-CN"/>
              </w:rPr>
              <w:t xml:space="preserve">ANSI </w:t>
            </w:r>
          </w:p>
          <w:p>
            <w:pPr>
              <w:rPr>
                <w:color w:val="auto"/>
                <w:highlight w:val="none"/>
                <w:lang w:eastAsia="zh-CN"/>
              </w:rPr>
            </w:pPr>
            <w:r>
              <w:rPr>
                <w:rFonts w:hint="eastAsia"/>
                <w:color w:val="auto"/>
                <w:highlight w:val="none"/>
                <w:lang w:eastAsia="zh-CN"/>
              </w:rPr>
              <w:t>美国国家标准学会</w:t>
            </w:r>
            <w:r>
              <w:rPr>
                <w:color w:val="auto"/>
                <w:highlight w:val="none"/>
                <w:lang w:eastAsia="zh-CN"/>
              </w:rPr>
              <w:t xml:space="preserve">        </w:t>
            </w:r>
          </w:p>
          <w:p>
            <w:pPr>
              <w:rPr>
                <w:color w:val="auto"/>
                <w:highlight w:val="none"/>
                <w:lang w:eastAsia="zh-CN"/>
              </w:rPr>
            </w:pPr>
            <w:r>
              <w:rPr>
                <w:color w:val="auto"/>
                <w:highlight w:val="none"/>
                <w:lang w:eastAsia="zh-CN"/>
              </w:rPr>
              <w:t xml:space="preserve">FDA </w:t>
            </w:r>
          </w:p>
          <w:p>
            <w:pPr>
              <w:rPr>
                <w:color w:val="auto"/>
                <w:highlight w:val="none"/>
                <w:lang w:eastAsia="zh-CN"/>
              </w:rPr>
            </w:pPr>
            <w:r>
              <w:rPr>
                <w:rFonts w:hint="eastAsia"/>
                <w:color w:val="auto"/>
                <w:highlight w:val="none"/>
                <w:lang w:eastAsia="zh-CN"/>
              </w:rPr>
              <w:t>美国食品药品管理局</w:t>
            </w:r>
            <w:r>
              <w:rPr>
                <w:color w:val="auto"/>
                <w:highlight w:val="none"/>
                <w:lang w:eastAsia="zh-CN"/>
              </w:rPr>
              <w:t xml:space="preserve"> </w:t>
            </w:r>
          </w:p>
          <w:p>
            <w:pPr>
              <w:rPr>
                <w:color w:val="auto"/>
                <w:highlight w:val="none"/>
                <w:lang w:eastAsia="zh-CN"/>
              </w:rPr>
            </w:pPr>
            <w:r>
              <w:rPr>
                <w:color w:val="auto"/>
                <w:highlight w:val="none"/>
                <w:lang w:eastAsia="zh-CN"/>
              </w:rPr>
              <w:t xml:space="preserve">BSL 3 / 4 </w:t>
            </w:r>
          </w:p>
          <w:p>
            <w:pPr>
              <w:rPr>
                <w:color w:val="auto"/>
                <w:highlight w:val="none"/>
                <w:lang w:eastAsia="zh-CN"/>
              </w:rPr>
            </w:pPr>
            <w:r>
              <w:rPr>
                <w:rFonts w:hint="eastAsia"/>
                <w:color w:val="auto"/>
                <w:highlight w:val="none"/>
                <w:lang w:eastAsia="zh-CN"/>
              </w:rPr>
              <w:t>生物安全等级</w:t>
            </w:r>
            <w:r>
              <w:rPr>
                <w:color w:val="auto"/>
                <w:highlight w:val="none"/>
                <w:lang w:eastAsia="zh-CN"/>
              </w:rPr>
              <w:t xml:space="preserve"> 3 / 4 </w:t>
            </w:r>
          </w:p>
          <w:p>
            <w:pPr>
              <w:rPr>
                <w:color w:val="auto"/>
                <w:highlight w:val="none"/>
                <w:lang w:eastAsia="zh-CN"/>
              </w:rPr>
            </w:pPr>
            <w:r>
              <w:rPr>
                <w:color w:val="auto"/>
                <w:highlight w:val="none"/>
                <w:lang w:eastAsia="zh-CN"/>
              </w:rPr>
              <w:t>ANSI/AIHA Z9.5</w:t>
            </w:r>
          </w:p>
          <w:p>
            <w:pPr>
              <w:rPr>
                <w:color w:val="auto"/>
                <w:highlight w:val="none"/>
                <w:lang w:eastAsia="zh-CN"/>
              </w:rPr>
            </w:pPr>
            <w:r>
              <w:rPr>
                <w:rFonts w:hint="eastAsia"/>
                <w:color w:val="auto"/>
                <w:highlight w:val="none"/>
                <w:lang w:eastAsia="zh-CN"/>
              </w:rPr>
              <w:t>本工程通讯网络采用集散分布式结构，由两级网络组成。</w:t>
            </w:r>
          </w:p>
          <w:p>
            <w:pPr>
              <w:rPr>
                <w:color w:val="auto"/>
                <w:highlight w:val="none"/>
                <w:lang w:eastAsia="zh-CN"/>
              </w:rPr>
            </w:pPr>
            <w:r>
              <w:rPr>
                <w:color w:val="auto"/>
                <w:highlight w:val="none"/>
                <w:lang w:eastAsia="zh-CN"/>
              </w:rPr>
              <w:t>1</w:t>
            </w:r>
            <w:r>
              <w:rPr>
                <w:rFonts w:hint="eastAsia"/>
                <w:color w:val="auto"/>
                <w:highlight w:val="none"/>
                <w:lang w:eastAsia="zh-CN"/>
              </w:rPr>
              <w:t>）中央站可提供标准的</w:t>
            </w:r>
            <w:r>
              <w:rPr>
                <w:color w:val="auto"/>
                <w:highlight w:val="none"/>
                <w:lang w:eastAsia="zh-CN"/>
              </w:rPr>
              <w:t>TCP/IP</w:t>
            </w:r>
            <w:r>
              <w:rPr>
                <w:rFonts w:hint="eastAsia"/>
                <w:color w:val="auto"/>
                <w:highlight w:val="none"/>
                <w:lang w:eastAsia="zh-CN"/>
              </w:rPr>
              <w:t>网络通讯协议，采用</w:t>
            </w:r>
            <w:r>
              <w:rPr>
                <w:color w:val="auto"/>
                <w:highlight w:val="none"/>
                <w:lang w:eastAsia="zh-CN"/>
              </w:rPr>
              <w:t>Windows XP Pro</w:t>
            </w:r>
            <w:r>
              <w:rPr>
                <w:rFonts w:hint="eastAsia"/>
                <w:color w:val="auto"/>
                <w:highlight w:val="none"/>
                <w:lang w:eastAsia="zh-CN"/>
              </w:rPr>
              <w:t>操作系统。以太网级路由器负责现场</w:t>
            </w:r>
            <w:r>
              <w:rPr>
                <w:color w:val="auto"/>
                <w:highlight w:val="none"/>
                <w:lang w:eastAsia="zh-CN"/>
              </w:rPr>
              <w:t>DDC</w:t>
            </w:r>
            <w:r>
              <w:rPr>
                <w:rFonts w:hint="eastAsia"/>
                <w:color w:val="auto"/>
                <w:highlight w:val="none"/>
                <w:lang w:eastAsia="zh-CN"/>
              </w:rPr>
              <w:t>与工作站间的通讯，可以通过局域网与系统集成软件通讯，实现资源共享。</w:t>
            </w:r>
          </w:p>
          <w:p>
            <w:pPr>
              <w:rPr>
                <w:color w:val="auto"/>
                <w:highlight w:val="none"/>
                <w:lang w:eastAsia="zh-CN"/>
              </w:rPr>
            </w:pPr>
            <w:r>
              <w:rPr>
                <w:color w:val="auto"/>
                <w:highlight w:val="none"/>
                <w:lang w:eastAsia="zh-CN"/>
              </w:rPr>
              <w:t>2</w:t>
            </w:r>
            <w:r>
              <w:rPr>
                <w:rFonts w:hint="eastAsia"/>
                <w:color w:val="auto"/>
                <w:highlight w:val="none"/>
                <w:lang w:eastAsia="zh-CN"/>
              </w:rPr>
              <w:t>）监控级网络采用标准化的基于</w:t>
            </w:r>
            <w:r>
              <w:rPr>
                <w:color w:val="auto"/>
                <w:highlight w:val="none"/>
                <w:lang w:eastAsia="zh-CN"/>
              </w:rPr>
              <w:t xml:space="preserve">RS485 </w:t>
            </w:r>
            <w:r>
              <w:rPr>
                <w:rFonts w:hint="eastAsia"/>
                <w:color w:val="auto"/>
                <w:highlight w:val="none"/>
                <w:lang w:eastAsia="zh-CN"/>
              </w:rPr>
              <w:t>的现场总线，并可扩展。中央控制站与各分站设备之间采用屏蔽双绞线连接，组成监控层局域网，此种方式可实现现场控制机与中央控制机之间的点对点通讯（</w:t>
            </w:r>
            <w:r>
              <w:rPr>
                <w:color w:val="auto"/>
                <w:highlight w:val="none"/>
                <w:lang w:eastAsia="zh-CN"/>
              </w:rPr>
              <w:t>peer-to-peer</w:t>
            </w:r>
            <w:r>
              <w:rPr>
                <w:rFonts w:hint="eastAsia"/>
                <w:color w:val="auto"/>
                <w:highlight w:val="none"/>
                <w:lang w:eastAsia="zh-CN"/>
              </w:rPr>
              <w:t>）。</w:t>
            </w:r>
          </w:p>
          <w:p>
            <w:pPr>
              <w:rPr>
                <w:color w:val="auto"/>
                <w:highlight w:val="none"/>
                <w:lang w:eastAsia="zh-CN"/>
              </w:rPr>
            </w:pPr>
            <w:r>
              <w:rPr>
                <w:rFonts w:hint="eastAsia"/>
                <w:color w:val="auto"/>
                <w:highlight w:val="none"/>
                <w:lang w:eastAsia="zh-CN"/>
              </w:rPr>
              <w:t>由于建筑设备监控系统是本工程的最主要系统，同时应具备与其他系统集成的能力，因此系统必须满足以下要求：</w:t>
            </w:r>
          </w:p>
          <w:p>
            <w:pPr>
              <w:rPr>
                <w:color w:val="auto"/>
                <w:highlight w:val="none"/>
                <w:lang w:eastAsia="zh-CN"/>
              </w:rPr>
            </w:pPr>
            <w:r>
              <w:rPr>
                <w:rFonts w:hint="eastAsia"/>
                <w:color w:val="auto"/>
                <w:highlight w:val="none"/>
                <w:lang w:eastAsia="zh-CN"/>
              </w:rPr>
              <w:t>网络采用目前业界通行的</w:t>
            </w:r>
            <w:r>
              <w:rPr>
                <w:color w:val="auto"/>
                <w:highlight w:val="none"/>
                <w:lang w:eastAsia="zh-CN"/>
              </w:rPr>
              <w:t>C/S</w:t>
            </w:r>
            <w:r>
              <w:rPr>
                <w:rFonts w:hint="eastAsia"/>
                <w:color w:val="auto"/>
                <w:highlight w:val="none"/>
                <w:lang w:eastAsia="zh-CN"/>
              </w:rPr>
              <w:t>以及</w:t>
            </w:r>
            <w:r>
              <w:rPr>
                <w:color w:val="auto"/>
                <w:highlight w:val="none"/>
                <w:lang w:eastAsia="zh-CN"/>
              </w:rPr>
              <w:t>B/S</w:t>
            </w:r>
            <w:r>
              <w:rPr>
                <w:rFonts w:hint="eastAsia"/>
                <w:color w:val="auto"/>
                <w:highlight w:val="none"/>
                <w:lang w:eastAsia="zh-CN"/>
              </w:rPr>
              <w:t>的运作模式；</w:t>
            </w:r>
          </w:p>
          <w:p>
            <w:pPr>
              <w:rPr>
                <w:color w:val="auto"/>
                <w:highlight w:val="none"/>
                <w:lang w:eastAsia="zh-CN"/>
              </w:rPr>
            </w:pPr>
            <w:r>
              <w:rPr>
                <w:rFonts w:hint="eastAsia"/>
                <w:color w:val="auto"/>
                <w:highlight w:val="none"/>
                <w:lang w:eastAsia="zh-CN"/>
              </w:rPr>
              <w:t>操作系统选用业界通行的</w:t>
            </w:r>
            <w:r>
              <w:rPr>
                <w:color w:val="auto"/>
                <w:highlight w:val="none"/>
                <w:lang w:eastAsia="zh-CN"/>
              </w:rPr>
              <w:t>Windows XP</w:t>
            </w:r>
            <w:r>
              <w:rPr>
                <w:rFonts w:hint="eastAsia"/>
                <w:color w:val="auto"/>
                <w:highlight w:val="none"/>
                <w:lang w:eastAsia="zh-CN"/>
              </w:rPr>
              <w:t>或以上操作系统，采用分布式数据库技术同时支持分布式服务器结构，以达到以下性能指标：</w:t>
            </w:r>
          </w:p>
          <w:p>
            <w:pPr>
              <w:rPr>
                <w:color w:val="auto"/>
                <w:highlight w:val="none"/>
                <w:lang w:eastAsia="zh-CN"/>
              </w:rPr>
            </w:pPr>
            <w:r>
              <w:rPr>
                <w:rFonts w:hint="eastAsia"/>
                <w:color w:val="auto"/>
                <w:highlight w:val="none"/>
                <w:lang w:eastAsia="zh-CN"/>
              </w:rPr>
              <w:t>独立控制，集中管理</w:t>
            </w:r>
          </w:p>
          <w:p>
            <w:pPr>
              <w:rPr>
                <w:color w:val="auto"/>
                <w:highlight w:val="none"/>
                <w:lang w:eastAsia="zh-CN"/>
              </w:rPr>
            </w:pPr>
            <w:r>
              <w:rPr>
                <w:rFonts w:hint="eastAsia"/>
                <w:color w:val="auto"/>
                <w:highlight w:val="none"/>
                <w:lang w:eastAsia="zh-CN"/>
              </w:rPr>
              <w:t>直接数字控制器包括网络级控制器和现场控制器：所有网络级控制器与中央服务器通过以太网（</w:t>
            </w:r>
            <w:r>
              <w:rPr>
                <w:color w:val="auto"/>
                <w:highlight w:val="none"/>
                <w:lang w:eastAsia="zh-CN"/>
              </w:rPr>
              <w:t>TCP/IP</w:t>
            </w:r>
            <w:r>
              <w:rPr>
                <w:rFonts w:hint="eastAsia"/>
                <w:color w:val="auto"/>
                <w:highlight w:val="none"/>
                <w:lang w:eastAsia="zh-CN"/>
              </w:rPr>
              <w:t>）连接，现场控制器直接通过产品专有网络（</w:t>
            </w:r>
            <w:r>
              <w:rPr>
                <w:color w:val="auto"/>
                <w:highlight w:val="none"/>
                <w:lang w:eastAsia="zh-CN"/>
              </w:rPr>
              <w:t>RS485</w:t>
            </w:r>
            <w:r>
              <w:rPr>
                <w:rFonts w:hint="eastAsia"/>
                <w:color w:val="auto"/>
                <w:highlight w:val="none"/>
                <w:lang w:eastAsia="zh-CN"/>
              </w:rPr>
              <w:t>）进行组网。数据在所有直接数字控制器之间，包括中央服务器之间进行通讯，中央服务器对所有直接数字控制器中的数据、报警可以读取、打印和存储。</w:t>
            </w:r>
          </w:p>
          <w:p>
            <w:pPr>
              <w:rPr>
                <w:color w:val="auto"/>
                <w:highlight w:val="none"/>
                <w:lang w:eastAsia="zh-CN"/>
              </w:rPr>
            </w:pPr>
            <w:r>
              <w:rPr>
                <w:rFonts w:hint="eastAsia"/>
                <w:color w:val="auto"/>
                <w:highlight w:val="none"/>
                <w:lang w:eastAsia="zh-CN"/>
              </w:rPr>
              <w:t>系统集成功能</w:t>
            </w:r>
          </w:p>
          <w:p>
            <w:pPr>
              <w:rPr>
                <w:color w:val="auto"/>
                <w:highlight w:val="none"/>
                <w:lang w:eastAsia="zh-CN"/>
              </w:rPr>
            </w:pPr>
            <w:r>
              <w:rPr>
                <w:rFonts w:hint="eastAsia"/>
                <w:color w:val="auto"/>
                <w:highlight w:val="none"/>
                <w:lang w:eastAsia="zh-CN"/>
              </w:rPr>
              <w:t>系统具备</w:t>
            </w:r>
            <w:r>
              <w:rPr>
                <w:color w:val="auto"/>
                <w:highlight w:val="none"/>
                <w:lang w:eastAsia="zh-CN"/>
              </w:rPr>
              <w:t>WEB SERVER</w:t>
            </w:r>
            <w:r>
              <w:rPr>
                <w:rFonts w:hint="eastAsia"/>
                <w:color w:val="auto"/>
                <w:highlight w:val="none"/>
                <w:lang w:eastAsia="zh-CN"/>
              </w:rPr>
              <w:t>（即远程监控）功能，其</w:t>
            </w:r>
            <w:r>
              <w:rPr>
                <w:color w:val="auto"/>
                <w:highlight w:val="none"/>
                <w:lang w:eastAsia="zh-CN"/>
              </w:rPr>
              <w:t>WEB SERVER</w:t>
            </w:r>
            <w:r>
              <w:rPr>
                <w:rFonts w:hint="eastAsia"/>
                <w:color w:val="auto"/>
                <w:highlight w:val="none"/>
                <w:lang w:eastAsia="zh-CN"/>
              </w:rPr>
              <w:t>功能包含至少</w:t>
            </w:r>
            <w:r>
              <w:rPr>
                <w:color w:val="auto"/>
                <w:highlight w:val="none"/>
                <w:lang w:eastAsia="zh-CN"/>
              </w:rPr>
              <w:t>5</w:t>
            </w:r>
            <w:r>
              <w:rPr>
                <w:rFonts w:hint="eastAsia"/>
                <w:color w:val="auto"/>
                <w:highlight w:val="none"/>
                <w:lang w:eastAsia="zh-CN"/>
              </w:rPr>
              <w:t>个客户端的使用权限。可以根据系统要求对不同的客户端设置不同的权限。既方便管理，又节约成本。并且可以方便的设立分站。</w:t>
            </w:r>
          </w:p>
          <w:p>
            <w:pPr>
              <w:rPr>
                <w:color w:val="auto"/>
                <w:highlight w:val="none"/>
                <w:lang w:eastAsia="zh-CN"/>
              </w:rPr>
            </w:pPr>
            <w:r>
              <w:rPr>
                <w:rFonts w:hint="eastAsia"/>
                <w:color w:val="auto"/>
                <w:highlight w:val="none"/>
                <w:lang w:eastAsia="zh-CN"/>
              </w:rPr>
              <w:t>系统提供</w:t>
            </w:r>
            <w:r>
              <w:rPr>
                <w:color w:val="auto"/>
                <w:highlight w:val="none"/>
                <w:lang w:eastAsia="zh-CN"/>
              </w:rPr>
              <w:t xml:space="preserve">OPC Server/Client </w:t>
            </w:r>
            <w:r>
              <w:rPr>
                <w:rFonts w:hint="eastAsia"/>
                <w:color w:val="auto"/>
                <w:highlight w:val="none"/>
                <w:lang w:eastAsia="zh-CN"/>
              </w:rPr>
              <w:t>功能，可以方便地与与其他系统</w:t>
            </w:r>
            <w:r>
              <w:rPr>
                <w:color w:val="auto"/>
                <w:highlight w:val="none"/>
                <w:lang w:eastAsia="zh-CN"/>
              </w:rPr>
              <w:t>(</w:t>
            </w:r>
            <w:r>
              <w:rPr>
                <w:rFonts w:hint="eastAsia"/>
                <w:color w:val="auto"/>
                <w:highlight w:val="none"/>
                <w:lang w:eastAsia="zh-CN"/>
              </w:rPr>
              <w:t>比如消防系统、安防系统</w:t>
            </w:r>
            <w:r>
              <w:rPr>
                <w:color w:val="auto"/>
                <w:highlight w:val="none"/>
                <w:lang w:eastAsia="zh-CN"/>
              </w:rPr>
              <w:t>)</w:t>
            </w:r>
            <w:r>
              <w:rPr>
                <w:rFonts w:hint="eastAsia"/>
                <w:color w:val="auto"/>
                <w:highlight w:val="none"/>
                <w:lang w:eastAsia="zh-CN"/>
              </w:rPr>
              <w:t>快速集成。</w:t>
            </w:r>
          </w:p>
          <w:p>
            <w:pPr>
              <w:rPr>
                <w:color w:val="auto"/>
                <w:highlight w:val="none"/>
                <w:lang w:eastAsia="zh-CN"/>
              </w:rPr>
            </w:pPr>
            <w:r>
              <w:rPr>
                <w:rFonts w:hint="eastAsia"/>
                <w:color w:val="auto"/>
                <w:highlight w:val="none"/>
                <w:lang w:eastAsia="zh-CN"/>
              </w:rPr>
              <w:t>保证高可靠性</w:t>
            </w:r>
          </w:p>
          <w:p>
            <w:pPr>
              <w:rPr>
                <w:color w:val="auto"/>
                <w:highlight w:val="none"/>
                <w:lang w:eastAsia="zh-CN"/>
              </w:rPr>
            </w:pPr>
            <w:r>
              <w:rPr>
                <w:rFonts w:hint="eastAsia"/>
                <w:color w:val="auto"/>
                <w:highlight w:val="none"/>
                <w:lang w:eastAsia="zh-CN"/>
              </w:rPr>
              <w:t>工作站具有双机热备份功能，当一台工作站出现故障之后，另一台工作站能自动进行工作。当出现故障的工作站恢复工作以后，另一台工作站能自动将所有的历史记录数据传输给该工作站，从而保证了整个系统的安全性及可靠性。</w:t>
            </w:r>
          </w:p>
          <w:p>
            <w:pPr>
              <w:rPr>
                <w:color w:val="auto"/>
                <w:highlight w:val="none"/>
                <w:lang w:eastAsia="zh-CN"/>
              </w:rPr>
            </w:pPr>
            <w:r>
              <w:rPr>
                <w:rFonts w:hint="eastAsia"/>
                <w:color w:val="auto"/>
                <w:highlight w:val="none"/>
                <w:lang w:eastAsia="zh-CN"/>
              </w:rPr>
              <w:t>当整个网络断开后，本地的控制系统应能由直接数字控制器继续提供稳定的系统控制。另外，当某个直接数字控制器出现故障时，对整个网络和其它控制器没有影响。在网络恢复正常工作后，所有直接数字控制器可以将存储的数据自动传到其他控制器和中央服务器。</w:t>
            </w:r>
          </w:p>
          <w:p>
            <w:pPr>
              <w:rPr>
                <w:color w:val="auto"/>
                <w:highlight w:val="none"/>
                <w:lang w:eastAsia="zh-CN"/>
              </w:rPr>
            </w:pPr>
            <w:r>
              <w:rPr>
                <w:rFonts w:hint="eastAsia"/>
                <w:color w:val="auto"/>
                <w:highlight w:val="none"/>
                <w:lang w:eastAsia="zh-CN"/>
              </w:rPr>
              <w:t>提升系统性能</w:t>
            </w:r>
          </w:p>
          <w:p>
            <w:pPr>
              <w:rPr>
                <w:color w:val="auto"/>
                <w:highlight w:val="none"/>
                <w:lang w:eastAsia="zh-CN"/>
              </w:rPr>
            </w:pPr>
            <w:r>
              <w:rPr>
                <w:rFonts w:hint="eastAsia"/>
                <w:color w:val="auto"/>
                <w:highlight w:val="none"/>
                <w:lang w:eastAsia="zh-CN"/>
              </w:rPr>
              <w:t>所有控制器只对本地设备进行管理，系统的负荷由控制器分担，中央服务器的负担只限于本地设备管理和全系统中关键报警和数据的备份。这样可以保证整个系统的高性能。</w:t>
            </w:r>
          </w:p>
          <w:p>
            <w:pPr>
              <w:rPr>
                <w:color w:val="auto"/>
                <w:highlight w:val="none"/>
                <w:lang w:eastAsia="zh-CN"/>
              </w:rPr>
            </w:pPr>
            <w:r>
              <w:rPr>
                <w:rFonts w:hint="eastAsia"/>
                <w:color w:val="auto"/>
                <w:highlight w:val="none"/>
                <w:lang w:eastAsia="zh-CN"/>
              </w:rPr>
              <w:t>管理简单</w:t>
            </w:r>
          </w:p>
          <w:p>
            <w:pPr>
              <w:rPr>
                <w:color w:val="auto"/>
                <w:highlight w:val="none"/>
                <w:lang w:eastAsia="zh-CN"/>
              </w:rPr>
            </w:pPr>
            <w:r>
              <w:rPr>
                <w:rFonts w:hint="eastAsia"/>
                <w:color w:val="auto"/>
                <w:highlight w:val="none"/>
                <w:lang w:eastAsia="zh-CN"/>
              </w:rPr>
              <w:t>中央服务器可以控制任何一个直接数字控制器中的设备，其报警可以自动传送到中央服务器，实现分布式控制，集中式管理。</w:t>
            </w:r>
          </w:p>
          <w:p>
            <w:pPr>
              <w:rPr>
                <w:color w:val="auto"/>
                <w:highlight w:val="none"/>
                <w:lang w:eastAsia="zh-CN"/>
              </w:rPr>
            </w:pPr>
            <w:r>
              <w:rPr>
                <w:rFonts w:hint="eastAsia"/>
                <w:color w:val="auto"/>
                <w:highlight w:val="none"/>
                <w:lang w:eastAsia="zh-CN"/>
              </w:rPr>
              <w:t>分布式数据库管理</w:t>
            </w:r>
          </w:p>
          <w:p>
            <w:pPr>
              <w:rPr>
                <w:color w:val="auto"/>
                <w:highlight w:val="none"/>
                <w:lang w:eastAsia="zh-CN"/>
              </w:rPr>
            </w:pPr>
            <w:r>
              <w:rPr>
                <w:rFonts w:hint="eastAsia"/>
                <w:color w:val="auto"/>
                <w:highlight w:val="none"/>
                <w:lang w:eastAsia="zh-CN"/>
              </w:rPr>
              <w:t>采用分布式的数据库，由后台的数据自动备份机制保障所有用户数据在各服务器中安全保存。</w:t>
            </w:r>
          </w:p>
          <w:p>
            <w:pPr>
              <w:rPr>
                <w:color w:val="auto"/>
                <w:highlight w:val="none"/>
                <w:lang w:eastAsia="zh-CN"/>
              </w:rPr>
            </w:pPr>
          </w:p>
          <w:p>
            <w:pPr>
              <w:rPr>
                <w:color w:val="auto"/>
                <w:highlight w:val="none"/>
                <w:lang w:eastAsia="zh-CN"/>
              </w:rPr>
            </w:pPr>
            <w:r>
              <w:rPr>
                <w:color w:val="auto"/>
                <w:highlight w:val="none"/>
                <w:lang w:eastAsia="zh-CN"/>
              </w:rPr>
              <w:t>2</w:t>
            </w:r>
            <w:r>
              <w:rPr>
                <w:rFonts w:hint="eastAsia"/>
                <w:color w:val="auto"/>
                <w:highlight w:val="none"/>
                <w:lang w:eastAsia="zh-CN"/>
              </w:rPr>
              <w:t>、监控范围：</w:t>
            </w:r>
          </w:p>
          <w:p>
            <w:pPr>
              <w:rPr>
                <w:color w:val="auto"/>
                <w:highlight w:val="none"/>
                <w:lang w:eastAsia="zh-CN"/>
              </w:rPr>
            </w:pPr>
            <w:r>
              <w:rPr>
                <w:rFonts w:hint="eastAsia"/>
                <w:color w:val="auto"/>
                <w:highlight w:val="none"/>
                <w:lang w:eastAsia="zh-CN"/>
              </w:rPr>
              <w:t>湛江市医院净化区域楼宇自控系统的工程范围包括：</w:t>
            </w:r>
          </w:p>
          <w:p>
            <w:pPr>
              <w:rPr>
                <w:color w:val="auto"/>
                <w:highlight w:val="none"/>
                <w:lang w:eastAsia="zh-CN"/>
              </w:rPr>
            </w:pPr>
            <w:r>
              <w:rPr>
                <w:color w:val="auto"/>
                <w:highlight w:val="none"/>
                <w:lang w:eastAsia="zh-CN"/>
              </w:rPr>
              <w:t>3</w:t>
            </w:r>
            <w:r>
              <w:rPr>
                <w:rFonts w:hint="eastAsia"/>
                <w:color w:val="auto"/>
                <w:highlight w:val="none"/>
                <w:lang w:eastAsia="zh-CN"/>
              </w:rPr>
              <w:t>、控制内容描述</w:t>
            </w:r>
          </w:p>
          <w:p>
            <w:pPr>
              <w:rPr>
                <w:color w:val="auto"/>
                <w:highlight w:val="none"/>
                <w:lang w:eastAsia="zh-CN"/>
              </w:rPr>
            </w:pPr>
            <w:r>
              <w:rPr>
                <w:color w:val="auto"/>
                <w:highlight w:val="none"/>
                <w:lang w:eastAsia="zh-CN"/>
              </w:rPr>
              <w:t>1.</w:t>
            </w:r>
            <w:r>
              <w:rPr>
                <w:rFonts w:hint="eastAsia"/>
                <w:color w:val="auto"/>
                <w:highlight w:val="none"/>
                <w:lang w:eastAsia="zh-CN"/>
              </w:rPr>
              <w:t>净化空调机组</w:t>
            </w:r>
          </w:p>
          <w:p>
            <w:pPr>
              <w:rPr>
                <w:color w:val="auto"/>
                <w:highlight w:val="none"/>
                <w:lang w:eastAsia="zh-CN"/>
              </w:rPr>
            </w:pPr>
            <w:r>
              <w:rPr>
                <w:rFonts w:hint="eastAsia"/>
                <w:color w:val="auto"/>
                <w:highlight w:val="none"/>
                <w:lang w:eastAsia="zh-CN"/>
              </w:rPr>
              <w:t>监测内容包括：</w:t>
            </w:r>
          </w:p>
          <w:p>
            <w:pPr>
              <w:rPr>
                <w:color w:val="auto"/>
                <w:highlight w:val="none"/>
                <w:lang w:eastAsia="zh-CN"/>
              </w:rPr>
            </w:pPr>
            <w:r>
              <w:rPr>
                <w:rFonts w:hint="eastAsia"/>
                <w:color w:val="auto"/>
                <w:highlight w:val="none"/>
                <w:lang w:eastAsia="zh-CN"/>
              </w:rPr>
              <w:t></w:t>
            </w:r>
            <w:r>
              <w:rPr>
                <w:color w:val="auto"/>
                <w:highlight w:val="none"/>
                <w:lang w:eastAsia="zh-CN"/>
              </w:rPr>
              <w:tab/>
            </w:r>
            <w:r>
              <w:rPr>
                <w:rFonts w:hint="eastAsia"/>
                <w:color w:val="auto"/>
                <w:highlight w:val="none"/>
                <w:lang w:eastAsia="zh-CN"/>
              </w:rPr>
              <w:t>送、排风机运行状态、故障报警、手</w:t>
            </w:r>
            <w:r>
              <w:rPr>
                <w:color w:val="auto"/>
                <w:highlight w:val="none"/>
                <w:lang w:eastAsia="zh-CN"/>
              </w:rPr>
              <w:t>/</w:t>
            </w:r>
            <w:r>
              <w:rPr>
                <w:rFonts w:hint="eastAsia"/>
                <w:color w:val="auto"/>
                <w:highlight w:val="none"/>
                <w:lang w:eastAsia="zh-CN"/>
              </w:rPr>
              <w:t>自动状态监测；</w:t>
            </w:r>
          </w:p>
          <w:p>
            <w:pPr>
              <w:rPr>
                <w:color w:val="auto"/>
                <w:highlight w:val="none"/>
                <w:lang w:eastAsia="zh-CN"/>
              </w:rPr>
            </w:pPr>
            <w:r>
              <w:rPr>
                <w:rFonts w:hint="eastAsia"/>
                <w:color w:val="auto"/>
                <w:highlight w:val="none"/>
                <w:lang w:eastAsia="zh-CN"/>
              </w:rPr>
              <w:t></w:t>
            </w:r>
            <w:r>
              <w:rPr>
                <w:color w:val="auto"/>
                <w:highlight w:val="none"/>
                <w:lang w:eastAsia="zh-CN"/>
              </w:rPr>
              <w:tab/>
            </w:r>
            <w:r>
              <w:rPr>
                <w:rFonts w:hint="eastAsia"/>
                <w:color w:val="auto"/>
                <w:highlight w:val="none"/>
                <w:lang w:eastAsia="zh-CN"/>
              </w:rPr>
              <w:t>送、排风机前后压差监测；</w:t>
            </w:r>
          </w:p>
          <w:p>
            <w:pPr>
              <w:rPr>
                <w:color w:val="auto"/>
                <w:highlight w:val="none"/>
                <w:lang w:eastAsia="zh-CN"/>
              </w:rPr>
            </w:pPr>
            <w:r>
              <w:rPr>
                <w:rFonts w:hint="eastAsia"/>
                <w:color w:val="auto"/>
                <w:highlight w:val="none"/>
                <w:lang w:eastAsia="zh-CN"/>
              </w:rPr>
              <w:t></w:t>
            </w:r>
            <w:r>
              <w:rPr>
                <w:color w:val="auto"/>
                <w:highlight w:val="none"/>
                <w:lang w:eastAsia="zh-CN"/>
              </w:rPr>
              <w:tab/>
            </w:r>
            <w:r>
              <w:rPr>
                <w:rFonts w:hint="eastAsia"/>
                <w:color w:val="auto"/>
                <w:highlight w:val="none"/>
                <w:lang w:eastAsia="zh-CN"/>
              </w:rPr>
              <w:t>初效过滤网阻塞报警监测；</w:t>
            </w:r>
          </w:p>
          <w:p>
            <w:pPr>
              <w:rPr>
                <w:color w:val="auto"/>
                <w:highlight w:val="none"/>
                <w:lang w:eastAsia="zh-CN"/>
              </w:rPr>
            </w:pPr>
            <w:r>
              <w:rPr>
                <w:rFonts w:hint="eastAsia"/>
                <w:color w:val="auto"/>
                <w:highlight w:val="none"/>
                <w:lang w:eastAsia="zh-CN"/>
              </w:rPr>
              <w:t></w:t>
            </w:r>
            <w:r>
              <w:rPr>
                <w:color w:val="auto"/>
                <w:highlight w:val="none"/>
                <w:lang w:eastAsia="zh-CN"/>
              </w:rPr>
              <w:tab/>
            </w:r>
            <w:r>
              <w:rPr>
                <w:rFonts w:hint="eastAsia"/>
                <w:color w:val="auto"/>
                <w:highlight w:val="none"/>
                <w:lang w:eastAsia="zh-CN"/>
              </w:rPr>
              <w:t>中效过滤网阻塞报警监测；</w:t>
            </w:r>
          </w:p>
          <w:p>
            <w:pPr>
              <w:rPr>
                <w:color w:val="auto"/>
                <w:highlight w:val="none"/>
                <w:lang w:eastAsia="zh-CN"/>
              </w:rPr>
            </w:pPr>
            <w:r>
              <w:rPr>
                <w:rFonts w:hint="eastAsia"/>
                <w:color w:val="auto"/>
                <w:highlight w:val="none"/>
                <w:lang w:eastAsia="zh-CN"/>
              </w:rPr>
              <w:t></w:t>
            </w:r>
            <w:r>
              <w:rPr>
                <w:color w:val="auto"/>
                <w:highlight w:val="none"/>
                <w:lang w:eastAsia="zh-CN"/>
              </w:rPr>
              <w:tab/>
            </w:r>
            <w:r>
              <w:rPr>
                <w:rFonts w:hint="eastAsia"/>
                <w:color w:val="auto"/>
                <w:highlight w:val="none"/>
                <w:lang w:eastAsia="zh-CN"/>
              </w:rPr>
              <w:t>送风机变频器频率反馈及故障报警；</w:t>
            </w:r>
          </w:p>
          <w:p>
            <w:pPr>
              <w:rPr>
                <w:color w:val="auto"/>
                <w:highlight w:val="none"/>
                <w:lang w:eastAsia="zh-CN"/>
              </w:rPr>
            </w:pPr>
            <w:r>
              <w:rPr>
                <w:rFonts w:hint="eastAsia"/>
                <w:color w:val="auto"/>
                <w:highlight w:val="none"/>
                <w:lang w:eastAsia="zh-CN"/>
              </w:rPr>
              <w:t></w:t>
            </w:r>
            <w:r>
              <w:rPr>
                <w:color w:val="auto"/>
                <w:highlight w:val="none"/>
                <w:lang w:eastAsia="zh-CN"/>
              </w:rPr>
              <w:tab/>
            </w:r>
            <w:r>
              <w:rPr>
                <w:rFonts w:hint="eastAsia"/>
                <w:color w:val="auto"/>
                <w:highlight w:val="none"/>
                <w:lang w:eastAsia="zh-CN"/>
              </w:rPr>
              <w:t>送、回风温湿度监测；</w:t>
            </w:r>
          </w:p>
          <w:p>
            <w:pPr>
              <w:rPr>
                <w:color w:val="auto"/>
                <w:highlight w:val="none"/>
                <w:lang w:eastAsia="zh-CN"/>
              </w:rPr>
            </w:pPr>
            <w:r>
              <w:rPr>
                <w:rFonts w:hint="eastAsia"/>
                <w:color w:val="auto"/>
                <w:highlight w:val="none"/>
                <w:lang w:eastAsia="zh-CN"/>
              </w:rPr>
              <w:t></w:t>
            </w:r>
            <w:r>
              <w:rPr>
                <w:color w:val="auto"/>
                <w:highlight w:val="none"/>
                <w:lang w:eastAsia="zh-CN"/>
              </w:rPr>
              <w:tab/>
            </w:r>
            <w:r>
              <w:rPr>
                <w:rFonts w:hint="eastAsia"/>
                <w:color w:val="auto"/>
                <w:highlight w:val="none"/>
                <w:lang w:eastAsia="zh-CN"/>
              </w:rPr>
              <w:t>送风风量监测；</w:t>
            </w:r>
          </w:p>
          <w:p>
            <w:pPr>
              <w:rPr>
                <w:color w:val="auto"/>
                <w:highlight w:val="none"/>
                <w:lang w:eastAsia="zh-CN"/>
              </w:rPr>
            </w:pPr>
            <w:r>
              <w:rPr>
                <w:rFonts w:hint="eastAsia"/>
                <w:color w:val="auto"/>
                <w:highlight w:val="none"/>
                <w:lang w:eastAsia="zh-CN"/>
              </w:rPr>
              <w:t></w:t>
            </w:r>
            <w:r>
              <w:rPr>
                <w:color w:val="auto"/>
                <w:highlight w:val="none"/>
                <w:lang w:eastAsia="zh-CN"/>
              </w:rPr>
              <w:tab/>
            </w:r>
            <w:r>
              <w:rPr>
                <w:rFonts w:hint="eastAsia"/>
                <w:color w:val="auto"/>
                <w:highlight w:val="none"/>
                <w:lang w:eastAsia="zh-CN"/>
              </w:rPr>
              <w:t>送风静压监测；</w:t>
            </w:r>
          </w:p>
          <w:p>
            <w:pPr>
              <w:rPr>
                <w:color w:val="auto"/>
                <w:highlight w:val="none"/>
                <w:lang w:eastAsia="zh-CN"/>
              </w:rPr>
            </w:pPr>
            <w:r>
              <w:rPr>
                <w:rFonts w:hint="eastAsia"/>
                <w:color w:val="auto"/>
                <w:highlight w:val="none"/>
                <w:lang w:eastAsia="zh-CN"/>
              </w:rPr>
              <w:t></w:t>
            </w:r>
            <w:r>
              <w:rPr>
                <w:color w:val="auto"/>
                <w:highlight w:val="none"/>
                <w:lang w:eastAsia="zh-CN"/>
              </w:rPr>
              <w:tab/>
            </w:r>
            <w:r>
              <w:rPr>
                <w:rFonts w:hint="eastAsia"/>
                <w:color w:val="auto"/>
                <w:highlight w:val="none"/>
                <w:lang w:eastAsia="zh-CN"/>
              </w:rPr>
              <w:t>房间微压差监测；</w:t>
            </w:r>
          </w:p>
          <w:p>
            <w:pPr>
              <w:rPr>
                <w:color w:val="auto"/>
                <w:highlight w:val="none"/>
                <w:lang w:eastAsia="zh-CN"/>
              </w:rPr>
            </w:pPr>
            <w:r>
              <w:rPr>
                <w:rFonts w:hint="eastAsia"/>
                <w:color w:val="auto"/>
                <w:highlight w:val="none"/>
                <w:lang w:eastAsia="zh-CN"/>
              </w:rPr>
              <w:t></w:t>
            </w:r>
            <w:r>
              <w:rPr>
                <w:color w:val="auto"/>
                <w:highlight w:val="none"/>
                <w:lang w:eastAsia="zh-CN"/>
              </w:rPr>
              <w:tab/>
            </w:r>
            <w:r>
              <w:rPr>
                <w:rFonts w:hint="eastAsia"/>
                <w:color w:val="auto"/>
                <w:highlight w:val="none"/>
                <w:lang w:eastAsia="zh-CN"/>
              </w:rPr>
              <w:t>房间送风高效过滤器报警监测；</w:t>
            </w:r>
          </w:p>
          <w:p>
            <w:pPr>
              <w:rPr>
                <w:color w:val="auto"/>
                <w:highlight w:val="none"/>
                <w:lang w:eastAsia="zh-CN"/>
              </w:rPr>
            </w:pPr>
            <w:r>
              <w:rPr>
                <w:rFonts w:hint="eastAsia"/>
                <w:color w:val="auto"/>
                <w:highlight w:val="none"/>
                <w:lang w:eastAsia="zh-CN"/>
              </w:rPr>
              <w:t></w:t>
            </w:r>
            <w:r>
              <w:rPr>
                <w:color w:val="auto"/>
                <w:highlight w:val="none"/>
                <w:lang w:eastAsia="zh-CN"/>
              </w:rPr>
              <w:tab/>
            </w:r>
            <w:r>
              <w:rPr>
                <w:rFonts w:hint="eastAsia"/>
                <w:color w:val="auto"/>
                <w:highlight w:val="none"/>
                <w:lang w:eastAsia="zh-CN"/>
              </w:rPr>
              <w:t>房间门开关状态监测；</w:t>
            </w:r>
          </w:p>
          <w:p>
            <w:pPr>
              <w:rPr>
                <w:color w:val="auto"/>
                <w:highlight w:val="none"/>
                <w:lang w:eastAsia="zh-CN"/>
              </w:rPr>
            </w:pPr>
            <w:r>
              <w:rPr>
                <w:rFonts w:hint="eastAsia"/>
                <w:color w:val="auto"/>
                <w:highlight w:val="none"/>
                <w:lang w:eastAsia="zh-CN"/>
              </w:rPr>
              <w:t></w:t>
            </w:r>
            <w:r>
              <w:rPr>
                <w:color w:val="auto"/>
                <w:highlight w:val="none"/>
                <w:lang w:eastAsia="zh-CN"/>
              </w:rPr>
              <w:tab/>
            </w:r>
            <w:r>
              <w:rPr>
                <w:rFonts w:hint="eastAsia"/>
                <w:color w:val="auto"/>
                <w:highlight w:val="none"/>
                <w:lang w:eastAsia="zh-CN"/>
              </w:rPr>
              <w:t>系统正常运行所必需的其他监测和控制；</w:t>
            </w:r>
          </w:p>
          <w:p>
            <w:pPr>
              <w:rPr>
                <w:color w:val="auto"/>
                <w:highlight w:val="none"/>
                <w:lang w:eastAsia="zh-CN"/>
              </w:rPr>
            </w:pPr>
            <w:r>
              <w:rPr>
                <w:rFonts w:hint="eastAsia"/>
                <w:color w:val="auto"/>
                <w:highlight w:val="none"/>
                <w:lang w:eastAsia="zh-CN"/>
              </w:rPr>
              <w:t></w:t>
            </w:r>
            <w:r>
              <w:rPr>
                <w:color w:val="auto"/>
                <w:highlight w:val="none"/>
                <w:lang w:eastAsia="zh-CN"/>
              </w:rPr>
              <w:tab/>
            </w:r>
            <w:r>
              <w:rPr>
                <w:rFonts w:hint="eastAsia"/>
                <w:color w:val="auto"/>
                <w:highlight w:val="none"/>
                <w:lang w:eastAsia="zh-CN"/>
              </w:rPr>
              <w:t>房间面板温湿度显示及调节设定；</w:t>
            </w:r>
          </w:p>
          <w:p>
            <w:pPr>
              <w:rPr>
                <w:color w:val="auto"/>
                <w:highlight w:val="none"/>
                <w:lang w:eastAsia="zh-CN"/>
              </w:rPr>
            </w:pPr>
            <w:r>
              <w:rPr>
                <w:rFonts w:hint="eastAsia"/>
                <w:color w:val="auto"/>
                <w:highlight w:val="none"/>
                <w:lang w:eastAsia="zh-CN"/>
              </w:rPr>
              <w:t></w:t>
            </w:r>
            <w:r>
              <w:rPr>
                <w:color w:val="auto"/>
                <w:highlight w:val="none"/>
                <w:lang w:eastAsia="zh-CN"/>
              </w:rPr>
              <w:tab/>
            </w:r>
            <w:r>
              <w:rPr>
                <w:rFonts w:hint="eastAsia"/>
                <w:color w:val="auto"/>
                <w:highlight w:val="none"/>
                <w:lang w:eastAsia="zh-CN"/>
              </w:rPr>
              <w:t>房间面板空调机组排风机启停设定及故障报警；</w:t>
            </w:r>
          </w:p>
          <w:p>
            <w:pPr>
              <w:rPr>
                <w:color w:val="auto"/>
                <w:highlight w:val="none"/>
                <w:lang w:eastAsia="zh-CN"/>
              </w:rPr>
            </w:pPr>
            <w:r>
              <w:rPr>
                <w:rFonts w:hint="eastAsia"/>
                <w:color w:val="auto"/>
                <w:highlight w:val="none"/>
                <w:lang w:eastAsia="zh-CN"/>
              </w:rPr>
              <w:t></w:t>
            </w:r>
            <w:r>
              <w:rPr>
                <w:color w:val="auto"/>
                <w:highlight w:val="none"/>
                <w:lang w:eastAsia="zh-CN"/>
              </w:rPr>
              <w:tab/>
            </w:r>
            <w:r>
              <w:rPr>
                <w:rFonts w:hint="eastAsia"/>
                <w:color w:val="auto"/>
                <w:highlight w:val="none"/>
                <w:lang w:eastAsia="zh-CN"/>
              </w:rPr>
              <w:t>房间面板高效过滤器报警；</w:t>
            </w:r>
          </w:p>
          <w:p>
            <w:pPr>
              <w:rPr>
                <w:color w:val="auto"/>
                <w:highlight w:val="none"/>
                <w:lang w:eastAsia="zh-CN"/>
              </w:rPr>
            </w:pPr>
            <w:r>
              <w:rPr>
                <w:rFonts w:hint="eastAsia"/>
                <w:color w:val="auto"/>
                <w:highlight w:val="none"/>
                <w:lang w:eastAsia="zh-CN"/>
              </w:rPr>
              <w:t>控制内容包括：</w:t>
            </w:r>
          </w:p>
          <w:p>
            <w:pPr>
              <w:rPr>
                <w:color w:val="auto"/>
                <w:highlight w:val="none"/>
                <w:lang w:eastAsia="zh-CN"/>
              </w:rPr>
            </w:pPr>
            <w:r>
              <w:rPr>
                <w:rFonts w:hint="eastAsia"/>
                <w:color w:val="auto"/>
                <w:highlight w:val="none"/>
                <w:lang w:eastAsia="zh-CN"/>
              </w:rPr>
              <w:t>根据时间程序及需求控制空调风机的启停；风机与新风门、回风门、水阀联动控制；根据手术室门开关状态控制排风机启停。</w:t>
            </w:r>
          </w:p>
          <w:p>
            <w:pPr>
              <w:rPr>
                <w:color w:val="auto"/>
                <w:highlight w:val="none"/>
                <w:lang w:eastAsia="zh-CN"/>
              </w:rPr>
            </w:pPr>
            <w:r>
              <w:rPr>
                <w:rFonts w:hint="eastAsia"/>
                <w:color w:val="auto"/>
                <w:highlight w:val="none"/>
                <w:lang w:eastAsia="zh-CN"/>
              </w:rPr>
              <w:t>由回风温度控制冷热水电动调节阀的开度；水阀与风机联锁，冬季风机停机时热水阀应保持至少</w:t>
            </w:r>
            <w:r>
              <w:rPr>
                <w:color w:val="auto"/>
                <w:highlight w:val="none"/>
                <w:lang w:eastAsia="zh-CN"/>
              </w:rPr>
              <w:t>10%</w:t>
            </w:r>
            <w:r>
              <w:rPr>
                <w:rFonts w:hint="eastAsia"/>
                <w:color w:val="auto"/>
                <w:highlight w:val="none"/>
                <w:lang w:eastAsia="zh-CN"/>
              </w:rPr>
              <w:t>的开度。</w:t>
            </w:r>
          </w:p>
          <w:p>
            <w:pPr>
              <w:rPr>
                <w:color w:val="auto"/>
                <w:highlight w:val="none"/>
                <w:lang w:eastAsia="zh-CN"/>
              </w:rPr>
            </w:pPr>
            <w:r>
              <w:rPr>
                <w:rFonts w:hint="eastAsia"/>
                <w:color w:val="auto"/>
                <w:highlight w:val="none"/>
                <w:lang w:eastAsia="zh-CN"/>
              </w:rPr>
              <w:t>由回风湿度传感器控制冬季空调加湿量。</w:t>
            </w:r>
          </w:p>
          <w:p>
            <w:pPr>
              <w:rPr>
                <w:color w:val="auto"/>
                <w:highlight w:val="none"/>
                <w:lang w:eastAsia="zh-CN"/>
              </w:rPr>
            </w:pPr>
            <w:r>
              <w:rPr>
                <w:rFonts w:hint="eastAsia"/>
                <w:color w:val="auto"/>
                <w:highlight w:val="none"/>
                <w:lang w:eastAsia="zh-CN"/>
              </w:rPr>
              <w:t>由送风量控制送风机变频器频率。</w:t>
            </w:r>
          </w:p>
          <w:p>
            <w:pPr>
              <w:rPr>
                <w:color w:val="auto"/>
                <w:highlight w:val="none"/>
                <w:lang w:eastAsia="zh-CN"/>
              </w:rPr>
            </w:pPr>
          </w:p>
          <w:p>
            <w:pPr>
              <w:rPr>
                <w:color w:val="auto"/>
                <w:highlight w:val="none"/>
                <w:lang w:eastAsia="zh-CN"/>
              </w:rPr>
            </w:pPr>
            <w:r>
              <w:rPr>
                <w:color w:val="auto"/>
                <w:highlight w:val="none"/>
                <w:lang w:eastAsia="zh-CN"/>
              </w:rPr>
              <w:t>2.</w:t>
            </w:r>
            <w:r>
              <w:rPr>
                <w:rFonts w:hint="eastAsia"/>
                <w:color w:val="auto"/>
                <w:highlight w:val="none"/>
                <w:lang w:eastAsia="zh-CN"/>
              </w:rPr>
              <w:t>新风处理机组</w:t>
            </w:r>
          </w:p>
          <w:p>
            <w:pPr>
              <w:rPr>
                <w:color w:val="auto"/>
                <w:highlight w:val="none"/>
                <w:lang w:eastAsia="zh-CN"/>
              </w:rPr>
            </w:pPr>
            <w:r>
              <w:rPr>
                <w:rFonts w:hint="eastAsia"/>
                <w:color w:val="auto"/>
                <w:highlight w:val="none"/>
                <w:lang w:eastAsia="zh-CN"/>
              </w:rPr>
              <w:t>监测内容包括：</w:t>
            </w:r>
          </w:p>
          <w:p>
            <w:pPr>
              <w:rPr>
                <w:color w:val="auto"/>
                <w:highlight w:val="none"/>
                <w:lang w:eastAsia="zh-CN"/>
              </w:rPr>
            </w:pPr>
            <w:r>
              <w:rPr>
                <w:rFonts w:hint="eastAsia"/>
                <w:color w:val="auto"/>
                <w:highlight w:val="none"/>
                <w:lang w:eastAsia="zh-CN"/>
              </w:rPr>
              <w:t></w:t>
            </w:r>
            <w:r>
              <w:rPr>
                <w:color w:val="auto"/>
                <w:highlight w:val="none"/>
                <w:lang w:eastAsia="zh-CN"/>
              </w:rPr>
              <w:tab/>
            </w:r>
            <w:r>
              <w:rPr>
                <w:rFonts w:hint="eastAsia"/>
                <w:color w:val="auto"/>
                <w:highlight w:val="none"/>
                <w:lang w:eastAsia="zh-CN"/>
              </w:rPr>
              <w:t>送风机运行状态、故障报警、手</w:t>
            </w:r>
            <w:r>
              <w:rPr>
                <w:color w:val="auto"/>
                <w:highlight w:val="none"/>
                <w:lang w:eastAsia="zh-CN"/>
              </w:rPr>
              <w:t>/</w:t>
            </w:r>
            <w:r>
              <w:rPr>
                <w:rFonts w:hint="eastAsia"/>
                <w:color w:val="auto"/>
                <w:highlight w:val="none"/>
                <w:lang w:eastAsia="zh-CN"/>
              </w:rPr>
              <w:t>自动状态监测；</w:t>
            </w:r>
          </w:p>
          <w:p>
            <w:pPr>
              <w:rPr>
                <w:color w:val="auto"/>
                <w:highlight w:val="none"/>
                <w:lang w:eastAsia="zh-CN"/>
              </w:rPr>
            </w:pPr>
            <w:r>
              <w:rPr>
                <w:rFonts w:hint="eastAsia"/>
                <w:color w:val="auto"/>
                <w:highlight w:val="none"/>
                <w:lang w:eastAsia="zh-CN"/>
              </w:rPr>
              <w:t></w:t>
            </w:r>
            <w:r>
              <w:rPr>
                <w:color w:val="auto"/>
                <w:highlight w:val="none"/>
                <w:lang w:eastAsia="zh-CN"/>
              </w:rPr>
              <w:tab/>
            </w:r>
            <w:r>
              <w:rPr>
                <w:rFonts w:hint="eastAsia"/>
                <w:color w:val="auto"/>
                <w:highlight w:val="none"/>
                <w:lang w:eastAsia="zh-CN"/>
              </w:rPr>
              <w:t>送风机前后压差监测；</w:t>
            </w:r>
          </w:p>
          <w:p>
            <w:pPr>
              <w:rPr>
                <w:color w:val="auto"/>
                <w:highlight w:val="none"/>
                <w:lang w:eastAsia="zh-CN"/>
              </w:rPr>
            </w:pPr>
            <w:r>
              <w:rPr>
                <w:rFonts w:hint="eastAsia"/>
                <w:color w:val="auto"/>
                <w:highlight w:val="none"/>
                <w:lang w:eastAsia="zh-CN"/>
              </w:rPr>
              <w:t></w:t>
            </w:r>
            <w:r>
              <w:rPr>
                <w:color w:val="auto"/>
                <w:highlight w:val="none"/>
                <w:lang w:eastAsia="zh-CN"/>
              </w:rPr>
              <w:tab/>
            </w:r>
            <w:r>
              <w:rPr>
                <w:rFonts w:hint="eastAsia"/>
                <w:color w:val="auto"/>
                <w:highlight w:val="none"/>
                <w:lang w:eastAsia="zh-CN"/>
              </w:rPr>
              <w:t>初效过滤网阻塞报警监测；</w:t>
            </w:r>
          </w:p>
          <w:p>
            <w:pPr>
              <w:rPr>
                <w:color w:val="auto"/>
                <w:highlight w:val="none"/>
                <w:lang w:eastAsia="zh-CN"/>
              </w:rPr>
            </w:pPr>
            <w:r>
              <w:rPr>
                <w:rFonts w:hint="eastAsia"/>
                <w:color w:val="auto"/>
                <w:highlight w:val="none"/>
                <w:lang w:eastAsia="zh-CN"/>
              </w:rPr>
              <w:t></w:t>
            </w:r>
            <w:r>
              <w:rPr>
                <w:color w:val="auto"/>
                <w:highlight w:val="none"/>
                <w:lang w:eastAsia="zh-CN"/>
              </w:rPr>
              <w:tab/>
            </w:r>
            <w:r>
              <w:rPr>
                <w:rFonts w:hint="eastAsia"/>
                <w:color w:val="auto"/>
                <w:highlight w:val="none"/>
                <w:lang w:eastAsia="zh-CN"/>
              </w:rPr>
              <w:t>中效过滤网阻塞报警监测；</w:t>
            </w:r>
          </w:p>
          <w:p>
            <w:pPr>
              <w:rPr>
                <w:color w:val="auto"/>
                <w:highlight w:val="none"/>
                <w:lang w:eastAsia="zh-CN"/>
              </w:rPr>
            </w:pPr>
            <w:r>
              <w:rPr>
                <w:rFonts w:hint="eastAsia"/>
                <w:color w:val="auto"/>
                <w:highlight w:val="none"/>
                <w:lang w:eastAsia="zh-CN"/>
              </w:rPr>
              <w:t></w:t>
            </w:r>
            <w:r>
              <w:rPr>
                <w:color w:val="auto"/>
                <w:highlight w:val="none"/>
                <w:lang w:eastAsia="zh-CN"/>
              </w:rPr>
              <w:tab/>
            </w:r>
            <w:r>
              <w:rPr>
                <w:rFonts w:hint="eastAsia"/>
                <w:color w:val="auto"/>
                <w:highlight w:val="none"/>
                <w:lang w:eastAsia="zh-CN"/>
              </w:rPr>
              <w:t>亚高效过滤网阻塞报警监测；</w:t>
            </w:r>
          </w:p>
          <w:p>
            <w:pPr>
              <w:rPr>
                <w:color w:val="auto"/>
                <w:highlight w:val="none"/>
                <w:lang w:eastAsia="zh-CN"/>
              </w:rPr>
            </w:pPr>
            <w:r>
              <w:rPr>
                <w:rFonts w:hint="eastAsia"/>
                <w:color w:val="auto"/>
                <w:highlight w:val="none"/>
                <w:lang w:eastAsia="zh-CN"/>
              </w:rPr>
              <w:t></w:t>
            </w:r>
            <w:r>
              <w:rPr>
                <w:color w:val="auto"/>
                <w:highlight w:val="none"/>
                <w:lang w:eastAsia="zh-CN"/>
              </w:rPr>
              <w:tab/>
            </w:r>
            <w:r>
              <w:rPr>
                <w:rFonts w:hint="eastAsia"/>
                <w:color w:val="auto"/>
                <w:highlight w:val="none"/>
                <w:lang w:eastAsia="zh-CN"/>
              </w:rPr>
              <w:t>送风机变频器频率反馈及故障报警；</w:t>
            </w:r>
          </w:p>
          <w:p>
            <w:pPr>
              <w:rPr>
                <w:color w:val="auto"/>
                <w:highlight w:val="none"/>
                <w:lang w:eastAsia="zh-CN"/>
              </w:rPr>
            </w:pPr>
            <w:r>
              <w:rPr>
                <w:rFonts w:hint="eastAsia"/>
                <w:color w:val="auto"/>
                <w:highlight w:val="none"/>
                <w:lang w:eastAsia="zh-CN"/>
              </w:rPr>
              <w:t></w:t>
            </w:r>
            <w:r>
              <w:rPr>
                <w:color w:val="auto"/>
                <w:highlight w:val="none"/>
                <w:lang w:eastAsia="zh-CN"/>
              </w:rPr>
              <w:tab/>
            </w:r>
            <w:r>
              <w:rPr>
                <w:rFonts w:hint="eastAsia"/>
                <w:color w:val="auto"/>
                <w:highlight w:val="none"/>
                <w:lang w:eastAsia="zh-CN"/>
              </w:rPr>
              <w:t>送风温湿度监测；</w:t>
            </w:r>
          </w:p>
          <w:p>
            <w:pPr>
              <w:rPr>
                <w:color w:val="auto"/>
                <w:highlight w:val="none"/>
                <w:lang w:eastAsia="zh-CN"/>
              </w:rPr>
            </w:pPr>
            <w:r>
              <w:rPr>
                <w:rFonts w:hint="eastAsia"/>
                <w:color w:val="auto"/>
                <w:highlight w:val="none"/>
                <w:lang w:eastAsia="zh-CN"/>
              </w:rPr>
              <w:t></w:t>
            </w:r>
            <w:r>
              <w:rPr>
                <w:color w:val="auto"/>
                <w:highlight w:val="none"/>
                <w:lang w:eastAsia="zh-CN"/>
              </w:rPr>
              <w:tab/>
            </w:r>
            <w:r>
              <w:rPr>
                <w:rFonts w:hint="eastAsia"/>
                <w:color w:val="auto"/>
                <w:highlight w:val="none"/>
                <w:lang w:eastAsia="zh-CN"/>
              </w:rPr>
              <w:t>送风静压监测；</w:t>
            </w:r>
          </w:p>
          <w:p>
            <w:pPr>
              <w:rPr>
                <w:color w:val="auto"/>
                <w:highlight w:val="none"/>
                <w:lang w:eastAsia="zh-CN"/>
              </w:rPr>
            </w:pPr>
            <w:r>
              <w:rPr>
                <w:rFonts w:hint="eastAsia"/>
                <w:color w:val="auto"/>
                <w:highlight w:val="none"/>
                <w:lang w:eastAsia="zh-CN"/>
              </w:rPr>
              <w:t></w:t>
            </w:r>
            <w:r>
              <w:rPr>
                <w:color w:val="auto"/>
                <w:highlight w:val="none"/>
                <w:lang w:eastAsia="zh-CN"/>
              </w:rPr>
              <w:tab/>
            </w:r>
            <w:r>
              <w:rPr>
                <w:rFonts w:hint="eastAsia"/>
                <w:color w:val="auto"/>
                <w:highlight w:val="none"/>
                <w:lang w:eastAsia="zh-CN"/>
              </w:rPr>
              <w:t>新风温湿度监测（测一组即可）</w:t>
            </w:r>
          </w:p>
          <w:p>
            <w:pPr>
              <w:rPr>
                <w:color w:val="auto"/>
                <w:highlight w:val="none"/>
                <w:lang w:eastAsia="zh-CN"/>
              </w:rPr>
            </w:pPr>
            <w:r>
              <w:rPr>
                <w:rFonts w:hint="eastAsia"/>
                <w:color w:val="auto"/>
                <w:highlight w:val="none"/>
                <w:lang w:eastAsia="zh-CN"/>
              </w:rPr>
              <w:t></w:t>
            </w:r>
            <w:r>
              <w:rPr>
                <w:color w:val="auto"/>
                <w:highlight w:val="none"/>
                <w:lang w:eastAsia="zh-CN"/>
              </w:rPr>
              <w:tab/>
            </w:r>
            <w:r>
              <w:rPr>
                <w:rFonts w:hint="eastAsia"/>
                <w:color w:val="auto"/>
                <w:highlight w:val="none"/>
                <w:lang w:eastAsia="zh-CN"/>
              </w:rPr>
              <w:t>系统正常运行所必需的其他监测和控制；</w:t>
            </w:r>
          </w:p>
          <w:p>
            <w:pPr>
              <w:rPr>
                <w:color w:val="auto"/>
                <w:highlight w:val="none"/>
                <w:lang w:eastAsia="zh-CN"/>
              </w:rPr>
            </w:pPr>
            <w:r>
              <w:rPr>
                <w:rFonts w:hint="eastAsia"/>
                <w:color w:val="auto"/>
                <w:highlight w:val="none"/>
                <w:lang w:eastAsia="zh-CN"/>
              </w:rPr>
              <w:t>控制内容包括：</w:t>
            </w:r>
          </w:p>
          <w:p>
            <w:pPr>
              <w:rPr>
                <w:color w:val="auto"/>
                <w:highlight w:val="none"/>
                <w:lang w:eastAsia="zh-CN"/>
              </w:rPr>
            </w:pPr>
            <w:r>
              <w:rPr>
                <w:rFonts w:hint="eastAsia"/>
                <w:color w:val="auto"/>
                <w:highlight w:val="none"/>
                <w:lang w:eastAsia="zh-CN"/>
              </w:rPr>
              <w:t>根据时间程序及需求控制新风风机的启停；风机与新风门、水阀联动控制。</w:t>
            </w:r>
          </w:p>
          <w:p>
            <w:pPr>
              <w:rPr>
                <w:color w:val="auto"/>
                <w:highlight w:val="none"/>
                <w:lang w:eastAsia="zh-CN"/>
              </w:rPr>
            </w:pPr>
            <w:r>
              <w:rPr>
                <w:rFonts w:hint="eastAsia"/>
                <w:color w:val="auto"/>
                <w:highlight w:val="none"/>
                <w:lang w:eastAsia="zh-CN"/>
              </w:rPr>
              <w:t>由送风温度控制冷热水电动调节阀的开度；水阀与风机联锁，冬季风机停机时热水阀应保持至少</w:t>
            </w:r>
            <w:r>
              <w:rPr>
                <w:color w:val="auto"/>
                <w:highlight w:val="none"/>
                <w:lang w:eastAsia="zh-CN"/>
              </w:rPr>
              <w:t>10%</w:t>
            </w:r>
            <w:r>
              <w:rPr>
                <w:rFonts w:hint="eastAsia"/>
                <w:color w:val="auto"/>
                <w:highlight w:val="none"/>
                <w:lang w:eastAsia="zh-CN"/>
              </w:rPr>
              <w:t>的开度。</w:t>
            </w:r>
          </w:p>
          <w:p>
            <w:pPr>
              <w:rPr>
                <w:color w:val="auto"/>
                <w:highlight w:val="none"/>
                <w:lang w:eastAsia="zh-CN"/>
              </w:rPr>
            </w:pPr>
            <w:r>
              <w:rPr>
                <w:rFonts w:hint="eastAsia"/>
                <w:color w:val="auto"/>
                <w:highlight w:val="none"/>
                <w:lang w:eastAsia="zh-CN"/>
              </w:rPr>
              <w:t>由送风静压控制送风机变频器频率。</w:t>
            </w:r>
          </w:p>
          <w:p>
            <w:pPr>
              <w:rPr>
                <w:color w:val="auto"/>
                <w:highlight w:val="none"/>
                <w:lang w:eastAsia="zh-CN"/>
              </w:rPr>
            </w:pPr>
          </w:p>
          <w:p>
            <w:pPr>
              <w:rPr>
                <w:color w:val="auto"/>
                <w:highlight w:val="none"/>
                <w:lang w:eastAsia="zh-CN"/>
              </w:rPr>
            </w:pPr>
            <w:r>
              <w:rPr>
                <w:color w:val="auto"/>
                <w:highlight w:val="none"/>
                <w:lang w:eastAsia="zh-CN"/>
              </w:rPr>
              <w:t>3.</w:t>
            </w:r>
            <w:r>
              <w:rPr>
                <w:rFonts w:hint="eastAsia"/>
                <w:color w:val="auto"/>
                <w:highlight w:val="none"/>
                <w:lang w:eastAsia="zh-CN"/>
              </w:rPr>
              <w:t>实验区（检验科、病理科、静脉配置中心）控制</w:t>
            </w:r>
          </w:p>
          <w:p>
            <w:pPr>
              <w:rPr>
                <w:color w:val="auto"/>
                <w:highlight w:val="none"/>
                <w:lang w:eastAsia="zh-CN"/>
              </w:rPr>
            </w:pPr>
            <w:r>
              <w:rPr>
                <w:color w:val="auto"/>
                <w:highlight w:val="none"/>
                <w:lang w:eastAsia="zh-CN"/>
              </w:rPr>
              <w:t xml:space="preserve">3.1. </w:t>
            </w:r>
            <w:r>
              <w:rPr>
                <w:rFonts w:hint="eastAsia"/>
                <w:color w:val="auto"/>
                <w:highlight w:val="none"/>
                <w:lang w:eastAsia="zh-CN"/>
              </w:rPr>
              <w:t>通风柜面风速控制</w:t>
            </w:r>
          </w:p>
          <w:p>
            <w:pPr>
              <w:rPr>
                <w:color w:val="auto"/>
                <w:highlight w:val="none"/>
                <w:lang w:eastAsia="zh-CN"/>
              </w:rPr>
            </w:pPr>
            <w:r>
              <w:rPr>
                <w:rFonts w:hint="eastAsia"/>
                <w:color w:val="auto"/>
                <w:highlight w:val="none"/>
                <w:lang w:eastAsia="zh-CN"/>
              </w:rPr>
              <w:t>通风柜面风速应保持在</w:t>
            </w:r>
            <w:r>
              <w:rPr>
                <w:color w:val="auto"/>
                <w:highlight w:val="none"/>
                <w:lang w:eastAsia="zh-CN"/>
              </w:rPr>
              <w:t>(0.4~0.6) m/s</w:t>
            </w:r>
            <w:r>
              <w:rPr>
                <w:rFonts w:hint="eastAsia"/>
                <w:color w:val="auto"/>
                <w:highlight w:val="none"/>
                <w:lang w:eastAsia="zh-CN"/>
              </w:rPr>
              <w:t>。采用面风速传感器。实测面风速，通过面风速的监测对排风设定值进行设定，同时实测排风量，调节风阀开度保持风量实际值与设定值一致。</w:t>
            </w:r>
          </w:p>
          <w:p>
            <w:pPr>
              <w:rPr>
                <w:color w:val="auto"/>
                <w:highlight w:val="none"/>
                <w:lang w:eastAsia="zh-CN"/>
              </w:rPr>
            </w:pPr>
            <w:r>
              <w:rPr>
                <w:rFonts w:hint="eastAsia"/>
                <w:color w:val="auto"/>
                <w:highlight w:val="none"/>
                <w:lang w:eastAsia="zh-CN"/>
              </w:rPr>
              <w:t>将面风速传感器安装于通风柜内壁或顶部，实际测量该风速，并传给排风</w:t>
            </w:r>
            <w:r>
              <w:rPr>
                <w:color w:val="auto"/>
                <w:highlight w:val="none"/>
                <w:lang w:eastAsia="zh-CN"/>
              </w:rPr>
              <w:t>VAV</w:t>
            </w:r>
            <w:r>
              <w:rPr>
                <w:rFonts w:hint="eastAsia"/>
                <w:color w:val="auto"/>
                <w:highlight w:val="none"/>
                <w:lang w:eastAsia="zh-CN"/>
              </w:rPr>
              <w:t>流量控制器，排风风量控制装置控制器通过面风速与设定值</w:t>
            </w:r>
            <w:r>
              <w:rPr>
                <w:color w:val="auto"/>
                <w:highlight w:val="none"/>
                <w:lang w:eastAsia="zh-CN"/>
              </w:rPr>
              <w:t>(0.5m/s)</w:t>
            </w:r>
            <w:r>
              <w:rPr>
                <w:rFonts w:hint="eastAsia"/>
                <w:color w:val="auto"/>
                <w:highlight w:val="none"/>
                <w:lang w:eastAsia="zh-CN"/>
              </w:rPr>
              <w:t>的偏差，</w:t>
            </w:r>
            <w:r>
              <w:rPr>
                <w:color w:val="auto"/>
                <w:highlight w:val="none"/>
                <w:lang w:eastAsia="zh-CN"/>
              </w:rPr>
              <w:t>PI</w:t>
            </w:r>
            <w:r>
              <w:rPr>
                <w:rFonts w:hint="eastAsia"/>
                <w:color w:val="auto"/>
                <w:highlight w:val="none"/>
                <w:lang w:eastAsia="zh-CN"/>
              </w:rPr>
              <w:t>计算排风量设定值偏置值传给排风风量控制装置流量控制器；排风风量控制装置流量控制器通过测量真实排风量，并与计算所得排风量设定值比较</w:t>
            </w:r>
            <w:r>
              <w:rPr>
                <w:color w:val="auto"/>
                <w:highlight w:val="none"/>
                <w:lang w:eastAsia="zh-CN"/>
              </w:rPr>
              <w:t>PI</w:t>
            </w:r>
            <w:r>
              <w:rPr>
                <w:rFonts w:hint="eastAsia"/>
                <w:color w:val="auto"/>
                <w:highlight w:val="none"/>
                <w:lang w:eastAsia="zh-CN"/>
              </w:rPr>
              <w:t>计算，对风量控制装置排风量进行控制，以保持进口风速恒定在</w:t>
            </w:r>
            <w:r>
              <w:rPr>
                <w:color w:val="auto"/>
                <w:highlight w:val="none"/>
                <w:lang w:eastAsia="zh-CN"/>
              </w:rPr>
              <w:t>0.5m/s</w:t>
            </w:r>
            <w:r>
              <w:rPr>
                <w:rFonts w:hint="eastAsia"/>
                <w:color w:val="auto"/>
                <w:highlight w:val="none"/>
                <w:lang w:eastAsia="zh-CN"/>
              </w:rPr>
              <w:t>左右；通风柜操作单元实时显示风速值，具有风速异常报警功能；通过操作单元将风速调整为最大、最小值；并具有节能、夜间模式。</w:t>
            </w:r>
          </w:p>
          <w:p>
            <w:pPr>
              <w:rPr>
                <w:color w:val="auto"/>
                <w:highlight w:val="none"/>
                <w:lang w:eastAsia="zh-CN"/>
              </w:rPr>
            </w:pPr>
            <w:r>
              <w:rPr>
                <w:rFonts w:hint="eastAsia"/>
                <w:color w:val="auto"/>
                <w:highlight w:val="none"/>
                <w:lang w:eastAsia="zh-CN"/>
              </w:rPr>
              <w:t>要求通风柜控制的响应时间在</w:t>
            </w:r>
            <w:r>
              <w:rPr>
                <w:color w:val="auto"/>
                <w:highlight w:val="none"/>
                <w:lang w:eastAsia="zh-CN"/>
              </w:rPr>
              <w:t>1-3</w:t>
            </w:r>
            <w:r>
              <w:rPr>
                <w:rFonts w:hint="eastAsia"/>
                <w:color w:val="auto"/>
                <w:highlight w:val="none"/>
                <w:lang w:eastAsia="zh-CN"/>
              </w:rPr>
              <w:t>秒，面风速达到稳定时间在</w:t>
            </w:r>
            <w:r>
              <w:rPr>
                <w:color w:val="auto"/>
                <w:highlight w:val="none"/>
                <w:lang w:eastAsia="zh-CN"/>
              </w:rPr>
              <w:t>3S</w:t>
            </w:r>
            <w:r>
              <w:rPr>
                <w:rFonts w:hint="eastAsia"/>
                <w:color w:val="auto"/>
                <w:highlight w:val="none"/>
                <w:lang w:eastAsia="zh-CN"/>
              </w:rPr>
              <w:t>以内。</w:t>
            </w:r>
          </w:p>
          <w:p>
            <w:pPr>
              <w:rPr>
                <w:color w:val="auto"/>
                <w:highlight w:val="none"/>
                <w:lang w:eastAsia="zh-CN"/>
              </w:rPr>
            </w:pPr>
          </w:p>
          <w:p>
            <w:pPr>
              <w:rPr>
                <w:color w:val="auto"/>
                <w:highlight w:val="none"/>
                <w:lang w:eastAsia="zh-CN"/>
              </w:rPr>
            </w:pPr>
            <w:r>
              <w:rPr>
                <w:color w:val="auto"/>
                <w:highlight w:val="none"/>
                <w:lang w:eastAsia="zh-CN"/>
              </w:rPr>
              <w:t xml:space="preserve">3.2 </w:t>
            </w:r>
            <w:r>
              <w:rPr>
                <w:rFonts w:hint="eastAsia"/>
                <w:color w:val="auto"/>
                <w:highlight w:val="none"/>
                <w:lang w:eastAsia="zh-CN"/>
              </w:rPr>
              <w:t>房间压力控制</w:t>
            </w:r>
          </w:p>
          <w:p>
            <w:pPr>
              <w:rPr>
                <w:color w:val="auto"/>
                <w:highlight w:val="none"/>
                <w:lang w:eastAsia="zh-CN"/>
              </w:rPr>
            </w:pPr>
            <w:r>
              <w:rPr>
                <w:rFonts w:hint="eastAsia"/>
                <w:color w:val="auto"/>
                <w:highlight w:val="none"/>
                <w:lang w:eastAsia="zh-CN"/>
              </w:rPr>
              <w:t>采用余风量控制与房间压差串级控制法，即余风量控制作为基本控制回路，采用房间压差对送（出）风量设定值进行偏置。</w:t>
            </w:r>
          </w:p>
          <w:p>
            <w:pPr>
              <w:rPr>
                <w:color w:val="auto"/>
                <w:highlight w:val="none"/>
                <w:lang w:eastAsia="zh-CN"/>
              </w:rPr>
            </w:pPr>
            <w:r>
              <w:rPr>
                <w:rFonts w:hint="eastAsia"/>
                <w:color w:val="auto"/>
                <w:highlight w:val="none"/>
                <w:lang w:eastAsia="zh-CN"/>
              </w:rPr>
              <w:t>具体说来，采用余风量控制作为基本控制回路，即送风量、出（指回风或排风）风量保持一定的差值。当送风量大于出风量时，室内保持正压；当送风量小于出风量时，室内保持负压。</w:t>
            </w:r>
          </w:p>
          <w:p>
            <w:pPr>
              <w:rPr>
                <w:color w:val="auto"/>
                <w:highlight w:val="none"/>
                <w:lang w:eastAsia="zh-CN"/>
              </w:rPr>
            </w:pPr>
            <w:r>
              <w:rPr>
                <w:rFonts w:hint="eastAsia"/>
                <w:color w:val="auto"/>
                <w:highlight w:val="none"/>
                <w:lang w:eastAsia="zh-CN"/>
              </w:rPr>
              <w:t>采用压差进行风量再设定：泄漏发生变化时，根据压差实测值与设定值的偏差，控制器对送（出）风量进行再设定。最终使压力达到设定值。</w:t>
            </w:r>
          </w:p>
          <w:p>
            <w:pPr>
              <w:rPr>
                <w:color w:val="auto"/>
                <w:highlight w:val="none"/>
                <w:lang w:eastAsia="zh-CN"/>
              </w:rPr>
            </w:pPr>
            <w:r>
              <w:rPr>
                <w:rFonts w:hint="eastAsia"/>
                <w:color w:val="auto"/>
                <w:highlight w:val="none"/>
                <w:lang w:eastAsia="zh-CN"/>
              </w:rPr>
              <w:t>整体通排风系统控制要求</w:t>
            </w:r>
          </w:p>
          <w:p>
            <w:pPr>
              <w:rPr>
                <w:color w:val="auto"/>
                <w:highlight w:val="none"/>
                <w:lang w:eastAsia="zh-CN"/>
              </w:rPr>
            </w:pPr>
            <w:r>
              <w:rPr>
                <w:rFonts w:hint="eastAsia"/>
                <w:color w:val="auto"/>
                <w:highlight w:val="none"/>
                <w:lang w:eastAsia="zh-CN"/>
              </w:rPr>
              <w:t>实验室通风系统由于其使用的特殊性，因而风量波动性较大，为了使系统节能和降低噪音，应在送排风机上均配置变频器，以根据系统实际负荷（通过安装在风管上的静压传感器测量）调整风机转速。</w:t>
            </w:r>
          </w:p>
          <w:p>
            <w:pPr>
              <w:rPr>
                <w:color w:val="auto"/>
                <w:highlight w:val="none"/>
                <w:lang w:eastAsia="zh-CN"/>
              </w:rPr>
            </w:pPr>
            <w:r>
              <w:rPr>
                <w:rFonts w:hint="eastAsia"/>
                <w:color w:val="auto"/>
                <w:highlight w:val="none"/>
                <w:lang w:eastAsia="zh-CN"/>
              </w:rPr>
              <w:t>通风系统的送风和排风均采用变频控制技术，以达到节能和提高运行效果的目的。对于排风，当排风柜拉窗关小时，排风柜控制阀会关小以减少排风量保持面风速，这时排风总管中的静压绝对值将增大，变频控制器通过安装在总管中的静压传感器得到这一变化值，据此降低变频器的输出频率，降低风机转速，排风总管中的静压绝对值也恢复到设定值，最终达到既保证排风量满足要求，又经济节能。相反，当排风柜拉窗开大时，排风柜控制阀会开大以增加排风量保持面风速，这时排风总管中的静压绝对值将减小，变频控制器通过安装在总管中的静压传感器得到这一变化值，据此提高变频器的输出频率，提高风机转速，排风总管中的静压绝对值也恢复到设定值，最终保证排风量满足要求。送风变频器的工作原理同排风。</w:t>
            </w:r>
          </w:p>
          <w:p>
            <w:pPr>
              <w:rPr>
                <w:color w:val="auto"/>
                <w:highlight w:val="none"/>
                <w:lang w:eastAsia="zh-CN"/>
              </w:rPr>
            </w:pPr>
            <w:r>
              <w:rPr>
                <w:rFonts w:hint="eastAsia"/>
                <w:color w:val="auto"/>
                <w:highlight w:val="none"/>
                <w:lang w:eastAsia="zh-CN"/>
              </w:rPr>
              <w:t>提供变频控制的原理图，系统图纸。</w:t>
            </w:r>
          </w:p>
          <w:p>
            <w:pPr>
              <w:rPr>
                <w:color w:val="auto"/>
                <w:highlight w:val="none"/>
                <w:lang w:eastAsia="zh-CN"/>
              </w:rPr>
            </w:pPr>
            <w:r>
              <w:rPr>
                <w:rFonts w:hint="eastAsia"/>
                <w:color w:val="auto"/>
                <w:highlight w:val="none"/>
                <w:lang w:eastAsia="zh-CN"/>
              </w:rPr>
              <w:t>提供送排风机的变频控制系统，含变频器，静压传感器，控制器，变频器成套控制柜。可以显示出静压传感器的当前测量值，并可以进行静压的基础值的修改。需要显示出变频器的频率值。</w:t>
            </w:r>
          </w:p>
          <w:p>
            <w:pPr>
              <w:rPr>
                <w:color w:val="auto"/>
                <w:highlight w:val="none"/>
                <w:lang w:eastAsia="zh-CN"/>
              </w:rPr>
            </w:pPr>
            <w:r>
              <w:rPr>
                <w:rFonts w:hint="eastAsia"/>
                <w:color w:val="auto"/>
                <w:highlight w:val="none"/>
                <w:lang w:eastAsia="zh-CN"/>
              </w:rPr>
              <w:t>提供排风柜变风量阀，定风量阀，房间排风阀和房间送风阀的如下资料。</w:t>
            </w:r>
          </w:p>
          <w:p>
            <w:pPr>
              <w:rPr>
                <w:color w:val="auto"/>
                <w:highlight w:val="none"/>
                <w:lang w:eastAsia="zh-CN"/>
              </w:rPr>
            </w:pPr>
            <w:r>
              <w:rPr>
                <w:rFonts w:hint="eastAsia"/>
                <w:color w:val="auto"/>
                <w:highlight w:val="none"/>
                <w:lang w:eastAsia="zh-CN"/>
              </w:rPr>
              <w:t>提供通风柜控制的原理图，系统图纸。</w:t>
            </w:r>
          </w:p>
          <w:p>
            <w:pPr>
              <w:rPr>
                <w:color w:val="auto"/>
                <w:highlight w:val="none"/>
                <w:lang w:eastAsia="zh-CN"/>
              </w:rPr>
            </w:pPr>
            <w:r>
              <w:rPr>
                <w:rFonts w:hint="eastAsia"/>
                <w:color w:val="auto"/>
                <w:highlight w:val="none"/>
                <w:lang w:eastAsia="zh-CN"/>
              </w:rPr>
              <w:t>提供房间风量平衡控制的原理图，系统图纸。</w:t>
            </w:r>
          </w:p>
          <w:p>
            <w:pPr>
              <w:rPr>
                <w:color w:val="auto"/>
                <w:highlight w:val="none"/>
                <w:lang w:eastAsia="zh-CN"/>
              </w:rPr>
            </w:pPr>
            <w:r>
              <w:rPr>
                <w:rFonts w:hint="eastAsia"/>
                <w:color w:val="auto"/>
                <w:highlight w:val="none"/>
                <w:lang w:eastAsia="zh-CN"/>
              </w:rPr>
              <w:t>提供变风量阀门的种类，可调比，流量控制反应时间，阻力值，控制精度，材质（如何防腐处理）以及阀门的规格尺寸等参数。</w:t>
            </w:r>
          </w:p>
          <w:p>
            <w:pPr>
              <w:rPr>
                <w:color w:val="auto"/>
                <w:highlight w:val="none"/>
                <w:lang w:eastAsia="zh-CN"/>
              </w:rPr>
            </w:pPr>
            <w:r>
              <w:rPr>
                <w:rFonts w:hint="eastAsia"/>
                <w:color w:val="auto"/>
                <w:highlight w:val="none"/>
                <w:lang w:eastAsia="zh-CN"/>
              </w:rPr>
              <w:t>提供定风量阀门的种类，可调比，流量控制反应时间，阻力值，控制精度，材质（如何防腐处理）以及阀门的规格尺寸等参数。</w:t>
            </w:r>
          </w:p>
          <w:p>
            <w:pPr>
              <w:rPr>
                <w:color w:val="auto"/>
                <w:highlight w:val="none"/>
                <w:lang w:eastAsia="zh-CN"/>
              </w:rPr>
            </w:pPr>
            <w:r>
              <w:rPr>
                <w:rFonts w:hint="eastAsia"/>
                <w:color w:val="auto"/>
                <w:highlight w:val="none"/>
                <w:lang w:eastAsia="zh-CN"/>
              </w:rPr>
              <w:t>提供传感器的种类，精度，材质等参数。</w:t>
            </w:r>
          </w:p>
          <w:p>
            <w:pPr>
              <w:rPr>
                <w:color w:val="auto"/>
                <w:highlight w:val="none"/>
                <w:lang w:eastAsia="zh-CN"/>
              </w:rPr>
            </w:pPr>
            <w:r>
              <w:rPr>
                <w:rFonts w:hint="eastAsia"/>
                <w:color w:val="auto"/>
                <w:highlight w:val="none"/>
                <w:lang w:eastAsia="zh-CN"/>
              </w:rPr>
              <w:t>提供每个实验室的风量计算表，若实验室包括排风柜，则应提供详细的风量平衡表，其中列明排风柜变风量阀的风量范围，同时使用系数，定风量阀风量，房间排风阀的风量变化范围，送风阀的风量范围，房间送排风的风量差等信息。此表作为调试和验收的依据。</w:t>
            </w:r>
          </w:p>
          <w:p>
            <w:pPr>
              <w:rPr>
                <w:color w:val="auto"/>
                <w:highlight w:val="none"/>
                <w:lang w:eastAsia="zh-CN"/>
              </w:rPr>
            </w:pPr>
            <w:r>
              <w:rPr>
                <w:rFonts w:hint="eastAsia"/>
                <w:color w:val="auto"/>
                <w:highlight w:val="none"/>
                <w:lang w:eastAsia="zh-CN"/>
              </w:rPr>
              <w:t>风量计算表见后附参考表格。</w:t>
            </w:r>
          </w:p>
          <w:p>
            <w:pPr>
              <w:rPr>
                <w:color w:val="auto"/>
                <w:highlight w:val="none"/>
                <w:lang w:eastAsia="zh-CN"/>
              </w:rPr>
            </w:pPr>
            <w:r>
              <w:rPr>
                <w:rFonts w:hint="eastAsia"/>
                <w:color w:val="auto"/>
                <w:highlight w:val="none"/>
                <w:lang w:eastAsia="zh-CN"/>
              </w:rPr>
              <w:t>实验室通风系统留有系统集成接口，便于连接管理系统。</w:t>
            </w:r>
          </w:p>
          <w:p>
            <w:pPr>
              <w:rPr>
                <w:color w:val="auto"/>
                <w:highlight w:val="none"/>
                <w:lang w:eastAsia="zh-CN"/>
              </w:rPr>
            </w:pPr>
          </w:p>
          <w:p>
            <w:pPr>
              <w:rPr>
                <w:color w:val="auto"/>
                <w:highlight w:val="none"/>
                <w:lang w:eastAsia="zh-CN"/>
              </w:rPr>
            </w:pPr>
            <w:r>
              <w:rPr>
                <w:color w:val="auto"/>
                <w:highlight w:val="none"/>
                <w:lang w:eastAsia="zh-CN"/>
              </w:rPr>
              <w:t>3.3</w:t>
            </w:r>
            <w:r>
              <w:rPr>
                <w:rFonts w:hint="eastAsia"/>
                <w:color w:val="auto"/>
                <w:highlight w:val="none"/>
                <w:lang w:eastAsia="zh-CN"/>
              </w:rPr>
              <w:t>生物安全柜控制</w:t>
            </w:r>
          </w:p>
          <w:p>
            <w:pPr>
              <w:rPr>
                <w:color w:val="auto"/>
                <w:highlight w:val="none"/>
                <w:lang w:eastAsia="zh-CN"/>
              </w:rPr>
            </w:pPr>
            <w:r>
              <w:rPr>
                <w:rFonts w:hint="eastAsia"/>
                <w:color w:val="auto"/>
                <w:highlight w:val="none"/>
                <w:lang w:eastAsia="zh-CN"/>
              </w:rPr>
              <w:t>生物安全柜在使用中为定风量排风，应当根据其使用状态进行固定排风即可。</w:t>
            </w:r>
          </w:p>
          <w:p>
            <w:pPr>
              <w:rPr>
                <w:color w:val="auto"/>
                <w:highlight w:val="none"/>
                <w:lang w:eastAsia="zh-CN"/>
              </w:rPr>
            </w:pPr>
          </w:p>
          <w:p>
            <w:pPr>
              <w:rPr>
                <w:color w:val="auto"/>
                <w:highlight w:val="none"/>
                <w:lang w:eastAsia="zh-CN"/>
              </w:rPr>
            </w:pPr>
            <w:r>
              <w:rPr>
                <w:color w:val="auto"/>
                <w:highlight w:val="none"/>
                <w:lang w:eastAsia="zh-CN"/>
              </w:rPr>
              <w:t xml:space="preserve">3.4 </w:t>
            </w:r>
            <w:r>
              <w:rPr>
                <w:rFonts w:hint="eastAsia"/>
                <w:color w:val="auto"/>
                <w:highlight w:val="none"/>
                <w:lang w:eastAsia="zh-CN"/>
              </w:rPr>
              <w:t>含有通风柜或生物安全柜的房间压差控制</w:t>
            </w:r>
          </w:p>
          <w:p>
            <w:pPr>
              <w:rPr>
                <w:color w:val="auto"/>
                <w:highlight w:val="none"/>
                <w:lang w:eastAsia="zh-CN"/>
              </w:rPr>
            </w:pPr>
            <w:r>
              <w:rPr>
                <w:rFonts w:hint="eastAsia"/>
                <w:color w:val="auto"/>
                <w:highlight w:val="none"/>
                <w:lang w:eastAsia="zh-CN"/>
              </w:rPr>
              <w:t>含有通风柜或生物安全柜的实验室房间，在对房间压差进行控制时，同样采用余风量控制与房间压差串级控制法。要保证任意时刻总的送、出风（包含回风、排风、通风柜排风、生物安全柜排风的即时风量）间的余风量差为定值即可，同时用房间压差做送（出）风风量设定值偏置。</w:t>
            </w:r>
          </w:p>
          <w:p>
            <w:pPr>
              <w:rPr>
                <w:color w:val="auto"/>
                <w:highlight w:val="none"/>
                <w:lang w:eastAsia="zh-CN"/>
              </w:rPr>
            </w:pPr>
          </w:p>
          <w:p>
            <w:pPr>
              <w:rPr>
                <w:color w:val="auto"/>
                <w:highlight w:val="none"/>
                <w:lang w:eastAsia="zh-CN"/>
              </w:rPr>
            </w:pPr>
            <w:r>
              <w:rPr>
                <w:color w:val="auto"/>
                <w:highlight w:val="none"/>
                <w:lang w:eastAsia="zh-CN"/>
              </w:rPr>
              <w:t>3.5</w:t>
            </w:r>
            <w:r>
              <w:rPr>
                <w:rFonts w:hint="eastAsia"/>
                <w:color w:val="auto"/>
                <w:highlight w:val="none"/>
                <w:lang w:eastAsia="zh-CN"/>
              </w:rPr>
              <w:t>、送、排风机控制</w:t>
            </w:r>
          </w:p>
          <w:p>
            <w:pPr>
              <w:rPr>
                <w:color w:val="auto"/>
                <w:highlight w:val="none"/>
                <w:lang w:eastAsia="zh-CN"/>
              </w:rPr>
            </w:pPr>
            <w:r>
              <w:rPr>
                <w:rFonts w:hint="eastAsia"/>
                <w:color w:val="auto"/>
                <w:highlight w:val="none"/>
                <w:lang w:eastAsia="zh-CN"/>
              </w:rPr>
              <w:t>在空调机组送风、排风机排风风道上设置风道静压传感器，根据静压设定值与实测值的偏差，调节送、排风机的变频器。</w:t>
            </w:r>
          </w:p>
          <w:p>
            <w:pPr>
              <w:rPr>
                <w:color w:val="auto"/>
                <w:highlight w:val="none"/>
                <w:lang w:eastAsia="zh-CN"/>
              </w:rPr>
            </w:pPr>
          </w:p>
          <w:p>
            <w:pPr>
              <w:rPr>
                <w:color w:val="auto"/>
                <w:highlight w:val="none"/>
                <w:lang w:eastAsia="zh-CN"/>
              </w:rPr>
            </w:pPr>
            <w:r>
              <w:rPr>
                <w:color w:val="auto"/>
                <w:highlight w:val="none"/>
                <w:lang w:eastAsia="zh-CN"/>
              </w:rPr>
              <w:t>4.</w:t>
            </w:r>
            <w:r>
              <w:rPr>
                <w:rFonts w:hint="eastAsia"/>
                <w:color w:val="auto"/>
                <w:highlight w:val="none"/>
                <w:lang w:eastAsia="zh-CN"/>
              </w:rPr>
              <w:t>系统软硬件要求</w:t>
            </w:r>
          </w:p>
          <w:p>
            <w:pPr>
              <w:rPr>
                <w:color w:val="auto"/>
                <w:highlight w:val="none"/>
                <w:lang w:eastAsia="zh-CN"/>
              </w:rPr>
            </w:pPr>
            <w:r>
              <w:rPr>
                <w:color w:val="auto"/>
                <w:highlight w:val="none"/>
                <w:lang w:eastAsia="zh-CN"/>
              </w:rPr>
              <w:t>4.1</w:t>
            </w:r>
            <w:r>
              <w:rPr>
                <w:rFonts w:hint="eastAsia"/>
                <w:color w:val="auto"/>
                <w:highlight w:val="none"/>
                <w:lang w:eastAsia="zh-CN"/>
              </w:rPr>
              <w:t>软件要求</w:t>
            </w:r>
          </w:p>
          <w:p>
            <w:pPr>
              <w:rPr>
                <w:color w:val="auto"/>
                <w:highlight w:val="none"/>
                <w:lang w:eastAsia="zh-CN"/>
              </w:rPr>
            </w:pPr>
            <w:r>
              <w:rPr>
                <w:color w:val="auto"/>
                <w:highlight w:val="none"/>
                <w:lang w:eastAsia="zh-CN"/>
              </w:rPr>
              <w:t xml:space="preserve">1) </w:t>
            </w:r>
            <w:r>
              <w:rPr>
                <w:rFonts w:hint="eastAsia"/>
                <w:color w:val="auto"/>
                <w:highlight w:val="none"/>
                <w:lang w:eastAsia="zh-CN"/>
              </w:rPr>
              <w:t>应用编程软件包</w:t>
            </w:r>
          </w:p>
          <w:p>
            <w:pPr>
              <w:rPr>
                <w:color w:val="auto"/>
                <w:highlight w:val="none"/>
                <w:lang w:eastAsia="zh-CN"/>
              </w:rPr>
            </w:pPr>
            <w:r>
              <w:rPr>
                <w:rFonts w:hint="eastAsia"/>
                <w:color w:val="auto"/>
                <w:highlight w:val="none"/>
                <w:lang w:eastAsia="zh-CN"/>
              </w:rPr>
              <w:t>系统软件的基本要求如下：</w:t>
            </w:r>
          </w:p>
          <w:p>
            <w:pPr>
              <w:rPr>
                <w:color w:val="auto"/>
                <w:highlight w:val="none"/>
                <w:lang w:eastAsia="zh-CN"/>
              </w:rPr>
            </w:pPr>
            <w:r>
              <w:rPr>
                <w:rFonts w:hint="eastAsia"/>
                <w:color w:val="auto"/>
                <w:highlight w:val="none"/>
                <w:lang w:eastAsia="zh-CN"/>
              </w:rPr>
              <w:t>承包方应提供满足系统运行功能、二次开发、易于维护以及符合开放系统标准的系统软件、工具软件、应用编程软件包等全套软件。</w:t>
            </w:r>
          </w:p>
          <w:p>
            <w:pPr>
              <w:rPr>
                <w:color w:val="auto"/>
                <w:highlight w:val="none"/>
                <w:lang w:eastAsia="zh-CN"/>
              </w:rPr>
            </w:pPr>
            <w:r>
              <w:rPr>
                <w:rFonts w:hint="eastAsia"/>
                <w:color w:val="auto"/>
                <w:highlight w:val="none"/>
                <w:lang w:eastAsia="zh-CN"/>
              </w:rPr>
              <w:t>控制器的各类应用软件应使用图形化编程界面，不得采用编制程序代码的方式。</w:t>
            </w:r>
          </w:p>
          <w:p>
            <w:pPr>
              <w:rPr>
                <w:color w:val="auto"/>
                <w:highlight w:val="none"/>
                <w:lang w:eastAsia="zh-CN"/>
              </w:rPr>
            </w:pPr>
            <w:r>
              <w:rPr>
                <w:color w:val="auto"/>
                <w:highlight w:val="none"/>
                <w:lang w:eastAsia="zh-CN"/>
              </w:rPr>
              <w:t xml:space="preserve">2) </w:t>
            </w:r>
            <w:r>
              <w:rPr>
                <w:rFonts w:hint="eastAsia"/>
                <w:color w:val="auto"/>
                <w:highlight w:val="none"/>
                <w:lang w:eastAsia="zh-CN"/>
              </w:rPr>
              <w:t>中央站监控软件</w:t>
            </w:r>
          </w:p>
          <w:p>
            <w:pPr>
              <w:rPr>
                <w:color w:val="auto"/>
                <w:highlight w:val="none"/>
                <w:lang w:eastAsia="zh-CN"/>
              </w:rPr>
            </w:pPr>
            <w:r>
              <w:rPr>
                <w:rFonts w:hint="eastAsia"/>
                <w:color w:val="auto"/>
                <w:highlight w:val="none"/>
                <w:lang w:eastAsia="zh-CN"/>
              </w:rPr>
              <w:t>系统软件采用中文</w:t>
            </w:r>
            <w:r>
              <w:rPr>
                <w:color w:val="auto"/>
                <w:highlight w:val="none"/>
                <w:lang w:eastAsia="zh-CN"/>
              </w:rPr>
              <w:t>Windows XP Pro</w:t>
            </w:r>
            <w:r>
              <w:rPr>
                <w:rFonts w:hint="eastAsia"/>
                <w:color w:val="auto"/>
                <w:highlight w:val="none"/>
                <w:lang w:eastAsia="zh-CN"/>
              </w:rPr>
              <w:t>或以上操作系统，具有友好的人机界面，采用菜单驱动、三维立体动态图形界面、汉字显示。系统具有图形化编程方式，提供完整的用户操作界面，用户可对系统各种参数进行修改、增、删。</w:t>
            </w:r>
          </w:p>
          <w:p>
            <w:pPr>
              <w:rPr>
                <w:color w:val="auto"/>
                <w:highlight w:val="none"/>
                <w:lang w:eastAsia="zh-CN"/>
              </w:rPr>
            </w:pPr>
            <w:r>
              <w:rPr>
                <w:rFonts w:hint="eastAsia"/>
                <w:color w:val="auto"/>
                <w:highlight w:val="none"/>
                <w:lang w:eastAsia="zh-CN"/>
              </w:rPr>
              <w:t>工作站有以下特点：</w:t>
            </w:r>
          </w:p>
          <w:p>
            <w:pPr>
              <w:rPr>
                <w:color w:val="auto"/>
                <w:highlight w:val="none"/>
                <w:lang w:eastAsia="zh-CN"/>
              </w:rPr>
            </w:pPr>
            <w:r>
              <w:rPr>
                <w:rFonts w:hint="eastAsia"/>
                <w:color w:val="auto"/>
                <w:highlight w:val="none"/>
                <w:lang w:eastAsia="zh-CN"/>
              </w:rPr>
              <w:t>监控软件使用中文界面，采用图形化菜单驱动，两维或三维立体动态图形界面，支持重要指令快捷键操作，具有图形化编程方式，提供完整的用户操作界面；具备</w:t>
            </w:r>
            <w:r>
              <w:rPr>
                <w:color w:val="auto"/>
                <w:highlight w:val="none"/>
                <w:lang w:eastAsia="zh-CN"/>
              </w:rPr>
              <w:t>10</w:t>
            </w:r>
            <w:r>
              <w:rPr>
                <w:rFonts w:hint="eastAsia"/>
                <w:color w:val="auto"/>
                <w:highlight w:val="none"/>
                <w:lang w:eastAsia="zh-CN"/>
              </w:rPr>
              <w:t>级密码安全管理功能；</w:t>
            </w:r>
          </w:p>
          <w:p>
            <w:pPr>
              <w:rPr>
                <w:color w:val="auto"/>
                <w:highlight w:val="none"/>
                <w:lang w:eastAsia="zh-CN"/>
              </w:rPr>
            </w:pPr>
            <w:r>
              <w:rPr>
                <w:rFonts w:hint="eastAsia"/>
                <w:color w:val="auto"/>
                <w:highlight w:val="none"/>
                <w:lang w:eastAsia="zh-CN"/>
              </w:rPr>
              <w:t>具有简单的辅助决策功能，具备楼建筑设备监控系统的各类节能控制程序；</w:t>
            </w:r>
          </w:p>
          <w:p>
            <w:pPr>
              <w:rPr>
                <w:color w:val="auto"/>
                <w:highlight w:val="none"/>
                <w:lang w:eastAsia="zh-CN"/>
              </w:rPr>
            </w:pPr>
          </w:p>
          <w:p>
            <w:pPr>
              <w:rPr>
                <w:color w:val="auto"/>
                <w:highlight w:val="none"/>
                <w:lang w:eastAsia="zh-CN"/>
              </w:rPr>
            </w:pPr>
            <w:r>
              <w:rPr>
                <w:color w:val="auto"/>
                <w:highlight w:val="none"/>
                <w:lang w:eastAsia="zh-CN"/>
              </w:rPr>
              <w:t>4.2</w:t>
            </w:r>
            <w:r>
              <w:rPr>
                <w:rFonts w:hint="eastAsia"/>
                <w:color w:val="auto"/>
                <w:highlight w:val="none"/>
                <w:lang w:eastAsia="zh-CN"/>
              </w:rPr>
              <w:t>硬件要求</w:t>
            </w:r>
          </w:p>
          <w:p>
            <w:pPr>
              <w:rPr>
                <w:color w:val="auto"/>
                <w:highlight w:val="none"/>
                <w:lang w:eastAsia="zh-CN"/>
              </w:rPr>
            </w:pPr>
            <w:r>
              <w:rPr>
                <w:rFonts w:hint="eastAsia"/>
                <w:color w:val="auto"/>
                <w:highlight w:val="none"/>
                <w:lang w:eastAsia="zh-CN"/>
              </w:rPr>
              <w:t>主工作站及备份工作站服务器应采用主流商用机型，系统软件运行于</w:t>
            </w:r>
            <w:r>
              <w:rPr>
                <w:color w:val="auto"/>
                <w:highlight w:val="none"/>
                <w:lang w:eastAsia="zh-CN"/>
              </w:rPr>
              <w:t>Windows XP</w:t>
            </w:r>
            <w:r>
              <w:rPr>
                <w:rFonts w:hint="eastAsia"/>
                <w:color w:val="auto"/>
                <w:highlight w:val="none"/>
                <w:lang w:eastAsia="zh-CN"/>
              </w:rPr>
              <w:t>专业版操作系统。配备有液晶显示器、针式报警打印机等。</w:t>
            </w:r>
          </w:p>
          <w:p>
            <w:pPr>
              <w:rPr>
                <w:color w:val="auto"/>
                <w:highlight w:val="none"/>
                <w:lang w:eastAsia="zh-CN"/>
              </w:rPr>
            </w:pPr>
          </w:p>
          <w:p>
            <w:pPr>
              <w:rPr>
                <w:color w:val="auto"/>
                <w:highlight w:val="none"/>
                <w:lang w:eastAsia="zh-CN"/>
              </w:rPr>
            </w:pPr>
            <w:r>
              <w:rPr>
                <w:color w:val="auto"/>
                <w:highlight w:val="none"/>
                <w:lang w:eastAsia="zh-CN"/>
              </w:rPr>
              <w:t>4.2.1 DDC</w:t>
            </w:r>
            <w:r>
              <w:rPr>
                <w:rFonts w:hint="eastAsia"/>
                <w:color w:val="auto"/>
                <w:highlight w:val="none"/>
                <w:lang w:eastAsia="zh-CN"/>
              </w:rPr>
              <w:t>控制器</w:t>
            </w:r>
          </w:p>
          <w:p>
            <w:pPr>
              <w:rPr>
                <w:color w:val="auto"/>
                <w:highlight w:val="none"/>
                <w:lang w:eastAsia="zh-CN"/>
              </w:rPr>
            </w:pPr>
            <w:r>
              <w:rPr>
                <w:color w:val="auto"/>
                <w:highlight w:val="none"/>
                <w:lang w:eastAsia="zh-CN"/>
              </w:rPr>
              <w:t>DDC</w:t>
            </w:r>
            <w:r>
              <w:rPr>
                <w:rFonts w:hint="eastAsia"/>
                <w:color w:val="auto"/>
                <w:highlight w:val="none"/>
                <w:lang w:eastAsia="zh-CN"/>
              </w:rPr>
              <w:t>应完全可自由编程，具有</w:t>
            </w:r>
            <w:r>
              <w:rPr>
                <w:color w:val="auto"/>
                <w:highlight w:val="none"/>
                <w:lang w:eastAsia="zh-CN"/>
              </w:rPr>
              <w:t>32</w:t>
            </w:r>
            <w:r>
              <w:rPr>
                <w:rFonts w:hint="eastAsia"/>
                <w:color w:val="auto"/>
                <w:highlight w:val="none"/>
                <w:lang w:eastAsia="zh-CN"/>
              </w:rPr>
              <w:t>位</w:t>
            </w:r>
            <w:r>
              <w:rPr>
                <w:color w:val="auto"/>
                <w:highlight w:val="none"/>
                <w:lang w:eastAsia="zh-CN"/>
              </w:rPr>
              <w:t>CPU</w:t>
            </w:r>
            <w:r>
              <w:rPr>
                <w:rFonts w:hint="eastAsia"/>
                <w:color w:val="auto"/>
                <w:highlight w:val="none"/>
                <w:lang w:eastAsia="zh-CN"/>
              </w:rPr>
              <w:t>，接线端子采用可插拔式，便于更换。</w:t>
            </w:r>
          </w:p>
          <w:p>
            <w:pPr>
              <w:rPr>
                <w:color w:val="auto"/>
                <w:highlight w:val="none"/>
                <w:lang w:eastAsia="zh-CN"/>
              </w:rPr>
            </w:pPr>
            <w:r>
              <w:rPr>
                <w:color w:val="auto"/>
                <w:highlight w:val="none"/>
                <w:lang w:eastAsia="zh-CN"/>
              </w:rPr>
              <w:t>DDC</w:t>
            </w:r>
            <w:r>
              <w:rPr>
                <w:rFonts w:hint="eastAsia"/>
                <w:color w:val="auto"/>
                <w:highlight w:val="none"/>
                <w:lang w:eastAsia="zh-CN"/>
              </w:rPr>
              <w:t>控制器应同时具有模拟量输入</w:t>
            </w:r>
            <w:r>
              <w:rPr>
                <w:color w:val="auto"/>
                <w:highlight w:val="none"/>
                <w:lang w:eastAsia="zh-CN"/>
              </w:rPr>
              <w:t>AI</w:t>
            </w:r>
            <w:r>
              <w:rPr>
                <w:rFonts w:hint="eastAsia"/>
                <w:color w:val="auto"/>
                <w:highlight w:val="none"/>
                <w:lang w:eastAsia="zh-CN"/>
              </w:rPr>
              <w:t>、开关量输入</w:t>
            </w:r>
            <w:r>
              <w:rPr>
                <w:color w:val="auto"/>
                <w:highlight w:val="none"/>
                <w:lang w:eastAsia="zh-CN"/>
              </w:rPr>
              <w:t>DI</w:t>
            </w:r>
            <w:r>
              <w:rPr>
                <w:rFonts w:hint="eastAsia"/>
                <w:color w:val="auto"/>
                <w:highlight w:val="none"/>
                <w:lang w:eastAsia="zh-CN"/>
              </w:rPr>
              <w:t>、模拟量输出</w:t>
            </w:r>
            <w:r>
              <w:rPr>
                <w:color w:val="auto"/>
                <w:highlight w:val="none"/>
                <w:lang w:eastAsia="zh-CN"/>
              </w:rPr>
              <w:t>AO</w:t>
            </w:r>
            <w:r>
              <w:rPr>
                <w:rFonts w:hint="eastAsia"/>
                <w:color w:val="auto"/>
                <w:highlight w:val="none"/>
                <w:lang w:eastAsia="zh-CN"/>
              </w:rPr>
              <w:t>、开关量输出</w:t>
            </w:r>
            <w:r>
              <w:rPr>
                <w:color w:val="auto"/>
                <w:highlight w:val="none"/>
                <w:lang w:eastAsia="zh-CN"/>
              </w:rPr>
              <w:t>DO</w:t>
            </w:r>
            <w:r>
              <w:rPr>
                <w:rFonts w:hint="eastAsia"/>
                <w:color w:val="auto"/>
                <w:highlight w:val="none"/>
                <w:lang w:eastAsia="zh-CN"/>
              </w:rPr>
              <w:t>点：模拟输入为标准信号，可接受电压</w:t>
            </w:r>
            <w:r>
              <w:rPr>
                <w:color w:val="auto"/>
                <w:highlight w:val="none"/>
                <w:lang w:eastAsia="zh-CN"/>
              </w:rPr>
              <w:t>(0-10V)</w:t>
            </w:r>
            <w:r>
              <w:rPr>
                <w:rFonts w:hint="eastAsia"/>
                <w:color w:val="auto"/>
                <w:highlight w:val="none"/>
                <w:lang w:eastAsia="zh-CN"/>
              </w:rPr>
              <w:t>，或电流</w:t>
            </w:r>
            <w:r>
              <w:rPr>
                <w:color w:val="auto"/>
                <w:highlight w:val="none"/>
                <w:lang w:eastAsia="zh-CN"/>
              </w:rPr>
              <w:t>(4-20mA)</w:t>
            </w:r>
            <w:r>
              <w:rPr>
                <w:rFonts w:hint="eastAsia"/>
                <w:color w:val="auto"/>
                <w:highlight w:val="none"/>
                <w:lang w:eastAsia="zh-CN"/>
              </w:rPr>
              <w:t>，或电阻信号；模拟输出信号为</w:t>
            </w:r>
            <w:r>
              <w:rPr>
                <w:color w:val="auto"/>
                <w:highlight w:val="none"/>
                <w:lang w:eastAsia="zh-CN"/>
              </w:rPr>
              <w:t>0-10V</w:t>
            </w:r>
            <w:r>
              <w:rPr>
                <w:rFonts w:hint="eastAsia"/>
                <w:color w:val="auto"/>
                <w:highlight w:val="none"/>
                <w:lang w:eastAsia="zh-CN"/>
              </w:rPr>
              <w:t>电压信号。</w:t>
            </w:r>
          </w:p>
          <w:p>
            <w:pPr>
              <w:rPr>
                <w:color w:val="auto"/>
                <w:highlight w:val="none"/>
                <w:lang w:eastAsia="zh-CN"/>
              </w:rPr>
            </w:pPr>
            <w:r>
              <w:rPr>
                <w:color w:val="auto"/>
                <w:highlight w:val="none"/>
                <w:lang w:eastAsia="zh-CN"/>
              </w:rPr>
              <w:t>DDC</w:t>
            </w:r>
            <w:r>
              <w:rPr>
                <w:rFonts w:hint="eastAsia"/>
                <w:color w:val="auto"/>
                <w:highlight w:val="none"/>
                <w:lang w:eastAsia="zh-CN"/>
              </w:rPr>
              <w:t>控制器点数灵活，有通用模块，能适合整个系统规模的控制，内置</w:t>
            </w:r>
            <w:r>
              <w:rPr>
                <w:color w:val="auto"/>
                <w:highlight w:val="none"/>
                <w:lang w:eastAsia="zh-CN"/>
              </w:rPr>
              <w:t>PID</w:t>
            </w:r>
            <w:r>
              <w:rPr>
                <w:rFonts w:hint="eastAsia"/>
                <w:color w:val="auto"/>
                <w:highlight w:val="none"/>
                <w:lang w:eastAsia="zh-CN"/>
              </w:rPr>
              <w:t>算法，且参数可调；具有逻辑排序功能；具有报警检测和统计报告功能。</w:t>
            </w:r>
          </w:p>
          <w:p>
            <w:pPr>
              <w:rPr>
                <w:color w:val="auto"/>
                <w:highlight w:val="none"/>
                <w:lang w:eastAsia="zh-CN"/>
              </w:rPr>
            </w:pPr>
            <w:r>
              <w:rPr>
                <w:color w:val="auto"/>
                <w:highlight w:val="none"/>
                <w:lang w:eastAsia="zh-CN"/>
              </w:rPr>
              <w:t>DDC</w:t>
            </w:r>
            <w:r>
              <w:rPr>
                <w:rFonts w:hint="eastAsia"/>
                <w:color w:val="auto"/>
                <w:highlight w:val="none"/>
                <w:lang w:eastAsia="zh-CN"/>
              </w:rPr>
              <w:t>控制器有后备电源，可在断电时存储程序使程序不丢失。</w:t>
            </w:r>
          </w:p>
          <w:p>
            <w:pPr>
              <w:rPr>
                <w:color w:val="auto"/>
                <w:highlight w:val="none"/>
                <w:lang w:eastAsia="zh-CN"/>
              </w:rPr>
            </w:pPr>
            <w:r>
              <w:rPr>
                <w:color w:val="auto"/>
                <w:highlight w:val="none"/>
                <w:lang w:eastAsia="zh-CN"/>
              </w:rPr>
              <w:t>DDC</w:t>
            </w:r>
            <w:r>
              <w:rPr>
                <w:rFonts w:hint="eastAsia"/>
                <w:color w:val="auto"/>
                <w:highlight w:val="none"/>
                <w:lang w:eastAsia="zh-CN"/>
              </w:rPr>
              <w:t>控制器有接口可与现场调试手操器连接，可下载控制程序和直接从</w:t>
            </w:r>
            <w:r>
              <w:rPr>
                <w:color w:val="auto"/>
                <w:highlight w:val="none"/>
                <w:lang w:eastAsia="zh-CN"/>
              </w:rPr>
              <w:t>DDC</w:t>
            </w:r>
            <w:r>
              <w:rPr>
                <w:rFonts w:hint="eastAsia"/>
                <w:color w:val="auto"/>
                <w:highlight w:val="none"/>
                <w:lang w:eastAsia="zh-CN"/>
              </w:rPr>
              <w:t>上读取数据，并可就地操控设备启停进行参数监测，方便工程师现场调试。</w:t>
            </w:r>
          </w:p>
          <w:p>
            <w:pPr>
              <w:rPr>
                <w:color w:val="auto"/>
                <w:highlight w:val="none"/>
                <w:lang w:eastAsia="zh-CN"/>
              </w:rPr>
            </w:pPr>
          </w:p>
          <w:p>
            <w:pPr>
              <w:rPr>
                <w:color w:val="auto"/>
                <w:highlight w:val="none"/>
                <w:lang w:eastAsia="zh-CN"/>
              </w:rPr>
            </w:pPr>
            <w:r>
              <w:rPr>
                <w:color w:val="auto"/>
                <w:highlight w:val="none"/>
                <w:lang w:eastAsia="zh-CN"/>
              </w:rPr>
              <w:t xml:space="preserve">4.2.2 </w:t>
            </w:r>
            <w:r>
              <w:rPr>
                <w:rFonts w:hint="eastAsia"/>
                <w:color w:val="auto"/>
                <w:highlight w:val="none"/>
                <w:lang w:eastAsia="zh-CN"/>
              </w:rPr>
              <w:t>实验室用控制设备</w:t>
            </w:r>
          </w:p>
          <w:p>
            <w:pPr>
              <w:rPr>
                <w:color w:val="auto"/>
                <w:highlight w:val="none"/>
                <w:lang w:eastAsia="zh-CN"/>
              </w:rPr>
            </w:pPr>
            <w:r>
              <w:rPr>
                <w:rFonts w:hint="eastAsia"/>
                <w:color w:val="auto"/>
                <w:highlight w:val="none"/>
                <w:lang w:eastAsia="zh-CN"/>
              </w:rPr>
              <w:t>风量控制器</w:t>
            </w:r>
          </w:p>
          <w:p>
            <w:pPr>
              <w:rPr>
                <w:color w:val="auto"/>
                <w:highlight w:val="none"/>
                <w:lang w:eastAsia="zh-CN"/>
              </w:rPr>
            </w:pPr>
            <w:r>
              <w:rPr>
                <w:rFonts w:hint="eastAsia"/>
                <w:color w:val="auto"/>
                <w:highlight w:val="none"/>
                <w:lang w:eastAsia="zh-CN"/>
              </w:rPr>
              <w:t>用于通风柜控制及房间送、回或排风管道上的风量控制。应采用集风量监测、风阀执行、风量控制于一体的电动设备。具有实时风量测量功能，测量精度应</w:t>
            </w:r>
            <w:r>
              <w:rPr>
                <w:color w:val="auto"/>
                <w:highlight w:val="none"/>
                <w:lang w:eastAsia="zh-CN"/>
              </w:rPr>
              <w:t>&lt;2%</w:t>
            </w:r>
            <w:r>
              <w:rPr>
                <w:rFonts w:hint="eastAsia"/>
                <w:color w:val="auto"/>
                <w:highlight w:val="none"/>
                <w:lang w:eastAsia="zh-CN"/>
              </w:rPr>
              <w:t>；能实现</w:t>
            </w:r>
            <w:r>
              <w:rPr>
                <w:color w:val="auto"/>
                <w:highlight w:val="none"/>
                <w:lang w:eastAsia="zh-CN"/>
              </w:rPr>
              <w:t>1Pa</w:t>
            </w:r>
            <w:r>
              <w:rPr>
                <w:rFonts w:hint="eastAsia"/>
                <w:color w:val="auto"/>
                <w:highlight w:val="none"/>
                <w:lang w:eastAsia="zh-CN"/>
              </w:rPr>
              <w:t>精度范围内的差压</w:t>
            </w:r>
            <w:r>
              <w:rPr>
                <w:color w:val="auto"/>
                <w:highlight w:val="none"/>
                <w:lang w:eastAsia="zh-CN"/>
              </w:rPr>
              <w:t>PI</w:t>
            </w:r>
            <w:r>
              <w:rPr>
                <w:rFonts w:hint="eastAsia"/>
                <w:color w:val="auto"/>
                <w:highlight w:val="none"/>
                <w:lang w:eastAsia="zh-CN"/>
              </w:rPr>
              <w:t>控制；具有通讯功能；量程</w:t>
            </w:r>
            <w:r>
              <w:rPr>
                <w:color w:val="auto"/>
                <w:highlight w:val="none"/>
                <w:lang w:eastAsia="zh-CN"/>
              </w:rPr>
              <w:t>0~150Pa</w:t>
            </w:r>
            <w:r>
              <w:rPr>
                <w:rFonts w:hint="eastAsia"/>
                <w:color w:val="auto"/>
                <w:highlight w:val="none"/>
                <w:lang w:eastAsia="zh-CN"/>
              </w:rPr>
              <w:t>或</w:t>
            </w:r>
            <w:r>
              <w:rPr>
                <w:color w:val="auto"/>
                <w:highlight w:val="none"/>
                <w:lang w:eastAsia="zh-CN"/>
              </w:rPr>
              <w:t>0~300Pa</w:t>
            </w:r>
            <w:r>
              <w:rPr>
                <w:rFonts w:hint="eastAsia"/>
                <w:color w:val="auto"/>
                <w:highlight w:val="none"/>
                <w:lang w:eastAsia="zh-CN"/>
              </w:rPr>
              <w:t>可选。全行程时间为</w:t>
            </w:r>
            <w:r>
              <w:rPr>
                <w:color w:val="auto"/>
                <w:highlight w:val="none"/>
                <w:lang w:eastAsia="zh-CN"/>
              </w:rPr>
              <w:t>3~15s</w:t>
            </w:r>
            <w:r>
              <w:rPr>
                <w:rFonts w:hint="eastAsia"/>
                <w:color w:val="auto"/>
                <w:highlight w:val="none"/>
                <w:lang w:eastAsia="zh-CN"/>
              </w:rPr>
              <w:t>可调执行机构；扭矩</w:t>
            </w:r>
            <w:r>
              <w:rPr>
                <w:color w:val="auto"/>
                <w:highlight w:val="none"/>
                <w:lang w:eastAsia="zh-CN"/>
              </w:rPr>
              <w:t>10NM</w:t>
            </w:r>
            <w:r>
              <w:rPr>
                <w:rFonts w:hint="eastAsia"/>
                <w:color w:val="auto"/>
                <w:highlight w:val="none"/>
                <w:lang w:eastAsia="zh-CN"/>
              </w:rPr>
              <w:t>。</w:t>
            </w:r>
          </w:p>
          <w:p>
            <w:pPr>
              <w:rPr>
                <w:color w:val="auto"/>
                <w:highlight w:val="none"/>
                <w:lang w:eastAsia="zh-CN"/>
              </w:rPr>
            </w:pPr>
            <w:r>
              <w:rPr>
                <w:rFonts w:hint="eastAsia"/>
                <w:color w:val="auto"/>
                <w:highlight w:val="none"/>
                <w:lang w:eastAsia="zh-CN"/>
              </w:rPr>
              <w:t>通风柜面风速传感器</w:t>
            </w:r>
          </w:p>
          <w:p>
            <w:pPr>
              <w:rPr>
                <w:color w:val="auto"/>
                <w:highlight w:val="none"/>
                <w:lang w:eastAsia="zh-CN"/>
              </w:rPr>
            </w:pPr>
            <w:r>
              <w:rPr>
                <w:rFonts w:hint="eastAsia"/>
                <w:color w:val="auto"/>
                <w:highlight w:val="none"/>
                <w:lang w:eastAsia="zh-CN"/>
              </w:rPr>
              <w:t>量程：</w:t>
            </w:r>
            <w:r>
              <w:rPr>
                <w:color w:val="auto"/>
                <w:highlight w:val="none"/>
                <w:lang w:eastAsia="zh-CN"/>
              </w:rPr>
              <w:t>0~1.3m/s</w:t>
            </w:r>
            <w:r>
              <w:rPr>
                <w:rFonts w:hint="eastAsia"/>
                <w:color w:val="auto"/>
                <w:highlight w:val="none"/>
                <w:lang w:eastAsia="zh-CN"/>
              </w:rPr>
              <w:t>；时间常数</w:t>
            </w:r>
            <w:r>
              <w:rPr>
                <w:color w:val="auto"/>
                <w:highlight w:val="none"/>
                <w:lang w:eastAsia="zh-CN"/>
              </w:rPr>
              <w:t>&lt;100 ms</w:t>
            </w:r>
            <w:r>
              <w:rPr>
                <w:rFonts w:hint="eastAsia"/>
                <w:color w:val="auto"/>
                <w:highlight w:val="none"/>
                <w:lang w:eastAsia="zh-CN"/>
              </w:rPr>
              <w:t>；集成防污过滤装置；需提供就地显示功能；</w:t>
            </w:r>
          </w:p>
          <w:p>
            <w:pPr>
              <w:rPr>
                <w:color w:val="auto"/>
                <w:highlight w:val="none"/>
                <w:lang w:eastAsia="zh-CN"/>
              </w:rPr>
            </w:pPr>
            <w:r>
              <w:rPr>
                <w:rFonts w:hint="eastAsia"/>
                <w:color w:val="auto"/>
                <w:highlight w:val="none"/>
                <w:lang w:eastAsia="zh-CN"/>
              </w:rPr>
              <w:t>通风柜控制面板</w:t>
            </w:r>
          </w:p>
          <w:p>
            <w:pPr>
              <w:rPr>
                <w:color w:val="auto"/>
                <w:highlight w:val="none"/>
                <w:lang w:eastAsia="zh-CN"/>
              </w:rPr>
            </w:pPr>
            <w:r>
              <w:rPr>
                <w:rFonts w:hint="eastAsia"/>
                <w:color w:val="auto"/>
                <w:highlight w:val="none"/>
                <w:lang w:eastAsia="zh-CN"/>
              </w:rPr>
              <w:t>应具有最大、最小风量控制、报警、静音、启停、灯光控制功能，以及具有参数设定接口。</w:t>
            </w:r>
          </w:p>
          <w:p>
            <w:pPr>
              <w:rPr>
                <w:color w:val="auto"/>
                <w:highlight w:val="none"/>
                <w:lang w:eastAsia="zh-CN"/>
              </w:rPr>
            </w:pPr>
            <w:r>
              <w:rPr>
                <w:rFonts w:hint="eastAsia"/>
                <w:color w:val="auto"/>
                <w:highlight w:val="none"/>
                <w:lang w:eastAsia="zh-CN"/>
              </w:rPr>
              <w:t>房间压力控制器</w:t>
            </w:r>
          </w:p>
          <w:p>
            <w:pPr>
              <w:rPr>
                <w:color w:val="auto"/>
                <w:highlight w:val="none"/>
                <w:lang w:eastAsia="zh-CN"/>
              </w:rPr>
            </w:pPr>
            <w:r>
              <w:rPr>
                <w:rFonts w:hint="eastAsia"/>
                <w:color w:val="auto"/>
                <w:highlight w:val="none"/>
                <w:lang w:eastAsia="zh-CN"/>
              </w:rPr>
              <w:t>测量范围正负可调（</w:t>
            </w:r>
            <w:r>
              <w:rPr>
                <w:color w:val="auto"/>
                <w:highlight w:val="none"/>
                <w:lang w:eastAsia="zh-CN"/>
              </w:rPr>
              <w:t>-50Pa~+50Pa</w:t>
            </w:r>
            <w:r>
              <w:rPr>
                <w:rFonts w:hint="eastAsia"/>
                <w:color w:val="auto"/>
                <w:highlight w:val="none"/>
                <w:lang w:eastAsia="zh-CN"/>
              </w:rPr>
              <w:t>），线性度</w:t>
            </w:r>
            <w:r>
              <w:rPr>
                <w:color w:val="auto"/>
                <w:highlight w:val="none"/>
                <w:lang w:eastAsia="zh-CN"/>
              </w:rPr>
              <w:t>&lt;2%</w:t>
            </w:r>
            <w:r>
              <w:rPr>
                <w:rFonts w:hint="eastAsia"/>
                <w:color w:val="auto"/>
                <w:highlight w:val="none"/>
                <w:lang w:eastAsia="zh-CN"/>
              </w:rPr>
              <w:t>；能实现独立的</w:t>
            </w:r>
            <w:r>
              <w:rPr>
                <w:color w:val="auto"/>
                <w:highlight w:val="none"/>
                <w:lang w:eastAsia="zh-CN"/>
              </w:rPr>
              <w:t>PI</w:t>
            </w:r>
            <w:r>
              <w:rPr>
                <w:rFonts w:hint="eastAsia"/>
                <w:color w:val="auto"/>
                <w:highlight w:val="none"/>
                <w:lang w:eastAsia="zh-CN"/>
              </w:rPr>
              <w:t>控制，且可以输出经过过滤的稳定的偏置信号给房间送、排风控制器。</w:t>
            </w:r>
          </w:p>
          <w:p>
            <w:pPr>
              <w:rPr>
                <w:color w:val="auto"/>
                <w:highlight w:val="none"/>
                <w:lang w:eastAsia="zh-CN"/>
              </w:rPr>
            </w:pPr>
            <w:r>
              <w:rPr>
                <w:rFonts w:hint="eastAsia"/>
                <w:color w:val="auto"/>
                <w:highlight w:val="none"/>
                <w:lang w:eastAsia="zh-CN"/>
              </w:rPr>
              <w:t>风量叠加单元</w:t>
            </w:r>
          </w:p>
          <w:p>
            <w:pPr>
              <w:rPr>
                <w:color w:val="auto"/>
                <w:highlight w:val="none"/>
                <w:lang w:eastAsia="zh-CN"/>
              </w:rPr>
            </w:pPr>
            <w:r>
              <w:rPr>
                <w:rFonts w:hint="eastAsia"/>
                <w:color w:val="auto"/>
                <w:highlight w:val="none"/>
                <w:lang w:eastAsia="zh-CN"/>
              </w:rPr>
              <w:t>具有</w:t>
            </w:r>
            <w:r>
              <w:rPr>
                <w:color w:val="auto"/>
                <w:highlight w:val="none"/>
                <w:lang w:eastAsia="zh-CN"/>
              </w:rPr>
              <w:t>6</w:t>
            </w:r>
            <w:r>
              <w:rPr>
                <w:rFonts w:hint="eastAsia"/>
                <w:color w:val="auto"/>
                <w:highlight w:val="none"/>
                <w:lang w:eastAsia="zh-CN"/>
              </w:rPr>
              <w:t>路输入，可通过串接实现多路信号叠加；模拟电路实现无延迟信号叠加。</w:t>
            </w:r>
          </w:p>
          <w:p>
            <w:pPr>
              <w:rPr>
                <w:color w:val="auto"/>
                <w:highlight w:val="none"/>
                <w:lang w:eastAsia="zh-CN"/>
              </w:rPr>
            </w:pPr>
          </w:p>
          <w:p>
            <w:pPr>
              <w:rPr>
                <w:color w:val="auto"/>
                <w:highlight w:val="none"/>
                <w:lang w:eastAsia="zh-CN"/>
              </w:rPr>
            </w:pPr>
            <w:r>
              <w:rPr>
                <w:color w:val="auto"/>
                <w:highlight w:val="none"/>
                <w:lang w:eastAsia="zh-CN"/>
              </w:rPr>
              <w:t xml:space="preserve">4.2.3 </w:t>
            </w:r>
            <w:r>
              <w:rPr>
                <w:rFonts w:hint="eastAsia"/>
                <w:color w:val="auto"/>
                <w:highlight w:val="none"/>
                <w:lang w:eastAsia="zh-CN"/>
              </w:rPr>
              <w:t>传感器及阀门</w:t>
            </w:r>
          </w:p>
          <w:p>
            <w:pPr>
              <w:rPr>
                <w:color w:val="auto"/>
                <w:highlight w:val="none"/>
                <w:lang w:eastAsia="zh-CN"/>
              </w:rPr>
            </w:pPr>
            <w:r>
              <w:rPr>
                <w:rFonts w:hint="eastAsia"/>
                <w:color w:val="auto"/>
                <w:highlight w:val="none"/>
                <w:lang w:eastAsia="zh-CN"/>
              </w:rPr>
              <w:t>风道型温湿度传感器</w:t>
            </w:r>
          </w:p>
          <w:p>
            <w:pPr>
              <w:rPr>
                <w:color w:val="auto"/>
                <w:highlight w:val="none"/>
                <w:lang w:eastAsia="zh-CN"/>
              </w:rPr>
            </w:pPr>
            <w:r>
              <w:rPr>
                <w:rFonts w:hint="eastAsia"/>
                <w:color w:val="auto"/>
                <w:highlight w:val="none"/>
                <w:lang w:eastAsia="zh-CN"/>
              </w:rPr>
              <w:t>相对湿度：量程：</w:t>
            </w:r>
            <w:r>
              <w:rPr>
                <w:color w:val="auto"/>
                <w:highlight w:val="none"/>
                <w:lang w:eastAsia="zh-CN"/>
              </w:rPr>
              <w:t>10~95%</w:t>
            </w:r>
            <w:r>
              <w:rPr>
                <w:rFonts w:hint="eastAsia"/>
                <w:color w:val="auto"/>
                <w:highlight w:val="none"/>
                <w:lang w:eastAsia="zh-CN"/>
              </w:rPr>
              <w:t>；信号：</w:t>
            </w:r>
            <w:r>
              <w:rPr>
                <w:color w:val="auto"/>
                <w:highlight w:val="none"/>
                <w:lang w:eastAsia="zh-CN"/>
              </w:rPr>
              <w:t>0~10VDC</w:t>
            </w:r>
            <w:r>
              <w:rPr>
                <w:rFonts w:hint="eastAsia"/>
                <w:color w:val="auto"/>
                <w:highlight w:val="none"/>
                <w:lang w:eastAsia="zh-CN"/>
              </w:rPr>
              <w:t>；精度在</w:t>
            </w:r>
            <w:r>
              <w:rPr>
                <w:color w:val="auto"/>
                <w:highlight w:val="none"/>
                <w:lang w:eastAsia="zh-CN"/>
              </w:rPr>
              <w:t>55 %</w:t>
            </w:r>
            <w:r>
              <w:rPr>
                <w:rFonts w:hint="eastAsia"/>
                <w:color w:val="auto"/>
                <w:highlight w:val="none"/>
                <w:lang w:eastAsia="zh-CN"/>
              </w:rPr>
              <w:t>，</w:t>
            </w:r>
            <w:r>
              <w:rPr>
                <w:color w:val="auto"/>
                <w:highlight w:val="none"/>
                <w:lang w:eastAsia="zh-CN"/>
              </w:rPr>
              <w:t>23</w:t>
            </w:r>
            <w:r>
              <w:rPr>
                <w:rFonts w:hint="eastAsia"/>
                <w:color w:val="auto"/>
                <w:highlight w:val="none"/>
                <w:lang w:eastAsia="zh-CN"/>
              </w:rPr>
              <w:t>°</w:t>
            </w:r>
            <w:r>
              <w:rPr>
                <w:color w:val="auto"/>
                <w:highlight w:val="none"/>
                <w:lang w:eastAsia="zh-CN"/>
              </w:rPr>
              <w:t>C</w:t>
            </w:r>
            <w:r>
              <w:rPr>
                <w:rFonts w:hint="eastAsia"/>
                <w:color w:val="auto"/>
                <w:highlight w:val="none"/>
                <w:lang w:eastAsia="zh-CN"/>
              </w:rPr>
              <w:t>时，±</w:t>
            </w:r>
            <w:r>
              <w:rPr>
                <w:color w:val="auto"/>
                <w:highlight w:val="none"/>
                <w:lang w:eastAsia="zh-CN"/>
              </w:rPr>
              <w:t>3.5%</w:t>
            </w:r>
            <w:r>
              <w:rPr>
                <w:rFonts w:hint="eastAsia"/>
                <w:color w:val="auto"/>
                <w:highlight w:val="none"/>
                <w:lang w:eastAsia="zh-CN"/>
              </w:rPr>
              <w:t>；</w:t>
            </w:r>
          </w:p>
          <w:p>
            <w:pPr>
              <w:rPr>
                <w:color w:val="auto"/>
                <w:highlight w:val="none"/>
                <w:lang w:eastAsia="zh-CN"/>
              </w:rPr>
            </w:pPr>
            <w:r>
              <w:rPr>
                <w:rFonts w:hint="eastAsia"/>
                <w:color w:val="auto"/>
                <w:highlight w:val="none"/>
                <w:lang w:eastAsia="zh-CN"/>
              </w:rPr>
              <w:t>温度：量程：</w:t>
            </w:r>
            <w:r>
              <w:rPr>
                <w:color w:val="auto"/>
                <w:highlight w:val="none"/>
                <w:lang w:eastAsia="zh-CN"/>
              </w:rPr>
              <w:t>-20~70</w:t>
            </w:r>
            <w:r>
              <w:rPr>
                <w:rFonts w:hint="eastAsia"/>
                <w:color w:val="auto"/>
                <w:highlight w:val="none"/>
                <w:lang w:eastAsia="zh-CN"/>
              </w:rPr>
              <w:t>℃；信号：</w:t>
            </w:r>
            <w:r>
              <w:rPr>
                <w:color w:val="auto"/>
                <w:highlight w:val="none"/>
                <w:lang w:eastAsia="zh-CN"/>
              </w:rPr>
              <w:t>NI1000</w:t>
            </w:r>
            <w:r>
              <w:rPr>
                <w:rFonts w:hint="eastAsia"/>
                <w:color w:val="auto"/>
                <w:highlight w:val="none"/>
                <w:lang w:eastAsia="zh-CN"/>
              </w:rPr>
              <w:t>温度电阻；</w:t>
            </w:r>
            <w:r>
              <w:rPr>
                <w:color w:val="auto"/>
                <w:highlight w:val="none"/>
                <w:lang w:eastAsia="zh-CN"/>
              </w:rPr>
              <w:t>20</w:t>
            </w:r>
            <w:r>
              <w:rPr>
                <w:rFonts w:hint="eastAsia"/>
                <w:color w:val="auto"/>
                <w:highlight w:val="none"/>
                <w:lang w:eastAsia="zh-CN"/>
              </w:rPr>
              <w:t>℃时精度为±</w:t>
            </w:r>
            <w:r>
              <w:rPr>
                <w:color w:val="auto"/>
                <w:highlight w:val="none"/>
                <w:lang w:eastAsia="zh-CN"/>
              </w:rPr>
              <w:t>0.25 K</w:t>
            </w:r>
            <w:r>
              <w:rPr>
                <w:rFonts w:hint="eastAsia"/>
                <w:color w:val="auto"/>
                <w:highlight w:val="none"/>
                <w:lang w:eastAsia="zh-CN"/>
              </w:rPr>
              <w:t>。</w:t>
            </w:r>
          </w:p>
          <w:p>
            <w:pPr>
              <w:rPr>
                <w:color w:val="auto"/>
                <w:highlight w:val="none"/>
                <w:lang w:eastAsia="zh-CN"/>
              </w:rPr>
            </w:pPr>
            <w:r>
              <w:rPr>
                <w:rFonts w:hint="eastAsia"/>
                <w:color w:val="auto"/>
                <w:highlight w:val="none"/>
                <w:lang w:eastAsia="zh-CN"/>
              </w:rPr>
              <w:t>房间型温湿度传感器</w:t>
            </w:r>
          </w:p>
          <w:p>
            <w:pPr>
              <w:rPr>
                <w:color w:val="auto"/>
                <w:highlight w:val="none"/>
                <w:lang w:eastAsia="zh-CN"/>
              </w:rPr>
            </w:pPr>
            <w:r>
              <w:rPr>
                <w:rFonts w:hint="eastAsia"/>
                <w:color w:val="auto"/>
                <w:highlight w:val="none"/>
                <w:lang w:eastAsia="zh-CN"/>
              </w:rPr>
              <w:t>相对湿度：量程：</w:t>
            </w:r>
            <w:r>
              <w:rPr>
                <w:color w:val="auto"/>
                <w:highlight w:val="none"/>
                <w:lang w:eastAsia="zh-CN"/>
              </w:rPr>
              <w:t>5~95%</w:t>
            </w:r>
            <w:r>
              <w:rPr>
                <w:rFonts w:hint="eastAsia"/>
                <w:color w:val="auto"/>
                <w:highlight w:val="none"/>
                <w:lang w:eastAsia="zh-CN"/>
              </w:rPr>
              <w:t>；信号：</w:t>
            </w:r>
            <w:r>
              <w:rPr>
                <w:color w:val="auto"/>
                <w:highlight w:val="none"/>
                <w:lang w:eastAsia="zh-CN"/>
              </w:rPr>
              <w:t>0~10VDC</w:t>
            </w:r>
            <w:r>
              <w:rPr>
                <w:rFonts w:hint="eastAsia"/>
                <w:color w:val="auto"/>
                <w:highlight w:val="none"/>
                <w:lang w:eastAsia="zh-CN"/>
              </w:rPr>
              <w:t>；精度在</w:t>
            </w:r>
            <w:r>
              <w:rPr>
                <w:color w:val="auto"/>
                <w:highlight w:val="none"/>
                <w:lang w:eastAsia="zh-CN"/>
              </w:rPr>
              <w:t>55 %</w:t>
            </w:r>
            <w:r>
              <w:rPr>
                <w:rFonts w:hint="eastAsia"/>
                <w:color w:val="auto"/>
                <w:highlight w:val="none"/>
                <w:lang w:eastAsia="zh-CN"/>
              </w:rPr>
              <w:t>，</w:t>
            </w:r>
            <w:r>
              <w:rPr>
                <w:color w:val="auto"/>
                <w:highlight w:val="none"/>
                <w:lang w:eastAsia="zh-CN"/>
              </w:rPr>
              <w:t>23</w:t>
            </w:r>
            <w:r>
              <w:rPr>
                <w:rFonts w:hint="eastAsia"/>
                <w:color w:val="auto"/>
                <w:highlight w:val="none"/>
                <w:lang w:eastAsia="zh-CN"/>
              </w:rPr>
              <w:t>°</w:t>
            </w:r>
            <w:r>
              <w:rPr>
                <w:color w:val="auto"/>
                <w:highlight w:val="none"/>
                <w:lang w:eastAsia="zh-CN"/>
              </w:rPr>
              <w:t>C</w:t>
            </w:r>
            <w:r>
              <w:rPr>
                <w:rFonts w:hint="eastAsia"/>
                <w:color w:val="auto"/>
                <w:highlight w:val="none"/>
                <w:lang w:eastAsia="zh-CN"/>
              </w:rPr>
              <w:t>时，±</w:t>
            </w:r>
            <w:r>
              <w:rPr>
                <w:color w:val="auto"/>
                <w:highlight w:val="none"/>
                <w:lang w:eastAsia="zh-CN"/>
              </w:rPr>
              <w:t>3.5%</w:t>
            </w:r>
            <w:r>
              <w:rPr>
                <w:rFonts w:hint="eastAsia"/>
                <w:color w:val="auto"/>
                <w:highlight w:val="none"/>
                <w:lang w:eastAsia="zh-CN"/>
              </w:rPr>
              <w:t>；</w:t>
            </w:r>
          </w:p>
          <w:p>
            <w:pPr>
              <w:rPr>
                <w:color w:val="auto"/>
                <w:highlight w:val="none"/>
                <w:lang w:eastAsia="zh-CN"/>
              </w:rPr>
            </w:pPr>
            <w:r>
              <w:rPr>
                <w:rFonts w:hint="eastAsia"/>
                <w:color w:val="auto"/>
                <w:highlight w:val="none"/>
                <w:lang w:eastAsia="zh-CN"/>
              </w:rPr>
              <w:t>温度：量程：</w:t>
            </w:r>
            <w:r>
              <w:rPr>
                <w:color w:val="auto"/>
                <w:highlight w:val="none"/>
                <w:lang w:eastAsia="zh-CN"/>
              </w:rPr>
              <w:t>0~50</w:t>
            </w:r>
            <w:r>
              <w:rPr>
                <w:rFonts w:hint="eastAsia"/>
                <w:color w:val="auto"/>
                <w:highlight w:val="none"/>
                <w:lang w:eastAsia="zh-CN"/>
              </w:rPr>
              <w:t>℃；信号：</w:t>
            </w:r>
            <w:r>
              <w:rPr>
                <w:color w:val="auto"/>
                <w:highlight w:val="none"/>
                <w:lang w:eastAsia="zh-CN"/>
              </w:rPr>
              <w:t>0~10VDC</w:t>
            </w:r>
            <w:r>
              <w:rPr>
                <w:rFonts w:hint="eastAsia"/>
                <w:color w:val="auto"/>
                <w:highlight w:val="none"/>
                <w:lang w:eastAsia="zh-CN"/>
              </w:rPr>
              <w:t>；</w:t>
            </w:r>
            <w:r>
              <w:rPr>
                <w:color w:val="auto"/>
                <w:highlight w:val="none"/>
                <w:lang w:eastAsia="zh-CN"/>
              </w:rPr>
              <w:t>20</w:t>
            </w:r>
            <w:r>
              <w:rPr>
                <w:rFonts w:hint="eastAsia"/>
                <w:color w:val="auto"/>
                <w:highlight w:val="none"/>
                <w:lang w:eastAsia="zh-CN"/>
              </w:rPr>
              <w:t>℃时精度为±</w:t>
            </w:r>
            <w:r>
              <w:rPr>
                <w:color w:val="auto"/>
                <w:highlight w:val="none"/>
                <w:lang w:eastAsia="zh-CN"/>
              </w:rPr>
              <w:t>0.25 K</w:t>
            </w:r>
            <w:r>
              <w:rPr>
                <w:rFonts w:hint="eastAsia"/>
                <w:color w:val="auto"/>
                <w:highlight w:val="none"/>
                <w:lang w:eastAsia="zh-CN"/>
              </w:rPr>
              <w:t>。</w:t>
            </w:r>
          </w:p>
          <w:p>
            <w:pPr>
              <w:rPr>
                <w:color w:val="auto"/>
                <w:highlight w:val="none"/>
                <w:lang w:eastAsia="zh-CN"/>
              </w:rPr>
            </w:pPr>
            <w:r>
              <w:rPr>
                <w:rFonts w:hint="eastAsia"/>
                <w:color w:val="auto"/>
                <w:highlight w:val="none"/>
                <w:lang w:eastAsia="zh-CN"/>
              </w:rPr>
              <w:t>室内压差传感器</w:t>
            </w:r>
          </w:p>
          <w:p>
            <w:pPr>
              <w:rPr>
                <w:color w:val="auto"/>
                <w:highlight w:val="none"/>
                <w:lang w:eastAsia="zh-CN"/>
              </w:rPr>
            </w:pPr>
            <w:r>
              <w:rPr>
                <w:rFonts w:hint="eastAsia"/>
                <w:color w:val="auto"/>
                <w:highlight w:val="none"/>
                <w:lang w:eastAsia="zh-CN"/>
              </w:rPr>
              <w:t>量程：</w:t>
            </w:r>
            <w:r>
              <w:rPr>
                <w:color w:val="auto"/>
                <w:highlight w:val="none"/>
                <w:lang w:eastAsia="zh-CN"/>
              </w:rPr>
              <w:t>-50~50Pa</w:t>
            </w:r>
            <w:r>
              <w:rPr>
                <w:rFonts w:hint="eastAsia"/>
                <w:color w:val="auto"/>
                <w:highlight w:val="none"/>
                <w:lang w:eastAsia="zh-CN"/>
              </w:rPr>
              <w:t>；信号：</w:t>
            </w:r>
            <w:r>
              <w:rPr>
                <w:color w:val="auto"/>
                <w:highlight w:val="none"/>
                <w:lang w:eastAsia="zh-CN"/>
              </w:rPr>
              <w:t>0~10VDC</w:t>
            </w:r>
            <w:r>
              <w:rPr>
                <w:rFonts w:hint="eastAsia"/>
                <w:color w:val="auto"/>
                <w:highlight w:val="none"/>
                <w:lang w:eastAsia="zh-CN"/>
              </w:rPr>
              <w:t>。精度：</w:t>
            </w:r>
            <w:r>
              <w:rPr>
                <w:color w:val="auto"/>
                <w:highlight w:val="none"/>
                <w:lang w:eastAsia="zh-CN"/>
              </w:rPr>
              <w:t>&lt;</w:t>
            </w:r>
            <w:r>
              <w:rPr>
                <w:rFonts w:hint="eastAsia"/>
                <w:color w:val="auto"/>
                <w:highlight w:val="none"/>
                <w:lang w:eastAsia="zh-CN"/>
              </w:rPr>
              <w:t>±</w:t>
            </w:r>
            <w:r>
              <w:rPr>
                <w:color w:val="auto"/>
                <w:highlight w:val="none"/>
                <w:lang w:eastAsia="zh-CN"/>
              </w:rPr>
              <w:t>1%FS</w:t>
            </w:r>
          </w:p>
          <w:p>
            <w:pPr>
              <w:rPr>
                <w:color w:val="auto"/>
                <w:highlight w:val="none"/>
                <w:lang w:eastAsia="zh-CN"/>
              </w:rPr>
            </w:pPr>
            <w:r>
              <w:rPr>
                <w:rFonts w:hint="eastAsia"/>
                <w:color w:val="auto"/>
                <w:highlight w:val="none"/>
                <w:lang w:eastAsia="zh-CN"/>
              </w:rPr>
              <w:t>压差开关</w:t>
            </w:r>
          </w:p>
          <w:p>
            <w:pPr>
              <w:rPr>
                <w:color w:val="auto"/>
                <w:highlight w:val="none"/>
                <w:lang w:eastAsia="zh-CN"/>
              </w:rPr>
            </w:pPr>
            <w:r>
              <w:rPr>
                <w:rFonts w:hint="eastAsia"/>
                <w:color w:val="auto"/>
                <w:highlight w:val="none"/>
                <w:lang w:eastAsia="zh-CN"/>
              </w:rPr>
              <w:t>量程：根据风机压差及过滤器不同压降选择不同量程</w:t>
            </w:r>
          </w:p>
          <w:p>
            <w:pPr>
              <w:rPr>
                <w:color w:val="auto"/>
                <w:highlight w:val="none"/>
                <w:lang w:eastAsia="zh-CN"/>
              </w:rPr>
            </w:pPr>
            <w:r>
              <w:rPr>
                <w:rFonts w:hint="eastAsia"/>
                <w:color w:val="auto"/>
                <w:highlight w:val="none"/>
                <w:lang w:eastAsia="zh-CN"/>
              </w:rPr>
              <w:t>风道静压传感器</w:t>
            </w:r>
          </w:p>
          <w:p>
            <w:pPr>
              <w:rPr>
                <w:color w:val="auto"/>
                <w:highlight w:val="none"/>
                <w:lang w:eastAsia="zh-CN"/>
              </w:rPr>
            </w:pPr>
            <w:r>
              <w:rPr>
                <w:rFonts w:hint="eastAsia"/>
                <w:color w:val="auto"/>
                <w:highlight w:val="none"/>
                <w:lang w:eastAsia="zh-CN"/>
              </w:rPr>
              <w:t>量程：</w:t>
            </w:r>
            <w:r>
              <w:rPr>
                <w:color w:val="auto"/>
                <w:highlight w:val="none"/>
                <w:lang w:eastAsia="zh-CN"/>
              </w:rPr>
              <w:t>0~500Pa</w:t>
            </w:r>
            <w:r>
              <w:rPr>
                <w:rFonts w:hint="eastAsia"/>
                <w:color w:val="auto"/>
                <w:highlight w:val="none"/>
                <w:lang w:eastAsia="zh-CN"/>
              </w:rPr>
              <w:t>或</w:t>
            </w:r>
            <w:r>
              <w:rPr>
                <w:color w:val="auto"/>
                <w:highlight w:val="none"/>
                <w:lang w:eastAsia="zh-CN"/>
              </w:rPr>
              <w:t>0~1000Pa</w:t>
            </w:r>
            <w:r>
              <w:rPr>
                <w:rFonts w:hint="eastAsia"/>
                <w:color w:val="auto"/>
                <w:highlight w:val="none"/>
                <w:lang w:eastAsia="zh-CN"/>
              </w:rPr>
              <w:t>。精度：</w:t>
            </w:r>
            <w:r>
              <w:rPr>
                <w:color w:val="auto"/>
                <w:highlight w:val="none"/>
                <w:lang w:eastAsia="zh-CN"/>
              </w:rPr>
              <w:t>&lt;</w:t>
            </w:r>
            <w:r>
              <w:rPr>
                <w:rFonts w:hint="eastAsia"/>
                <w:color w:val="auto"/>
                <w:highlight w:val="none"/>
                <w:lang w:eastAsia="zh-CN"/>
              </w:rPr>
              <w:t>±</w:t>
            </w:r>
            <w:r>
              <w:rPr>
                <w:color w:val="auto"/>
                <w:highlight w:val="none"/>
                <w:lang w:eastAsia="zh-CN"/>
              </w:rPr>
              <w:t>1%FS</w:t>
            </w:r>
          </w:p>
          <w:p>
            <w:pPr>
              <w:rPr>
                <w:color w:val="auto"/>
                <w:highlight w:val="none"/>
                <w:lang w:eastAsia="zh-CN"/>
              </w:rPr>
            </w:pPr>
            <w:r>
              <w:rPr>
                <w:rFonts w:hint="eastAsia"/>
                <w:color w:val="auto"/>
                <w:highlight w:val="none"/>
                <w:lang w:eastAsia="zh-CN"/>
              </w:rPr>
              <w:t>风速传感器</w:t>
            </w:r>
          </w:p>
          <w:p>
            <w:pPr>
              <w:rPr>
                <w:color w:val="auto"/>
                <w:highlight w:val="none"/>
                <w:lang w:eastAsia="zh-CN"/>
              </w:rPr>
            </w:pPr>
            <w:r>
              <w:rPr>
                <w:rFonts w:hint="eastAsia"/>
                <w:color w:val="auto"/>
                <w:highlight w:val="none"/>
                <w:lang w:eastAsia="zh-CN"/>
              </w:rPr>
              <w:t>量程：根据实际风道风速选择量程。</w:t>
            </w:r>
          </w:p>
          <w:p>
            <w:pPr>
              <w:rPr>
                <w:color w:val="auto"/>
                <w:highlight w:val="none"/>
                <w:lang w:eastAsia="zh-CN"/>
              </w:rPr>
            </w:pPr>
            <w:r>
              <w:rPr>
                <w:rFonts w:hint="eastAsia"/>
                <w:color w:val="auto"/>
                <w:highlight w:val="none"/>
                <w:lang w:eastAsia="zh-CN"/>
              </w:rPr>
              <w:t>开关型风阀执行器</w:t>
            </w:r>
          </w:p>
          <w:p>
            <w:pPr>
              <w:rPr>
                <w:color w:val="auto"/>
                <w:highlight w:val="none"/>
                <w:lang w:eastAsia="zh-CN"/>
              </w:rPr>
            </w:pPr>
            <w:r>
              <w:rPr>
                <w:rFonts w:hint="eastAsia"/>
                <w:color w:val="auto"/>
                <w:highlight w:val="none"/>
                <w:lang w:eastAsia="zh-CN"/>
              </w:rPr>
              <w:t>扭矩：根据风门面积不同有</w:t>
            </w:r>
            <w:r>
              <w:rPr>
                <w:color w:val="auto"/>
                <w:highlight w:val="none"/>
                <w:lang w:eastAsia="zh-CN"/>
              </w:rPr>
              <w:t>5NM</w:t>
            </w:r>
            <w:r>
              <w:rPr>
                <w:rFonts w:hint="eastAsia"/>
                <w:color w:val="auto"/>
                <w:highlight w:val="none"/>
                <w:lang w:eastAsia="zh-CN"/>
              </w:rPr>
              <w:t>，</w:t>
            </w:r>
            <w:r>
              <w:rPr>
                <w:color w:val="auto"/>
                <w:highlight w:val="none"/>
                <w:lang w:eastAsia="zh-CN"/>
              </w:rPr>
              <w:t>10NM</w:t>
            </w:r>
            <w:r>
              <w:rPr>
                <w:rFonts w:hint="eastAsia"/>
                <w:color w:val="auto"/>
                <w:highlight w:val="none"/>
                <w:lang w:eastAsia="zh-CN"/>
              </w:rPr>
              <w:t>、</w:t>
            </w:r>
            <w:r>
              <w:rPr>
                <w:color w:val="auto"/>
                <w:highlight w:val="none"/>
                <w:lang w:eastAsia="zh-CN"/>
              </w:rPr>
              <w:t>18NM</w:t>
            </w:r>
            <w:r>
              <w:rPr>
                <w:rFonts w:hint="eastAsia"/>
                <w:color w:val="auto"/>
                <w:highlight w:val="none"/>
                <w:lang w:eastAsia="zh-CN"/>
              </w:rPr>
              <w:t>、</w:t>
            </w:r>
            <w:r>
              <w:rPr>
                <w:color w:val="auto"/>
                <w:highlight w:val="none"/>
                <w:lang w:eastAsia="zh-CN"/>
              </w:rPr>
              <w:t>30NM</w:t>
            </w:r>
            <w:r>
              <w:rPr>
                <w:rFonts w:hint="eastAsia"/>
                <w:color w:val="auto"/>
                <w:highlight w:val="none"/>
                <w:lang w:eastAsia="zh-CN"/>
              </w:rPr>
              <w:t>可选。</w:t>
            </w:r>
          </w:p>
          <w:p>
            <w:pPr>
              <w:rPr>
                <w:color w:val="auto"/>
                <w:highlight w:val="none"/>
                <w:lang w:eastAsia="zh-CN"/>
              </w:rPr>
            </w:pPr>
            <w:r>
              <w:rPr>
                <w:rFonts w:hint="eastAsia"/>
                <w:color w:val="auto"/>
                <w:highlight w:val="none"/>
                <w:lang w:eastAsia="zh-CN"/>
              </w:rPr>
              <w:t>调节型风阀执行器</w:t>
            </w:r>
          </w:p>
          <w:p>
            <w:pPr>
              <w:rPr>
                <w:color w:val="auto"/>
                <w:highlight w:val="none"/>
                <w:lang w:eastAsia="zh-CN"/>
              </w:rPr>
            </w:pPr>
            <w:r>
              <w:rPr>
                <w:rFonts w:hint="eastAsia"/>
                <w:color w:val="auto"/>
                <w:highlight w:val="none"/>
                <w:lang w:eastAsia="zh-CN"/>
              </w:rPr>
              <w:t>扭矩：根据风门面积不同有</w:t>
            </w:r>
            <w:r>
              <w:rPr>
                <w:color w:val="auto"/>
                <w:highlight w:val="none"/>
                <w:lang w:eastAsia="zh-CN"/>
              </w:rPr>
              <w:t>5NM</w:t>
            </w:r>
            <w:r>
              <w:rPr>
                <w:rFonts w:hint="eastAsia"/>
                <w:color w:val="auto"/>
                <w:highlight w:val="none"/>
                <w:lang w:eastAsia="zh-CN"/>
              </w:rPr>
              <w:t>、</w:t>
            </w:r>
            <w:r>
              <w:rPr>
                <w:color w:val="auto"/>
                <w:highlight w:val="none"/>
                <w:lang w:eastAsia="zh-CN"/>
              </w:rPr>
              <w:t>10NM</w:t>
            </w:r>
            <w:r>
              <w:rPr>
                <w:rFonts w:hint="eastAsia"/>
                <w:color w:val="auto"/>
                <w:highlight w:val="none"/>
                <w:lang w:eastAsia="zh-CN"/>
              </w:rPr>
              <w:t>、</w:t>
            </w:r>
            <w:r>
              <w:rPr>
                <w:color w:val="auto"/>
                <w:highlight w:val="none"/>
                <w:lang w:eastAsia="zh-CN"/>
              </w:rPr>
              <w:t>15NM</w:t>
            </w:r>
            <w:r>
              <w:rPr>
                <w:rFonts w:hint="eastAsia"/>
                <w:color w:val="auto"/>
                <w:highlight w:val="none"/>
                <w:lang w:eastAsia="zh-CN"/>
              </w:rPr>
              <w:t>、</w:t>
            </w:r>
            <w:r>
              <w:rPr>
                <w:color w:val="auto"/>
                <w:highlight w:val="none"/>
                <w:lang w:eastAsia="zh-CN"/>
              </w:rPr>
              <w:t>30NM</w:t>
            </w:r>
            <w:r>
              <w:rPr>
                <w:rFonts w:hint="eastAsia"/>
                <w:color w:val="auto"/>
                <w:highlight w:val="none"/>
                <w:lang w:eastAsia="zh-CN"/>
              </w:rPr>
              <w:t>可选。</w:t>
            </w:r>
          </w:p>
          <w:p>
            <w:pPr>
              <w:rPr>
                <w:color w:val="auto"/>
                <w:highlight w:val="none"/>
                <w:lang w:eastAsia="zh-CN"/>
              </w:rPr>
            </w:pPr>
            <w:r>
              <w:rPr>
                <w:rFonts w:hint="eastAsia"/>
                <w:color w:val="auto"/>
                <w:highlight w:val="none"/>
                <w:lang w:eastAsia="zh-CN"/>
              </w:rPr>
              <w:t>机房硬件配置：</w:t>
            </w:r>
          </w:p>
          <w:p>
            <w:pPr>
              <w:rPr>
                <w:color w:val="auto"/>
                <w:highlight w:val="none"/>
                <w:lang w:eastAsia="zh-CN"/>
              </w:rPr>
            </w:pPr>
            <w:r>
              <w:rPr>
                <w:rFonts w:hint="eastAsia"/>
                <w:color w:val="auto"/>
                <w:highlight w:val="none"/>
                <w:lang w:eastAsia="zh-CN"/>
              </w:rPr>
              <w:t>采用名牌电脑主机，其配置应不低于以下要求：</w:t>
            </w:r>
          </w:p>
          <w:p>
            <w:pPr>
              <w:rPr>
                <w:color w:val="auto"/>
                <w:highlight w:val="none"/>
                <w:lang w:eastAsia="zh-CN"/>
              </w:rPr>
            </w:pPr>
            <w:r>
              <w:rPr>
                <w:rFonts w:hint="eastAsia"/>
                <w:color w:val="auto"/>
                <w:highlight w:val="none"/>
                <w:lang w:eastAsia="zh-CN"/>
              </w:rPr>
              <w:t>①央处理器：央处理器：英特尔（</w:t>
            </w:r>
            <w:r>
              <w:rPr>
                <w:color w:val="auto"/>
                <w:highlight w:val="none"/>
                <w:lang w:eastAsia="zh-CN"/>
              </w:rPr>
              <w:t>Intel</w:t>
            </w:r>
            <w:r>
              <w:rPr>
                <w:rFonts w:hint="eastAsia"/>
                <w:color w:val="auto"/>
                <w:highlight w:val="none"/>
                <w:lang w:eastAsia="zh-CN"/>
              </w:rPr>
              <w:t>）酷睿四核</w:t>
            </w:r>
            <w:r>
              <w:rPr>
                <w:color w:val="auto"/>
                <w:highlight w:val="none"/>
                <w:lang w:eastAsia="zh-CN"/>
              </w:rPr>
              <w:t>i5</w:t>
            </w:r>
            <w:r>
              <w:rPr>
                <w:rFonts w:hint="eastAsia"/>
                <w:color w:val="auto"/>
                <w:highlight w:val="none"/>
                <w:lang w:eastAsia="zh-CN"/>
              </w:rPr>
              <w:t>及以上以上；</w:t>
            </w:r>
          </w:p>
          <w:p>
            <w:pPr>
              <w:rPr>
                <w:color w:val="auto"/>
                <w:highlight w:val="none"/>
                <w:lang w:eastAsia="zh-CN"/>
              </w:rPr>
            </w:pPr>
            <w:r>
              <w:rPr>
                <w:rFonts w:hint="eastAsia"/>
                <w:color w:val="auto"/>
                <w:highlight w:val="none"/>
                <w:lang w:eastAsia="zh-CN"/>
              </w:rPr>
              <w:t>②显示器：</w:t>
            </w:r>
            <w:r>
              <w:rPr>
                <w:color w:val="auto"/>
                <w:highlight w:val="none"/>
                <w:lang w:eastAsia="zh-CN"/>
              </w:rPr>
              <w:t>19</w:t>
            </w:r>
            <w:r>
              <w:rPr>
                <w:rFonts w:hint="eastAsia"/>
                <w:color w:val="auto"/>
                <w:highlight w:val="none"/>
                <w:lang w:eastAsia="zh-CN"/>
              </w:rPr>
              <w:t>寸宽屏彩色液晶显示器；</w:t>
            </w:r>
          </w:p>
          <w:p>
            <w:pPr>
              <w:rPr>
                <w:color w:val="auto"/>
                <w:highlight w:val="none"/>
                <w:lang w:eastAsia="zh-CN"/>
              </w:rPr>
            </w:pPr>
            <w:r>
              <w:rPr>
                <w:rFonts w:hint="eastAsia"/>
                <w:color w:val="auto"/>
                <w:highlight w:val="none"/>
                <w:lang w:eastAsia="zh-CN"/>
              </w:rPr>
              <w:t>③硬盘容量</w:t>
            </w:r>
            <w:r>
              <w:rPr>
                <w:color w:val="auto"/>
                <w:highlight w:val="none"/>
                <w:lang w:eastAsia="zh-CN"/>
              </w:rPr>
              <w:t>1IB</w:t>
            </w:r>
            <w:r>
              <w:rPr>
                <w:rFonts w:hint="eastAsia"/>
                <w:color w:val="auto"/>
                <w:highlight w:val="none"/>
                <w:lang w:eastAsia="zh-CN"/>
              </w:rPr>
              <w:t>及以上；</w:t>
            </w:r>
          </w:p>
          <w:p>
            <w:pPr>
              <w:rPr>
                <w:color w:val="auto"/>
                <w:highlight w:val="none"/>
                <w:lang w:eastAsia="zh-CN"/>
              </w:rPr>
            </w:pPr>
            <w:r>
              <w:rPr>
                <w:rFonts w:hint="eastAsia"/>
                <w:color w:val="auto"/>
                <w:highlight w:val="none"/>
                <w:lang w:eastAsia="zh-CN"/>
              </w:rPr>
              <w:t>④</w:t>
            </w:r>
            <w:r>
              <w:rPr>
                <w:color w:val="auto"/>
                <w:highlight w:val="none"/>
                <w:lang w:eastAsia="zh-CN"/>
              </w:rPr>
              <w:t>16 x DVD+/-RW</w:t>
            </w:r>
            <w:r>
              <w:rPr>
                <w:rFonts w:hint="eastAsia"/>
                <w:color w:val="auto"/>
                <w:highlight w:val="none"/>
                <w:lang w:eastAsia="zh-CN"/>
              </w:rPr>
              <w:t>光驱，还应配置高速</w:t>
            </w:r>
            <w:r>
              <w:rPr>
                <w:color w:val="auto"/>
                <w:highlight w:val="none"/>
                <w:lang w:eastAsia="zh-CN"/>
              </w:rPr>
              <w:t>USB</w:t>
            </w:r>
            <w:r>
              <w:rPr>
                <w:rFonts w:hint="eastAsia"/>
                <w:color w:val="auto"/>
                <w:highlight w:val="none"/>
                <w:lang w:eastAsia="zh-CN"/>
              </w:rPr>
              <w:t>接口等；</w:t>
            </w:r>
          </w:p>
          <w:p>
            <w:pPr>
              <w:rPr>
                <w:color w:val="auto"/>
                <w:highlight w:val="none"/>
                <w:lang w:eastAsia="zh-CN"/>
              </w:rPr>
            </w:pPr>
            <w:r>
              <w:rPr>
                <w:rFonts w:hint="eastAsia"/>
                <w:color w:val="auto"/>
                <w:highlight w:val="none"/>
                <w:lang w:eastAsia="zh-CN"/>
              </w:rPr>
              <w:t>⑤</w:t>
            </w:r>
            <w:r>
              <w:rPr>
                <w:color w:val="auto"/>
                <w:highlight w:val="none"/>
                <w:lang w:eastAsia="zh-CN"/>
              </w:rPr>
              <w:t>A4</w:t>
            </w:r>
            <w:r>
              <w:rPr>
                <w:rFonts w:hint="eastAsia"/>
                <w:color w:val="auto"/>
                <w:highlight w:val="none"/>
                <w:lang w:eastAsia="zh-CN"/>
              </w:rPr>
              <w:t>激光打印机（配打印纸）；</w:t>
            </w:r>
          </w:p>
          <w:p>
            <w:pPr>
              <w:rPr>
                <w:color w:val="auto"/>
                <w:highlight w:val="none"/>
                <w:lang w:eastAsia="zh-CN"/>
              </w:rPr>
            </w:pPr>
            <w:r>
              <w:rPr>
                <w:rFonts w:hint="eastAsia"/>
                <w:color w:val="auto"/>
                <w:highlight w:val="none"/>
                <w:lang w:eastAsia="zh-CN"/>
              </w:rPr>
              <w:t>⑥</w:t>
            </w:r>
            <w:r>
              <w:rPr>
                <w:color w:val="auto"/>
                <w:highlight w:val="none"/>
                <w:lang w:eastAsia="zh-CN"/>
              </w:rPr>
              <w:t>4G</w:t>
            </w:r>
            <w:r>
              <w:rPr>
                <w:rFonts w:hint="eastAsia"/>
                <w:color w:val="auto"/>
                <w:highlight w:val="none"/>
                <w:lang w:eastAsia="zh-CN"/>
              </w:rPr>
              <w:t>以上内存；</w:t>
            </w:r>
          </w:p>
          <w:p>
            <w:pPr>
              <w:rPr>
                <w:color w:val="auto"/>
                <w:highlight w:val="none"/>
                <w:lang w:eastAsia="zh-CN"/>
              </w:rPr>
            </w:pPr>
            <w:r>
              <w:rPr>
                <w:rFonts w:hint="eastAsia"/>
                <w:color w:val="auto"/>
                <w:highlight w:val="none"/>
                <w:lang w:eastAsia="zh-CN"/>
              </w:rPr>
              <w:t>⑦</w:t>
            </w:r>
            <w:r>
              <w:rPr>
                <w:color w:val="auto"/>
                <w:highlight w:val="none"/>
                <w:lang w:eastAsia="zh-CN"/>
              </w:rPr>
              <w:t>10/100M</w:t>
            </w:r>
            <w:r>
              <w:rPr>
                <w:rFonts w:hint="eastAsia"/>
                <w:color w:val="auto"/>
                <w:highlight w:val="none"/>
                <w:lang w:eastAsia="zh-CN"/>
              </w:rPr>
              <w:t>网卡。</w:t>
            </w:r>
          </w:p>
          <w:p>
            <w:pPr>
              <w:rPr>
                <w:color w:val="auto"/>
                <w:highlight w:val="none"/>
                <w:lang w:eastAsia="zh-CN"/>
              </w:rPr>
            </w:pPr>
            <w:r>
              <w:rPr>
                <w:rFonts w:hint="eastAsia"/>
                <w:color w:val="auto"/>
                <w:highlight w:val="none"/>
                <w:lang w:eastAsia="zh-CN"/>
              </w:rPr>
              <w:t>⑧控制电脑及设备所需的鼠标键盘、电脑桌、值班椅子，设备架等。</w:t>
            </w:r>
          </w:p>
          <w:p>
            <w:pPr>
              <w:rPr>
                <w:color w:val="auto"/>
                <w:highlight w:val="none"/>
                <w:lang w:eastAsia="zh-CN"/>
              </w:rPr>
            </w:pPr>
            <w:r>
              <w:rPr>
                <w:rFonts w:hint="eastAsia"/>
                <w:color w:val="auto"/>
                <w:highlight w:val="none"/>
                <w:lang w:eastAsia="zh-CN"/>
              </w:rPr>
              <w:t>注：投标人应根据以上设计要求及点表（详见招标图纸和点表）进场后深化设计，直至设计确认达到招标要求。</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15" w:hRule="atLeast"/>
        </w:trPr>
        <w:tc>
          <w:tcPr>
            <w:tcW w:w="728" w:type="dxa"/>
            <w:tcBorders>
              <w:top w:val="single" w:color="auto" w:sz="4" w:space="0"/>
              <w:bottom w:val="single" w:color="auto" w:sz="4" w:space="0"/>
            </w:tcBorders>
            <w:vAlign w:val="center"/>
          </w:tcPr>
          <w:p>
            <w:pPr>
              <w:rPr>
                <w:color w:val="auto"/>
                <w:highlight w:val="none"/>
              </w:rPr>
            </w:pPr>
            <w:r>
              <w:rPr>
                <w:color w:val="auto"/>
                <w:highlight w:val="none"/>
              </w:rPr>
              <w:t>27</w:t>
            </w:r>
          </w:p>
        </w:tc>
        <w:tc>
          <w:tcPr>
            <w:tcW w:w="1260" w:type="dxa"/>
            <w:tcBorders>
              <w:top w:val="single" w:color="auto" w:sz="4" w:space="0"/>
              <w:bottom w:val="single" w:color="auto" w:sz="4" w:space="0"/>
            </w:tcBorders>
            <w:vAlign w:val="center"/>
          </w:tcPr>
          <w:p>
            <w:pPr>
              <w:rPr>
                <w:color w:val="auto"/>
                <w:highlight w:val="none"/>
                <w:lang w:eastAsia="zh-CN"/>
              </w:rPr>
            </w:pPr>
            <w:r>
              <w:rPr>
                <w:rFonts w:hint="eastAsia"/>
                <w:color w:val="auto"/>
                <w:highlight w:val="none"/>
                <w:lang w:eastAsia="zh-CN"/>
              </w:rPr>
              <w:t>手术室多功能触摸控制屏（情报</w:t>
            </w:r>
            <w:r>
              <w:rPr>
                <w:color w:val="auto"/>
                <w:highlight w:val="none"/>
                <w:lang w:eastAsia="zh-CN"/>
              </w:rPr>
              <w:t>面板、显示器</w:t>
            </w:r>
            <w:r>
              <w:rPr>
                <w:rFonts w:hint="eastAsia"/>
                <w:color w:val="auto"/>
                <w:highlight w:val="none"/>
                <w:lang w:eastAsia="zh-CN"/>
              </w:rPr>
              <w:t>）</w:t>
            </w:r>
          </w:p>
        </w:tc>
        <w:tc>
          <w:tcPr>
            <w:tcW w:w="7736" w:type="dxa"/>
            <w:tcBorders>
              <w:top w:val="single" w:color="auto" w:sz="4" w:space="0"/>
              <w:bottom w:val="single" w:color="auto" w:sz="4" w:space="0"/>
            </w:tcBorders>
            <w:vAlign w:val="center"/>
          </w:tcPr>
          <w:p>
            <w:pPr>
              <w:rPr>
                <w:color w:val="auto"/>
                <w:highlight w:val="none"/>
                <w:lang w:eastAsia="zh-CN"/>
              </w:rPr>
            </w:pPr>
            <w:r>
              <w:rPr>
                <w:rFonts w:hint="eastAsia"/>
                <w:color w:val="auto"/>
                <w:highlight w:val="none"/>
                <w:lang w:eastAsia="zh-CN"/>
              </w:rPr>
              <w:t>可集中对手术室内的照明、手术灯及净化空调机组等进行控制。</w:t>
            </w:r>
          </w:p>
          <w:p>
            <w:pPr>
              <w:rPr>
                <w:color w:val="auto"/>
                <w:highlight w:val="none"/>
                <w:lang w:eastAsia="zh-CN"/>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15" w:hRule="atLeast"/>
        </w:trPr>
        <w:tc>
          <w:tcPr>
            <w:tcW w:w="728" w:type="dxa"/>
            <w:tcBorders>
              <w:top w:val="single" w:color="auto" w:sz="4" w:space="0"/>
              <w:bottom w:val="single" w:color="auto" w:sz="4" w:space="0"/>
            </w:tcBorders>
            <w:vAlign w:val="center"/>
          </w:tcPr>
          <w:p>
            <w:pPr>
              <w:rPr>
                <w:color w:val="auto"/>
                <w:highlight w:val="none"/>
              </w:rPr>
            </w:pPr>
            <w:r>
              <w:rPr>
                <w:color w:val="auto"/>
                <w:highlight w:val="none"/>
              </w:rPr>
              <w:t>28</w:t>
            </w:r>
          </w:p>
        </w:tc>
        <w:tc>
          <w:tcPr>
            <w:tcW w:w="1260" w:type="dxa"/>
            <w:tcBorders>
              <w:top w:val="single" w:color="auto" w:sz="4" w:space="0"/>
              <w:bottom w:val="single" w:color="auto" w:sz="4" w:space="0"/>
            </w:tcBorders>
            <w:vAlign w:val="center"/>
          </w:tcPr>
          <w:p>
            <w:pPr>
              <w:rPr>
                <w:color w:val="auto"/>
                <w:highlight w:val="none"/>
              </w:rPr>
            </w:pPr>
            <w:r>
              <w:rPr>
                <w:rFonts w:hint="eastAsia"/>
                <w:color w:val="auto"/>
                <w:highlight w:val="none"/>
              </w:rPr>
              <w:t>镀锌</w:t>
            </w:r>
            <w:r>
              <w:rPr>
                <w:color w:val="auto"/>
                <w:highlight w:val="none"/>
              </w:rPr>
              <w:t>钢管</w:t>
            </w:r>
          </w:p>
        </w:tc>
        <w:tc>
          <w:tcPr>
            <w:tcW w:w="7736" w:type="dxa"/>
            <w:tcBorders>
              <w:top w:val="single" w:color="auto" w:sz="4" w:space="0"/>
              <w:bottom w:val="single" w:color="auto" w:sz="4" w:space="0"/>
            </w:tcBorders>
            <w:vAlign w:val="center"/>
          </w:tcPr>
          <w:p>
            <w:pPr>
              <w:rPr>
                <w:color w:val="auto"/>
                <w:highlight w:val="none"/>
                <w:lang w:eastAsia="zh-CN"/>
              </w:rPr>
            </w:pPr>
            <w:r>
              <w:rPr>
                <w:rFonts w:hint="eastAsia"/>
                <w:color w:val="auto"/>
                <w:highlight w:val="none"/>
                <w:lang w:eastAsia="zh-CN"/>
              </w:rPr>
              <w:t>技术要求：</w:t>
            </w:r>
          </w:p>
          <w:p>
            <w:pPr>
              <w:rPr>
                <w:color w:val="auto"/>
                <w:highlight w:val="none"/>
                <w:lang w:eastAsia="zh-CN"/>
              </w:rPr>
            </w:pPr>
            <w:r>
              <w:rPr>
                <w:rFonts w:hint="eastAsia"/>
                <w:color w:val="auto"/>
                <w:highlight w:val="none"/>
                <w:lang w:eastAsia="zh-CN"/>
              </w:rPr>
              <w:t>1）管材应符合GB/T3091—2008《低压流体输送用镀锌焊接钢管》的要求。</w:t>
            </w:r>
          </w:p>
          <w:p>
            <w:pPr>
              <w:rPr>
                <w:color w:val="auto"/>
                <w:highlight w:val="none"/>
                <w:lang w:eastAsia="zh-CN"/>
              </w:rPr>
            </w:pPr>
            <w:r>
              <w:rPr>
                <w:rFonts w:hint="eastAsia"/>
                <w:color w:val="auto"/>
                <w:highlight w:val="none"/>
                <w:lang w:eastAsia="zh-CN"/>
              </w:rPr>
              <w:t>2）管材的压力等级应符合设计要求。</w:t>
            </w:r>
          </w:p>
          <w:p>
            <w:pPr>
              <w:rPr>
                <w:color w:val="auto"/>
                <w:highlight w:val="none"/>
                <w:lang w:eastAsia="zh-CN"/>
              </w:rPr>
            </w:pPr>
            <w:r>
              <w:rPr>
                <w:rFonts w:hint="eastAsia"/>
                <w:color w:val="auto"/>
                <w:highlight w:val="none"/>
                <w:lang w:eastAsia="zh-CN"/>
              </w:rPr>
              <w:t>3）管材经热浸镀锌方式在钢管内外表面镀上完整的镀锌层。</w:t>
            </w:r>
          </w:p>
          <w:p>
            <w:pPr>
              <w:rPr>
                <w:color w:val="auto"/>
                <w:highlight w:val="none"/>
                <w:lang w:eastAsia="zh-CN"/>
              </w:rPr>
            </w:pPr>
            <w:r>
              <w:rPr>
                <w:rFonts w:hint="eastAsia"/>
                <w:color w:val="auto"/>
                <w:highlight w:val="none"/>
                <w:lang w:eastAsia="zh-CN"/>
              </w:rPr>
              <w:t>4) 连接方式：</w:t>
            </w:r>
          </w:p>
          <w:p>
            <w:pPr>
              <w:rPr>
                <w:color w:val="auto"/>
                <w:highlight w:val="none"/>
                <w:lang w:eastAsia="zh-CN"/>
              </w:rPr>
            </w:pPr>
            <w:r>
              <w:rPr>
                <w:rFonts w:hint="eastAsia"/>
                <w:color w:val="auto"/>
                <w:highlight w:val="none"/>
                <w:lang w:eastAsia="zh-CN"/>
              </w:rPr>
              <w:t>① 管径&lt;DN100采用螺纹连接，</w:t>
            </w:r>
          </w:p>
          <w:p>
            <w:pPr>
              <w:rPr>
                <w:color w:val="auto"/>
                <w:highlight w:val="none"/>
                <w:lang w:eastAsia="zh-CN"/>
              </w:rPr>
            </w:pPr>
            <w:r>
              <w:rPr>
                <w:rFonts w:hint="eastAsia"/>
                <w:color w:val="auto"/>
                <w:highlight w:val="none"/>
                <w:lang w:eastAsia="zh-CN"/>
              </w:rPr>
              <w:t>② 管径≥DN100采用卡箍连接。</w:t>
            </w:r>
          </w:p>
          <w:p>
            <w:pPr>
              <w:rPr>
                <w:color w:val="auto"/>
                <w:highlight w:val="none"/>
                <w:lang w:eastAsia="zh-CN"/>
              </w:rPr>
            </w:pPr>
            <w:r>
              <w:rPr>
                <w:rFonts w:hint="eastAsia"/>
                <w:color w:val="auto"/>
                <w:highlight w:val="none"/>
                <w:lang w:eastAsia="zh-CN"/>
              </w:rPr>
              <w:t>5）管件根据设计压力要求选用热镀锌的可锻铸铁、球墨铸铁或</w:t>
            </w:r>
          </w:p>
          <w:p>
            <w:pPr>
              <w:rPr>
                <w:color w:val="auto"/>
                <w:highlight w:val="none"/>
              </w:rPr>
            </w:pPr>
            <w:r>
              <w:rPr>
                <w:rFonts w:hint="eastAsia"/>
                <w:color w:val="auto"/>
                <w:highlight w:val="none"/>
              </w:rPr>
              <w:t>无缝钢管件。</w:t>
            </w:r>
          </w:p>
          <w:p>
            <w:pPr>
              <w:rPr>
                <w:color w:val="auto"/>
                <w:highlight w:val="none"/>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15" w:hRule="atLeast"/>
        </w:trPr>
        <w:tc>
          <w:tcPr>
            <w:tcW w:w="728" w:type="dxa"/>
            <w:tcBorders>
              <w:top w:val="single" w:color="auto" w:sz="4" w:space="0"/>
              <w:bottom w:val="single" w:color="auto" w:sz="4" w:space="0"/>
            </w:tcBorders>
            <w:vAlign w:val="center"/>
          </w:tcPr>
          <w:p>
            <w:pPr>
              <w:rPr>
                <w:color w:val="auto"/>
                <w:highlight w:val="none"/>
              </w:rPr>
            </w:pPr>
            <w:r>
              <w:rPr>
                <w:color w:val="auto"/>
                <w:highlight w:val="none"/>
              </w:rPr>
              <w:t>29</w:t>
            </w:r>
          </w:p>
        </w:tc>
        <w:tc>
          <w:tcPr>
            <w:tcW w:w="1260" w:type="dxa"/>
            <w:tcBorders>
              <w:top w:val="single" w:color="auto" w:sz="4" w:space="0"/>
              <w:bottom w:val="single" w:color="auto" w:sz="4" w:space="0"/>
            </w:tcBorders>
            <w:vAlign w:val="center"/>
          </w:tcPr>
          <w:p>
            <w:pPr>
              <w:rPr>
                <w:color w:val="auto"/>
                <w:highlight w:val="none"/>
                <w:lang w:eastAsia="zh-CN"/>
              </w:rPr>
            </w:pPr>
            <w:r>
              <w:rPr>
                <w:rFonts w:hint="eastAsia"/>
                <w:color w:val="auto"/>
                <w:highlight w:val="none"/>
                <w:lang w:eastAsia="zh-CN"/>
              </w:rPr>
              <w:t>焊接钢管、无缝钢管、螺旋电焊钢管</w:t>
            </w:r>
          </w:p>
        </w:tc>
        <w:tc>
          <w:tcPr>
            <w:tcW w:w="7736" w:type="dxa"/>
            <w:tcBorders>
              <w:top w:val="single" w:color="auto" w:sz="4" w:space="0"/>
              <w:bottom w:val="single" w:color="auto" w:sz="4" w:space="0"/>
            </w:tcBorders>
            <w:vAlign w:val="center"/>
          </w:tcPr>
          <w:p>
            <w:pPr>
              <w:rPr>
                <w:color w:val="auto"/>
                <w:highlight w:val="none"/>
                <w:lang w:eastAsia="zh-CN"/>
              </w:rPr>
            </w:pPr>
            <w:r>
              <w:rPr>
                <w:rFonts w:hint="eastAsia"/>
                <w:color w:val="auto"/>
                <w:highlight w:val="none"/>
                <w:lang w:eastAsia="zh-CN"/>
              </w:rPr>
              <w:t>技术要求：</w:t>
            </w:r>
          </w:p>
          <w:p>
            <w:pPr>
              <w:rPr>
                <w:color w:val="auto"/>
                <w:highlight w:val="none"/>
                <w:lang w:eastAsia="zh-CN"/>
              </w:rPr>
            </w:pPr>
            <w:r>
              <w:rPr>
                <w:rFonts w:hint="eastAsia"/>
                <w:color w:val="auto"/>
                <w:highlight w:val="none"/>
                <w:lang w:eastAsia="zh-CN"/>
              </w:rPr>
              <w:t>1、产品的材质、规格应根据设计要求选用，质量符合要求，有出厂合格证；</w:t>
            </w:r>
          </w:p>
          <w:p>
            <w:pPr>
              <w:rPr>
                <w:color w:val="auto"/>
                <w:highlight w:val="none"/>
                <w:lang w:eastAsia="zh-CN"/>
              </w:rPr>
            </w:pPr>
            <w:r>
              <w:rPr>
                <w:rFonts w:hint="eastAsia"/>
                <w:color w:val="auto"/>
                <w:highlight w:val="none"/>
                <w:lang w:eastAsia="zh-CN"/>
              </w:rPr>
              <w:t>2、公称压力大于各系统设计要求的试验压力；</w:t>
            </w:r>
          </w:p>
          <w:p>
            <w:pPr>
              <w:rPr>
                <w:color w:val="auto"/>
                <w:highlight w:val="none"/>
                <w:lang w:eastAsia="zh-CN"/>
              </w:rPr>
            </w:pPr>
            <w:r>
              <w:rPr>
                <w:rFonts w:hint="eastAsia"/>
                <w:color w:val="auto"/>
                <w:highlight w:val="none"/>
                <w:lang w:eastAsia="zh-CN"/>
              </w:rPr>
              <w:t>3、焊接钢管的管材和管件规格、压力等级、加工质量等，应符合现行的国家《GB/T3092-2008》标准或行业生产技术标准。表面无裂纹、缩孔、夹渣、折叠、重皮等缺陷，不得有超过壁厚负偏差锈蚀或凹陷；</w:t>
            </w:r>
          </w:p>
          <w:p>
            <w:pPr>
              <w:rPr>
                <w:color w:val="auto"/>
                <w:highlight w:val="none"/>
              </w:rPr>
            </w:pPr>
            <w:r>
              <w:rPr>
                <w:rFonts w:hint="eastAsia"/>
                <w:color w:val="auto"/>
                <w:highlight w:val="none"/>
                <w:lang w:eastAsia="zh-CN"/>
              </w:rPr>
              <w:t>4、无缝钢管所用钢材的牌号及化学成分符合GB/T699、GB/T1591的规定。化学成分的偏差符合GB/T222-2006表1、表2的规定。</w:t>
            </w:r>
            <w:r>
              <w:rPr>
                <w:rFonts w:hint="eastAsia"/>
                <w:color w:val="auto"/>
                <w:highlight w:val="none"/>
              </w:rPr>
              <w:t>外径、壁厚符合GB/T1739的规定。</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15" w:hRule="atLeast"/>
        </w:trPr>
        <w:tc>
          <w:tcPr>
            <w:tcW w:w="728" w:type="dxa"/>
            <w:tcBorders>
              <w:top w:val="single" w:color="auto" w:sz="4" w:space="0"/>
              <w:bottom w:val="single" w:color="auto" w:sz="4" w:space="0"/>
            </w:tcBorders>
            <w:vAlign w:val="center"/>
          </w:tcPr>
          <w:p>
            <w:pPr>
              <w:rPr>
                <w:color w:val="auto"/>
                <w:highlight w:val="none"/>
              </w:rPr>
            </w:pPr>
            <w:r>
              <w:rPr>
                <w:color w:val="auto"/>
                <w:highlight w:val="none"/>
              </w:rPr>
              <w:t>31</w:t>
            </w:r>
          </w:p>
        </w:tc>
        <w:tc>
          <w:tcPr>
            <w:tcW w:w="1260" w:type="dxa"/>
            <w:tcBorders>
              <w:top w:val="single" w:color="auto" w:sz="4" w:space="0"/>
              <w:bottom w:val="single" w:color="auto" w:sz="4" w:space="0"/>
            </w:tcBorders>
            <w:vAlign w:val="center"/>
          </w:tcPr>
          <w:p>
            <w:pPr>
              <w:rPr>
                <w:color w:val="auto"/>
                <w:highlight w:val="none"/>
              </w:rPr>
            </w:pPr>
            <w:r>
              <w:rPr>
                <w:rFonts w:hint="eastAsia"/>
                <w:color w:val="auto"/>
                <w:highlight w:val="none"/>
              </w:rPr>
              <w:t>空调热量表</w:t>
            </w:r>
          </w:p>
        </w:tc>
        <w:tc>
          <w:tcPr>
            <w:tcW w:w="7736" w:type="dxa"/>
            <w:tcBorders>
              <w:top w:val="single" w:color="auto" w:sz="4" w:space="0"/>
              <w:bottom w:val="single" w:color="auto" w:sz="4" w:space="0"/>
            </w:tcBorders>
            <w:vAlign w:val="center"/>
          </w:tcPr>
          <w:p>
            <w:pPr>
              <w:rPr>
                <w:color w:val="auto"/>
                <w:highlight w:val="none"/>
                <w:lang w:eastAsia="zh-CN"/>
              </w:rPr>
            </w:pPr>
            <w:r>
              <w:rPr>
                <w:rFonts w:hint="eastAsia"/>
                <w:color w:val="auto"/>
                <w:highlight w:val="none"/>
                <w:lang w:eastAsia="zh-CN"/>
              </w:rPr>
              <w:t>技术要求：</w:t>
            </w:r>
          </w:p>
          <w:p>
            <w:pPr>
              <w:rPr>
                <w:color w:val="auto"/>
                <w:highlight w:val="none"/>
                <w:lang w:eastAsia="zh-CN"/>
              </w:rPr>
            </w:pPr>
            <w:r>
              <w:rPr>
                <w:rFonts w:hint="eastAsia"/>
                <w:color w:val="auto"/>
                <w:highlight w:val="none"/>
                <w:lang w:eastAsia="zh-CN"/>
              </w:rPr>
              <w:t>1、热量表采用电磁式，产品符合国家标准《热量表》GB/T 32224-2015的规定。</w:t>
            </w:r>
          </w:p>
          <w:p>
            <w:pPr>
              <w:rPr>
                <w:color w:val="auto"/>
                <w:highlight w:val="none"/>
                <w:lang w:eastAsia="zh-CN"/>
              </w:rPr>
            </w:pPr>
            <w:r>
              <w:rPr>
                <w:rFonts w:hint="eastAsia"/>
                <w:color w:val="auto"/>
                <w:highlight w:val="none"/>
                <w:lang w:eastAsia="zh-CN"/>
              </w:rPr>
              <w:t>2、热量表采用整体式结构，流量计的规格与管径一致，不含有任何可动或传动部件。</w:t>
            </w:r>
          </w:p>
          <w:p>
            <w:pPr>
              <w:rPr>
                <w:color w:val="auto"/>
                <w:highlight w:val="none"/>
                <w:lang w:eastAsia="zh-CN"/>
              </w:rPr>
            </w:pPr>
            <w:r>
              <w:rPr>
                <w:rFonts w:hint="eastAsia"/>
                <w:color w:val="auto"/>
                <w:highlight w:val="none"/>
                <w:lang w:eastAsia="zh-CN"/>
              </w:rPr>
              <w:t>3、热量表整体计量准确度：2级，符合国家标准。</w:t>
            </w:r>
          </w:p>
          <w:p>
            <w:pPr>
              <w:rPr>
                <w:color w:val="auto"/>
                <w:highlight w:val="none"/>
                <w:lang w:eastAsia="zh-CN"/>
              </w:rPr>
            </w:pPr>
            <w:r>
              <w:rPr>
                <w:rFonts w:hint="eastAsia"/>
                <w:color w:val="auto"/>
                <w:highlight w:val="none"/>
                <w:lang w:eastAsia="zh-CN"/>
              </w:rPr>
              <w:t>4、热量表压力要求：1.6MPa。</w:t>
            </w:r>
          </w:p>
          <w:p>
            <w:pPr>
              <w:rPr>
                <w:color w:val="auto"/>
                <w:highlight w:val="none"/>
                <w:lang w:eastAsia="zh-CN"/>
              </w:rPr>
            </w:pPr>
            <w:r>
              <w:rPr>
                <w:rFonts w:hint="eastAsia"/>
                <w:color w:val="auto"/>
                <w:highlight w:val="none"/>
                <w:lang w:eastAsia="zh-CN"/>
              </w:rPr>
              <w:t>5、热量表防护等级：IP65。</w:t>
            </w:r>
          </w:p>
          <w:p>
            <w:pPr>
              <w:rPr>
                <w:color w:val="auto"/>
                <w:highlight w:val="none"/>
                <w:lang w:eastAsia="zh-CN"/>
              </w:rPr>
            </w:pPr>
            <w:r>
              <w:rPr>
                <w:rFonts w:hint="eastAsia"/>
                <w:color w:val="auto"/>
                <w:highlight w:val="none"/>
                <w:lang w:eastAsia="zh-CN"/>
              </w:rPr>
              <w:t>6、热量表测量热量采用焓差法计算方法。</w:t>
            </w:r>
          </w:p>
          <w:p>
            <w:pPr>
              <w:rPr>
                <w:color w:val="auto"/>
                <w:highlight w:val="none"/>
                <w:lang w:eastAsia="zh-CN"/>
              </w:rPr>
            </w:pPr>
            <w:r>
              <w:rPr>
                <w:rFonts w:hint="eastAsia"/>
                <w:color w:val="auto"/>
                <w:highlight w:val="none"/>
                <w:lang w:eastAsia="zh-CN"/>
              </w:rPr>
              <w:t>7、热量表应具备现场能耗查询功能，获取电磁热量表实时能耗数据，方便查看。</w:t>
            </w:r>
          </w:p>
          <w:p>
            <w:pPr>
              <w:rPr>
                <w:color w:val="auto"/>
                <w:highlight w:val="none"/>
                <w:lang w:eastAsia="zh-CN"/>
              </w:rPr>
            </w:pPr>
            <w:r>
              <w:rPr>
                <w:rFonts w:hint="eastAsia"/>
                <w:color w:val="auto"/>
                <w:highlight w:val="none"/>
                <w:lang w:eastAsia="zh-CN"/>
              </w:rPr>
              <w:t>8、DN20—DN40热量表的常用流量与最小流量之比为100；DN50及DN50以上规格的热量表，常用流量与最小流量之比不得小于50；最大流量与常用流量之比不应小于2。</w:t>
            </w:r>
          </w:p>
          <w:p>
            <w:pPr>
              <w:rPr>
                <w:color w:val="auto"/>
                <w:highlight w:val="none"/>
                <w:lang w:eastAsia="zh-CN"/>
              </w:rPr>
            </w:pPr>
            <w:r>
              <w:rPr>
                <w:rFonts w:hint="eastAsia"/>
                <w:color w:val="auto"/>
                <w:highlight w:val="none"/>
                <w:lang w:eastAsia="zh-CN"/>
              </w:rPr>
              <w:t>9、热量表通信方式：RS485，并预留光电接口，热量表自带三种通讯协议：BACnet协议、Modbus协议、CJ/T 188-2004协议，且可以根据实际应用，灵活设置，更方便系统集成。与能源管理系统兼容、并开放相关协议。</w:t>
            </w:r>
          </w:p>
          <w:p>
            <w:pPr>
              <w:rPr>
                <w:color w:val="auto"/>
                <w:highlight w:val="none"/>
                <w:lang w:eastAsia="zh-CN"/>
              </w:rPr>
            </w:pPr>
            <w:r>
              <w:rPr>
                <w:rFonts w:hint="eastAsia"/>
                <w:color w:val="auto"/>
                <w:highlight w:val="none"/>
                <w:lang w:eastAsia="zh-CN"/>
              </w:rPr>
              <w:t>10、热量表可采用DC24V供电方式。</w:t>
            </w:r>
          </w:p>
          <w:p>
            <w:pPr>
              <w:rPr>
                <w:color w:val="auto"/>
                <w:highlight w:val="none"/>
                <w:lang w:eastAsia="zh-CN"/>
              </w:rPr>
            </w:pPr>
            <w:r>
              <w:rPr>
                <w:rFonts w:hint="eastAsia"/>
                <w:color w:val="auto"/>
                <w:highlight w:val="none"/>
                <w:lang w:eastAsia="zh-CN"/>
              </w:rPr>
              <w:t>11、测量的介质为水，介质温度范围：0～80℃。</w:t>
            </w:r>
          </w:p>
          <w:p>
            <w:pPr>
              <w:rPr>
                <w:color w:val="auto"/>
                <w:highlight w:val="none"/>
                <w:lang w:eastAsia="zh-CN"/>
              </w:rPr>
            </w:pPr>
            <w:r>
              <w:rPr>
                <w:rFonts w:hint="eastAsia"/>
                <w:color w:val="auto"/>
                <w:highlight w:val="none"/>
                <w:lang w:eastAsia="zh-CN"/>
              </w:rPr>
              <w:t>12、热量表可显示累计热量、累计冷量、瞬时功率、累计流量、瞬时流量、瞬时流速、进回水温度、温差、累计运行时间、累计故障时间等信息。</w:t>
            </w:r>
          </w:p>
          <w:p>
            <w:pPr>
              <w:rPr>
                <w:color w:val="auto"/>
                <w:highlight w:val="none"/>
                <w:lang w:eastAsia="zh-CN"/>
              </w:rPr>
            </w:pPr>
            <w:r>
              <w:rPr>
                <w:rFonts w:hint="eastAsia"/>
                <w:color w:val="auto"/>
                <w:highlight w:val="none"/>
                <w:lang w:eastAsia="zh-CN"/>
              </w:rPr>
              <w:t>13、DN20—DN40规格热量表可采用二线制或四线制温度传感器PT1000；DN50及以上规格14、热量表的温度传感器采用配对的四线制PT1000的铂电阻，温度传感器的线长可以现场情况灵活延长安装，可延长至100米；温度传感器有颜色标志，标示牌有红色、蓝色或其它颜色（区分安装在进水管道与回水管道）；配对的温度传感器的制造序列号码要一致。</w:t>
            </w:r>
          </w:p>
          <w:p>
            <w:pPr>
              <w:rPr>
                <w:color w:val="auto"/>
                <w:highlight w:val="none"/>
                <w:lang w:eastAsia="zh-CN"/>
              </w:rPr>
            </w:pPr>
            <w:r>
              <w:rPr>
                <w:rFonts w:hint="eastAsia"/>
                <w:color w:val="auto"/>
                <w:highlight w:val="none"/>
                <w:lang w:eastAsia="zh-CN"/>
              </w:rPr>
              <w:t>热量表带有控制模块，可以控制对应该管道上的电动阀门。</w:t>
            </w:r>
          </w:p>
          <w:p>
            <w:pPr>
              <w:rPr>
                <w:color w:val="auto"/>
                <w:highlight w:val="none"/>
                <w:lang w:eastAsia="zh-CN"/>
              </w:rPr>
            </w:pPr>
            <w:r>
              <w:rPr>
                <w:rFonts w:hint="eastAsia"/>
                <w:color w:val="auto"/>
                <w:highlight w:val="none"/>
                <w:lang w:eastAsia="zh-CN"/>
              </w:rPr>
              <w:t>15、热量表支持进、回水管路安装可选。</w:t>
            </w:r>
          </w:p>
          <w:p>
            <w:pPr>
              <w:rPr>
                <w:color w:val="auto"/>
                <w:highlight w:val="none"/>
                <w:lang w:eastAsia="zh-CN"/>
              </w:rPr>
            </w:pPr>
            <w:r>
              <w:rPr>
                <w:rFonts w:hint="eastAsia"/>
                <w:color w:val="auto"/>
                <w:highlight w:val="none"/>
                <w:lang w:eastAsia="zh-CN"/>
              </w:rPr>
              <w:t>热量表在有功能需求改进时，可通过网络系统进行远程升级，而不用拆装每个仪表单独升级。</w:t>
            </w:r>
          </w:p>
          <w:p>
            <w:pPr>
              <w:rPr>
                <w:color w:val="auto"/>
                <w:highlight w:val="none"/>
                <w:lang w:eastAsia="zh-CN"/>
              </w:rPr>
            </w:pPr>
            <w:r>
              <w:rPr>
                <w:rFonts w:hint="eastAsia"/>
                <w:color w:val="auto"/>
                <w:highlight w:val="none"/>
                <w:lang w:eastAsia="zh-CN"/>
              </w:rPr>
              <w:t>16、电磁热量表在常用流量运行时，允许压力损失≤0.025MPa。</w:t>
            </w:r>
          </w:p>
          <w:p>
            <w:pPr>
              <w:rPr>
                <w:color w:val="auto"/>
                <w:highlight w:val="none"/>
                <w:lang w:eastAsia="zh-CN"/>
              </w:rPr>
            </w:pPr>
            <w:r>
              <w:rPr>
                <w:rFonts w:hint="eastAsia"/>
                <w:color w:val="auto"/>
                <w:highlight w:val="none"/>
                <w:lang w:eastAsia="zh-CN"/>
              </w:rPr>
              <w:t>17、电磁热量表必须要具有接地线。</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15" w:hRule="atLeast"/>
        </w:trPr>
        <w:tc>
          <w:tcPr>
            <w:tcW w:w="728" w:type="dxa"/>
            <w:tcBorders>
              <w:top w:val="single" w:color="auto" w:sz="4" w:space="0"/>
              <w:bottom w:val="single" w:color="auto" w:sz="4" w:space="0"/>
            </w:tcBorders>
            <w:vAlign w:val="center"/>
          </w:tcPr>
          <w:p>
            <w:pPr>
              <w:rPr>
                <w:color w:val="auto"/>
                <w:highlight w:val="none"/>
              </w:rPr>
            </w:pPr>
            <w:r>
              <w:rPr>
                <w:rFonts w:hint="eastAsia"/>
                <w:color w:val="auto"/>
                <w:highlight w:val="none"/>
              </w:rPr>
              <w:t>3</w:t>
            </w:r>
            <w:r>
              <w:rPr>
                <w:color w:val="auto"/>
                <w:highlight w:val="none"/>
              </w:rPr>
              <w:t>2</w:t>
            </w:r>
          </w:p>
        </w:tc>
        <w:tc>
          <w:tcPr>
            <w:tcW w:w="1260" w:type="dxa"/>
            <w:tcBorders>
              <w:top w:val="single" w:color="auto" w:sz="4" w:space="0"/>
            </w:tcBorders>
            <w:vAlign w:val="center"/>
          </w:tcPr>
          <w:p>
            <w:pPr>
              <w:rPr>
                <w:color w:val="auto"/>
                <w:highlight w:val="none"/>
              </w:rPr>
            </w:pPr>
            <w:r>
              <w:rPr>
                <w:rFonts w:hint="eastAsia"/>
                <w:color w:val="auto"/>
                <w:highlight w:val="none"/>
              </w:rPr>
              <w:t>变频器</w:t>
            </w:r>
          </w:p>
        </w:tc>
        <w:tc>
          <w:tcPr>
            <w:tcW w:w="7736" w:type="dxa"/>
            <w:tcBorders>
              <w:top w:val="single" w:color="auto" w:sz="4" w:space="0"/>
            </w:tcBorders>
            <w:vAlign w:val="center"/>
          </w:tcPr>
          <w:p>
            <w:pPr>
              <w:rPr>
                <w:color w:val="auto"/>
                <w:highlight w:val="none"/>
                <w:lang w:eastAsia="zh-CN"/>
              </w:rPr>
            </w:pPr>
            <w:r>
              <w:rPr>
                <w:rFonts w:hint="eastAsia"/>
                <w:color w:val="auto"/>
                <w:highlight w:val="none"/>
                <w:lang w:eastAsia="zh-CN"/>
              </w:rPr>
              <w:t>变频器按照工业级的标准设计，完善全面的变频器保护及自诊断功能.其体积小，节省空间。强大的通讯接口，可让它以任何的PLC/DCS集成。</w:t>
            </w:r>
          </w:p>
          <w:p>
            <w:pPr>
              <w:rPr>
                <w:color w:val="auto"/>
                <w:highlight w:val="none"/>
                <w:lang w:eastAsia="zh-CN"/>
              </w:rPr>
            </w:pPr>
            <w:r>
              <w:rPr>
                <w:rFonts w:hint="eastAsia"/>
                <w:color w:val="auto"/>
                <w:highlight w:val="none"/>
                <w:lang w:eastAsia="zh-CN"/>
              </w:rPr>
              <w:t>1） 全数字式脉冲宽度制仿正弦波系统，在任何负荷和转速都不须接驳任何外置矫正电容器而能够在基波上提供单一功率数。</w:t>
            </w:r>
          </w:p>
          <w:p>
            <w:pPr>
              <w:rPr>
                <w:color w:val="auto"/>
                <w:highlight w:val="none"/>
                <w:lang w:eastAsia="zh-CN"/>
              </w:rPr>
            </w:pPr>
            <w:r>
              <w:rPr>
                <w:rFonts w:hint="eastAsia"/>
                <w:color w:val="auto"/>
                <w:highlight w:val="none"/>
                <w:lang w:eastAsia="zh-CN"/>
              </w:rPr>
              <w:t>2） 额定输入电源为380～480V，频率范围48～63Hz，额定输出电压为0～460V，可变频率范围0-320Hz, 功率因数：0.98，额定电流和额定电压条件下效率为97.5%。功率等级为2.2至250kw。</w:t>
            </w:r>
          </w:p>
          <w:p>
            <w:pPr>
              <w:rPr>
                <w:color w:val="auto"/>
                <w:highlight w:val="none"/>
                <w:lang w:eastAsia="zh-CN"/>
              </w:rPr>
            </w:pPr>
            <w:r>
              <w:rPr>
                <w:rFonts w:hint="eastAsia"/>
                <w:color w:val="auto"/>
                <w:highlight w:val="none"/>
                <w:lang w:eastAsia="zh-CN"/>
              </w:rPr>
              <w:t>3） 能够把电动机转速随意控制在极速之0至100%以内之任何转速运行。</w:t>
            </w:r>
          </w:p>
          <w:p>
            <w:pPr>
              <w:rPr>
                <w:color w:val="auto"/>
                <w:highlight w:val="none"/>
                <w:lang w:eastAsia="zh-CN"/>
              </w:rPr>
            </w:pPr>
            <w:r>
              <w:rPr>
                <w:rFonts w:hint="eastAsia"/>
                <w:color w:val="auto"/>
                <w:highlight w:val="none"/>
                <w:lang w:eastAsia="zh-CN"/>
              </w:rPr>
              <w:t>4） 能维持110%过载电流达1分钟。</w:t>
            </w:r>
          </w:p>
          <w:p>
            <w:pPr>
              <w:rPr>
                <w:color w:val="auto"/>
                <w:highlight w:val="none"/>
                <w:lang w:eastAsia="zh-CN"/>
              </w:rPr>
            </w:pPr>
            <w:r>
              <w:rPr>
                <w:rFonts w:hint="eastAsia"/>
                <w:color w:val="auto"/>
                <w:highlight w:val="none"/>
                <w:lang w:eastAsia="zh-CN"/>
              </w:rPr>
              <w:t>5） 集成的LCD显示屏带简体中文显示。可以记录运行的总时间、变频器的功率因数、输出频率等,在需要时可显示于显示器上。</w:t>
            </w:r>
          </w:p>
          <w:p>
            <w:pPr>
              <w:rPr>
                <w:color w:val="auto"/>
                <w:highlight w:val="none"/>
                <w:lang w:eastAsia="zh-CN"/>
              </w:rPr>
            </w:pPr>
            <w:r>
              <w:rPr>
                <w:rFonts w:hint="eastAsia"/>
                <w:color w:val="auto"/>
                <w:highlight w:val="none"/>
                <w:lang w:eastAsia="zh-CN"/>
              </w:rPr>
              <w:t>6） 内置DC电抗器，可以抑制电网高次谐波干扰,提高功率因数。</w:t>
            </w:r>
          </w:p>
          <w:p>
            <w:pPr>
              <w:rPr>
                <w:color w:val="auto"/>
                <w:highlight w:val="none"/>
                <w:lang w:eastAsia="zh-CN"/>
              </w:rPr>
            </w:pPr>
            <w:r>
              <w:rPr>
                <w:rFonts w:hint="eastAsia"/>
                <w:color w:val="auto"/>
                <w:highlight w:val="none"/>
                <w:lang w:eastAsia="zh-CN"/>
              </w:rPr>
              <w:t>7)  设有内置电子电动机过载保护；设有定限保护。如限流和限压输出等及跳闸保护包括过电流、过电压、失压停、过热及接地等。</w:t>
            </w:r>
          </w:p>
          <w:p>
            <w:pPr>
              <w:rPr>
                <w:color w:val="auto"/>
                <w:highlight w:val="none"/>
                <w:lang w:eastAsia="zh-CN"/>
              </w:rPr>
            </w:pPr>
            <w:r>
              <w:rPr>
                <w:rFonts w:hint="eastAsia"/>
                <w:color w:val="auto"/>
                <w:highlight w:val="none"/>
                <w:lang w:eastAsia="zh-CN"/>
              </w:rPr>
              <w:t>8)  能检测供电电源在暂停电及故障后自动起动，并能提供最后3次故障记录及其故障时间，包括故障时的电流及频率,直流侧电压等。</w:t>
            </w:r>
          </w:p>
          <w:p>
            <w:pPr>
              <w:rPr>
                <w:color w:val="auto"/>
                <w:highlight w:val="none"/>
                <w:lang w:eastAsia="zh-CN"/>
              </w:rPr>
            </w:pPr>
            <w:r>
              <w:rPr>
                <w:rFonts w:hint="eastAsia"/>
                <w:color w:val="auto"/>
                <w:highlight w:val="none"/>
                <w:lang w:eastAsia="zh-CN"/>
              </w:rPr>
              <w:t>9)  动作在可调校的载波频率调频模式，使得变频器及电动机能达到最佳的效能。</w:t>
            </w:r>
          </w:p>
          <w:p>
            <w:pPr>
              <w:rPr>
                <w:color w:val="auto"/>
                <w:highlight w:val="none"/>
                <w:lang w:eastAsia="zh-CN"/>
              </w:rPr>
            </w:pPr>
            <w:r>
              <w:rPr>
                <w:rFonts w:hint="eastAsia"/>
                <w:color w:val="auto"/>
                <w:highlight w:val="none"/>
                <w:lang w:eastAsia="zh-CN"/>
              </w:rPr>
              <w:t>10) 主电源电压如下降或上升10%的时候，依然可以保持额定输出容量。</w:t>
            </w:r>
          </w:p>
          <w:p>
            <w:pPr>
              <w:rPr>
                <w:color w:val="auto"/>
                <w:highlight w:val="none"/>
                <w:lang w:eastAsia="zh-CN"/>
              </w:rPr>
            </w:pPr>
            <w:r>
              <w:rPr>
                <w:rFonts w:hint="eastAsia"/>
                <w:color w:val="auto"/>
                <w:highlight w:val="none"/>
                <w:lang w:eastAsia="zh-CN"/>
              </w:rPr>
              <w:t>11) 附设3个可变宽频的跨越频率，能够克服由机械系统或空气系统引起的共振。</w:t>
            </w:r>
          </w:p>
          <w:p>
            <w:pPr>
              <w:rPr>
                <w:color w:val="auto"/>
                <w:highlight w:val="none"/>
                <w:lang w:eastAsia="zh-CN"/>
              </w:rPr>
            </w:pPr>
            <w:r>
              <w:rPr>
                <w:rFonts w:hint="eastAsia"/>
                <w:color w:val="auto"/>
                <w:highlight w:val="none"/>
                <w:lang w:eastAsia="zh-CN"/>
              </w:rPr>
              <w:t>12) 提供两个可选择及能调节的加速/减速坡道。</w:t>
            </w:r>
          </w:p>
          <w:p>
            <w:pPr>
              <w:rPr>
                <w:color w:val="auto"/>
                <w:highlight w:val="none"/>
                <w:lang w:eastAsia="zh-CN"/>
              </w:rPr>
            </w:pPr>
            <w:r>
              <w:rPr>
                <w:rFonts w:hint="eastAsia"/>
                <w:color w:val="auto"/>
                <w:highlight w:val="none"/>
                <w:lang w:eastAsia="zh-CN"/>
              </w:rPr>
              <w:t>13) 内置PID控制器，不需加接任何调节器就能提供配套设备的压力或流量之循环控制。能接收由发送器发出的0－10V，4－20MA，有2个模拟输入和2个模拟量输出。</w:t>
            </w:r>
          </w:p>
          <w:p>
            <w:pPr>
              <w:rPr>
                <w:color w:val="auto"/>
                <w:highlight w:val="none"/>
                <w:lang w:eastAsia="zh-CN"/>
              </w:rPr>
            </w:pPr>
            <w:r>
              <w:rPr>
                <w:rFonts w:hint="eastAsia"/>
                <w:color w:val="auto"/>
                <w:highlight w:val="none"/>
                <w:lang w:eastAsia="zh-CN"/>
              </w:rPr>
              <w:t>14) 支持飞速起动，能立刻自动把仍在转动中的风机、水泵重新起动及运行至指定速度。</w:t>
            </w:r>
          </w:p>
          <w:p>
            <w:pPr>
              <w:rPr>
                <w:color w:val="auto"/>
                <w:highlight w:val="none"/>
                <w:lang w:eastAsia="zh-CN"/>
              </w:rPr>
            </w:pPr>
            <w:r>
              <w:rPr>
                <w:rFonts w:hint="eastAsia"/>
                <w:color w:val="auto"/>
                <w:highlight w:val="none"/>
                <w:lang w:eastAsia="zh-CN"/>
              </w:rPr>
              <w:t>15）设有现场操作及遥控操作二者选择，以配合管理系统应用。</w:t>
            </w:r>
          </w:p>
          <w:p>
            <w:pPr>
              <w:rPr>
                <w:color w:val="auto"/>
                <w:highlight w:val="none"/>
                <w:lang w:eastAsia="zh-CN"/>
              </w:rPr>
            </w:pPr>
            <w:r>
              <w:rPr>
                <w:rFonts w:hint="eastAsia"/>
                <w:color w:val="auto"/>
                <w:highlight w:val="none"/>
                <w:lang w:eastAsia="zh-CN"/>
              </w:rPr>
              <w:t>16) 设有软件锁以防止未经批准之设定更改。</w:t>
            </w:r>
          </w:p>
          <w:p>
            <w:pPr>
              <w:rPr>
                <w:color w:val="auto"/>
                <w:highlight w:val="none"/>
                <w:lang w:eastAsia="zh-CN"/>
              </w:rPr>
            </w:pPr>
            <w:r>
              <w:rPr>
                <w:rFonts w:hint="eastAsia"/>
                <w:color w:val="auto"/>
                <w:highlight w:val="none"/>
                <w:lang w:eastAsia="zh-CN"/>
              </w:rPr>
              <w:t>17) 具有继电器输出卡,最多可以控制三台线电源驱动的电机和一台变频器驱动的电机；若电机为一用一备,自身可以实现定时自动切换。</w:t>
            </w:r>
          </w:p>
          <w:p>
            <w:pPr>
              <w:rPr>
                <w:color w:val="auto"/>
                <w:highlight w:val="none"/>
                <w:lang w:eastAsia="zh-CN"/>
              </w:rPr>
            </w:pPr>
            <w:r>
              <w:rPr>
                <w:rFonts w:hint="eastAsia"/>
                <w:color w:val="auto"/>
                <w:highlight w:val="none"/>
                <w:lang w:eastAsia="zh-CN"/>
              </w:rPr>
              <w:t>18)变频器之间允许采用零间隙并排式安装(书架式设计), 在500C的工作环境下不需降容使用。</w:t>
            </w:r>
          </w:p>
          <w:p>
            <w:pPr>
              <w:rPr>
                <w:color w:val="auto"/>
                <w:highlight w:val="none"/>
                <w:lang w:eastAsia="zh-CN"/>
              </w:rPr>
            </w:pPr>
            <w:r>
              <w:rPr>
                <w:rFonts w:hint="eastAsia"/>
                <w:color w:val="auto"/>
                <w:highlight w:val="none"/>
                <w:lang w:eastAsia="zh-CN"/>
              </w:rPr>
              <w:t>19)控制模式：可以编程选择使用无速度传感器矢量控制模式或电压/频率控制模式。电压/频率控制模式可以设置为直线、风机/水泵曲线或完全自定义模式。</w:t>
            </w:r>
          </w:p>
          <w:p>
            <w:pPr>
              <w:rPr>
                <w:color w:val="auto"/>
                <w:highlight w:val="none"/>
                <w:lang w:eastAsia="zh-CN"/>
              </w:rPr>
            </w:pPr>
            <w:r>
              <w:rPr>
                <w:rFonts w:hint="eastAsia"/>
                <w:color w:val="auto"/>
                <w:highlight w:val="none"/>
                <w:lang w:eastAsia="zh-CN"/>
              </w:rPr>
              <w:t>20)变频器有多种可编程停止模式，包括：斜坡运行、惯性、直流制动、斜坡保持和S曲线运行</w:t>
            </w:r>
          </w:p>
          <w:p>
            <w:pPr>
              <w:rPr>
                <w:color w:val="auto"/>
                <w:highlight w:val="none"/>
                <w:lang w:eastAsia="zh-CN"/>
              </w:rPr>
            </w:pPr>
            <w:r>
              <w:rPr>
                <w:rFonts w:hint="eastAsia"/>
                <w:color w:val="auto"/>
                <w:highlight w:val="none"/>
                <w:lang w:eastAsia="zh-CN"/>
              </w:rPr>
              <w:t>21)PF400P变频器可以有总线控制、端子控制和操作面板控制三种方式，这几种方式可通过逻辑输入/或平稳切换，切换时不会影响系统的正常运行,自动到手动的切换没有速度波动。</w:t>
            </w:r>
          </w:p>
        </w:tc>
      </w:tr>
    </w:tbl>
    <w:p>
      <w:pPr>
        <w:pStyle w:val="6"/>
        <w:ind w:left="0" w:firstLine="0"/>
        <w:rPr>
          <w:color w:val="auto"/>
          <w:highlight w:val="none"/>
        </w:rPr>
      </w:pPr>
    </w:p>
    <w:p>
      <w:pPr>
        <w:pStyle w:val="4"/>
        <w:spacing w:before="120" w:beforeLines="50"/>
        <w:ind w:left="0" w:firstLine="0"/>
        <w:rPr>
          <w:color w:val="auto"/>
          <w:highlight w:val="none"/>
        </w:rPr>
      </w:pPr>
      <w:r>
        <w:rPr>
          <w:rFonts w:hint="eastAsia"/>
          <w:color w:val="auto"/>
          <w:highlight w:val="none"/>
        </w:rPr>
        <w:t>给排水技术要求</w:t>
      </w:r>
    </w:p>
    <w:p>
      <w:pPr>
        <w:rPr>
          <w:color w:val="auto"/>
          <w:highlight w:val="none"/>
          <w:lang w:eastAsia="zh-CN"/>
        </w:rPr>
      </w:pPr>
      <w:r>
        <w:rPr>
          <w:color w:val="auto"/>
          <w:highlight w:val="none"/>
          <w:lang w:eastAsia="zh-CN" w:bidi="ar"/>
        </w:rPr>
        <w:t>一</w:t>
      </w:r>
      <w:r>
        <w:rPr>
          <w:rFonts w:hint="eastAsia"/>
          <w:color w:val="auto"/>
          <w:highlight w:val="none"/>
          <w:lang w:eastAsia="zh-CN" w:bidi="ar"/>
        </w:rPr>
        <w:t>、设计依据：（包括但不限于）</w:t>
      </w:r>
    </w:p>
    <w:p>
      <w:pPr>
        <w:rPr>
          <w:color w:val="auto"/>
          <w:highlight w:val="none"/>
          <w:lang w:eastAsia="zh-CN"/>
        </w:rPr>
      </w:pPr>
      <w:r>
        <w:rPr>
          <w:color w:val="auto"/>
          <w:highlight w:val="none"/>
          <w:lang w:eastAsia="zh-CN" w:bidi="ar"/>
        </w:rPr>
        <w:t>1.</w:t>
      </w:r>
      <w:r>
        <w:rPr>
          <w:rFonts w:hint="eastAsia"/>
          <w:color w:val="auto"/>
          <w:highlight w:val="none"/>
          <w:lang w:eastAsia="zh-CN" w:bidi="ar"/>
        </w:rPr>
        <w:t>建设单位提供的本工程有关资料和设计任务书。</w:t>
      </w:r>
    </w:p>
    <w:p>
      <w:pPr>
        <w:rPr>
          <w:color w:val="auto"/>
          <w:highlight w:val="none"/>
          <w:lang w:eastAsia="zh-CN"/>
        </w:rPr>
      </w:pPr>
      <w:r>
        <w:rPr>
          <w:color w:val="auto"/>
          <w:highlight w:val="none"/>
          <w:lang w:eastAsia="zh-CN" w:bidi="ar"/>
        </w:rPr>
        <w:t>2.</w:t>
      </w:r>
      <w:r>
        <w:rPr>
          <w:rFonts w:hint="eastAsia"/>
          <w:color w:val="auto"/>
          <w:highlight w:val="none"/>
          <w:lang w:eastAsia="zh-CN" w:bidi="ar"/>
        </w:rPr>
        <w:t>国家现行有关给水、排水、卫生等设计规范及规程</w:t>
      </w:r>
      <w:r>
        <w:rPr>
          <w:color w:val="auto"/>
          <w:highlight w:val="none"/>
          <w:lang w:eastAsia="zh-CN" w:bidi="ar"/>
        </w:rPr>
        <w:t>.</w:t>
      </w:r>
    </w:p>
    <w:p>
      <w:pPr>
        <w:rPr>
          <w:color w:val="auto"/>
          <w:highlight w:val="none"/>
          <w:lang w:eastAsia="zh-CN"/>
        </w:rPr>
      </w:pPr>
      <w:r>
        <w:rPr>
          <w:rFonts w:hint="eastAsia"/>
          <w:color w:val="auto"/>
          <w:highlight w:val="none"/>
          <w:lang w:eastAsia="zh-CN" w:bidi="ar"/>
        </w:rPr>
        <w:t>《建筑设计防火规范》</w:t>
      </w:r>
      <w:r>
        <w:rPr>
          <w:color w:val="auto"/>
          <w:highlight w:val="none"/>
          <w:lang w:eastAsia="zh-CN" w:bidi="ar"/>
        </w:rPr>
        <w:t xml:space="preserve"> GB 50016-2014(2018</w:t>
      </w:r>
      <w:r>
        <w:rPr>
          <w:rFonts w:hint="eastAsia"/>
          <w:color w:val="auto"/>
          <w:highlight w:val="none"/>
          <w:lang w:eastAsia="zh-CN" w:bidi="ar"/>
        </w:rPr>
        <w:t>年版</w:t>
      </w:r>
      <w:r>
        <w:rPr>
          <w:color w:val="auto"/>
          <w:highlight w:val="none"/>
          <w:lang w:eastAsia="zh-CN" w:bidi="ar"/>
        </w:rPr>
        <w:t xml:space="preserve">)  </w:t>
      </w:r>
    </w:p>
    <w:p>
      <w:pPr>
        <w:rPr>
          <w:color w:val="auto"/>
          <w:highlight w:val="none"/>
          <w:lang w:eastAsia="zh-CN"/>
        </w:rPr>
      </w:pPr>
      <w:r>
        <w:rPr>
          <w:rFonts w:hint="eastAsia"/>
          <w:color w:val="auto"/>
          <w:highlight w:val="none"/>
          <w:lang w:eastAsia="zh-CN" w:bidi="ar"/>
        </w:rPr>
        <w:t>《建筑给水排水设计标准》</w:t>
      </w:r>
      <w:r>
        <w:rPr>
          <w:color w:val="auto"/>
          <w:highlight w:val="none"/>
          <w:lang w:eastAsia="zh-CN" w:bidi="ar"/>
        </w:rPr>
        <w:t xml:space="preserve"> GB 50015-2019</w:t>
      </w:r>
    </w:p>
    <w:p>
      <w:pPr>
        <w:rPr>
          <w:color w:val="auto"/>
          <w:highlight w:val="none"/>
          <w:lang w:eastAsia="zh-CN"/>
        </w:rPr>
      </w:pPr>
      <w:r>
        <w:rPr>
          <w:rFonts w:hint="eastAsia"/>
          <w:color w:val="auto"/>
          <w:highlight w:val="none"/>
          <w:lang w:eastAsia="zh-CN" w:bidi="ar"/>
        </w:rPr>
        <w:t>《综合医院建筑设计规范》（</w:t>
      </w:r>
      <w:r>
        <w:rPr>
          <w:color w:val="auto"/>
          <w:highlight w:val="none"/>
          <w:lang w:eastAsia="zh-CN" w:bidi="ar"/>
        </w:rPr>
        <w:t>GB 51039-2014</w:t>
      </w:r>
      <w:r>
        <w:rPr>
          <w:rFonts w:hint="eastAsia"/>
          <w:color w:val="auto"/>
          <w:highlight w:val="none"/>
          <w:lang w:eastAsia="zh-CN" w:bidi="ar"/>
        </w:rPr>
        <w:t>）</w:t>
      </w:r>
    </w:p>
    <w:p>
      <w:pPr>
        <w:rPr>
          <w:color w:val="auto"/>
          <w:highlight w:val="none"/>
          <w:lang w:eastAsia="zh-CN"/>
        </w:rPr>
      </w:pPr>
      <w:r>
        <w:rPr>
          <w:rFonts w:hint="eastAsia"/>
          <w:color w:val="auto"/>
          <w:highlight w:val="none"/>
          <w:lang w:eastAsia="zh-CN" w:bidi="ar"/>
        </w:rPr>
        <w:t>《医院洁净手术部建筑技术规范》（</w:t>
      </w:r>
      <w:r>
        <w:rPr>
          <w:color w:val="auto"/>
          <w:highlight w:val="none"/>
          <w:lang w:eastAsia="zh-CN" w:bidi="ar"/>
        </w:rPr>
        <w:t>GB 50333-2013)</w:t>
      </w:r>
    </w:p>
    <w:p>
      <w:pPr>
        <w:rPr>
          <w:color w:val="auto"/>
          <w:highlight w:val="none"/>
          <w:lang w:eastAsia="zh-CN"/>
        </w:rPr>
      </w:pPr>
      <w:r>
        <w:rPr>
          <w:rFonts w:hint="eastAsia"/>
          <w:color w:val="auto"/>
          <w:highlight w:val="none"/>
          <w:lang w:eastAsia="zh-CN" w:bidi="ar"/>
        </w:rPr>
        <w:t>《医疗机构水污染物排放标准》</w:t>
      </w:r>
      <w:r>
        <w:rPr>
          <w:color w:val="auto"/>
          <w:highlight w:val="none"/>
          <w:lang w:eastAsia="zh-CN" w:bidi="ar"/>
        </w:rPr>
        <w:t xml:space="preserve"> GB 18466-2005</w:t>
      </w:r>
    </w:p>
    <w:p>
      <w:pPr>
        <w:rPr>
          <w:color w:val="auto"/>
          <w:highlight w:val="none"/>
          <w:lang w:eastAsia="zh-CN"/>
        </w:rPr>
      </w:pPr>
      <w:r>
        <w:rPr>
          <w:rFonts w:hint="eastAsia"/>
          <w:color w:val="auto"/>
          <w:highlight w:val="none"/>
          <w:lang w:eastAsia="zh-CN" w:bidi="ar"/>
        </w:rPr>
        <w:t>《生活饮用水卫生标准》</w:t>
      </w:r>
      <w:r>
        <w:rPr>
          <w:color w:val="auto"/>
          <w:highlight w:val="none"/>
          <w:lang w:eastAsia="zh-CN" w:bidi="ar"/>
        </w:rPr>
        <w:t xml:space="preserve"> GB 5749-2022</w:t>
      </w:r>
    </w:p>
    <w:p>
      <w:pPr>
        <w:rPr>
          <w:color w:val="auto"/>
          <w:highlight w:val="none"/>
          <w:lang w:eastAsia="zh-CN"/>
        </w:rPr>
      </w:pPr>
      <w:r>
        <w:rPr>
          <w:rFonts w:hint="eastAsia"/>
          <w:color w:val="auto"/>
          <w:highlight w:val="none"/>
          <w:lang w:eastAsia="zh-CN" w:bidi="ar"/>
        </w:rPr>
        <w:t>《污水综合排放标准》</w:t>
      </w:r>
      <w:r>
        <w:rPr>
          <w:color w:val="auto"/>
          <w:highlight w:val="none"/>
          <w:lang w:eastAsia="zh-CN" w:bidi="ar"/>
        </w:rPr>
        <w:t xml:space="preserve"> GB 8978</w:t>
      </w:r>
      <w:r>
        <w:rPr>
          <w:rFonts w:hint="eastAsia"/>
          <w:color w:val="auto"/>
          <w:highlight w:val="none"/>
          <w:lang w:eastAsia="zh-CN" w:bidi="ar"/>
        </w:rPr>
        <w:t>－</w:t>
      </w:r>
      <w:r>
        <w:rPr>
          <w:color w:val="auto"/>
          <w:highlight w:val="none"/>
          <w:lang w:eastAsia="zh-CN" w:bidi="ar"/>
        </w:rPr>
        <w:t>1996</w:t>
      </w:r>
    </w:p>
    <w:p>
      <w:pPr>
        <w:rPr>
          <w:color w:val="auto"/>
          <w:highlight w:val="none"/>
          <w:lang w:eastAsia="zh-CN"/>
        </w:rPr>
      </w:pPr>
      <w:r>
        <w:rPr>
          <w:rFonts w:hint="eastAsia"/>
          <w:color w:val="auto"/>
          <w:highlight w:val="none"/>
          <w:lang w:eastAsia="zh-CN" w:bidi="ar"/>
        </w:rPr>
        <w:t>《洁净室施工与验收规范》</w:t>
      </w:r>
      <w:r>
        <w:rPr>
          <w:color w:val="auto"/>
          <w:highlight w:val="none"/>
          <w:lang w:eastAsia="zh-CN" w:bidi="ar"/>
        </w:rPr>
        <w:t xml:space="preserve"> GB 50591-2010</w:t>
      </w:r>
    </w:p>
    <w:p>
      <w:pPr>
        <w:rPr>
          <w:color w:val="auto"/>
          <w:highlight w:val="none"/>
          <w:lang w:eastAsia="zh-CN"/>
        </w:rPr>
      </w:pPr>
      <w:r>
        <w:rPr>
          <w:rFonts w:hint="eastAsia"/>
          <w:color w:val="auto"/>
          <w:highlight w:val="none"/>
          <w:lang w:eastAsia="zh-CN" w:bidi="ar"/>
        </w:rPr>
        <w:t>《建筑机电工程抗震设计规范》</w:t>
      </w:r>
      <w:r>
        <w:rPr>
          <w:color w:val="auto"/>
          <w:highlight w:val="none"/>
          <w:lang w:eastAsia="zh-CN" w:bidi="ar"/>
        </w:rPr>
        <w:t xml:space="preserve"> GB 50981-2014</w:t>
      </w:r>
    </w:p>
    <w:p>
      <w:pPr>
        <w:rPr>
          <w:color w:val="auto"/>
          <w:highlight w:val="none"/>
          <w:lang w:eastAsia="zh-CN"/>
        </w:rPr>
      </w:pPr>
      <w:r>
        <w:rPr>
          <w:rFonts w:hint="eastAsia"/>
          <w:color w:val="auto"/>
          <w:highlight w:val="none"/>
          <w:lang w:eastAsia="zh-CN" w:bidi="ar"/>
        </w:rPr>
        <w:t>《建筑给水排水及采暖工程施工质量验收规范》</w:t>
      </w:r>
      <w:r>
        <w:rPr>
          <w:color w:val="auto"/>
          <w:highlight w:val="none"/>
          <w:lang w:eastAsia="zh-CN" w:bidi="ar"/>
        </w:rPr>
        <w:t xml:space="preserve"> GB 50242-2002</w:t>
      </w:r>
    </w:p>
    <w:p>
      <w:pPr>
        <w:rPr>
          <w:color w:val="auto"/>
          <w:highlight w:val="none"/>
          <w:lang w:eastAsia="zh-CN"/>
        </w:rPr>
      </w:pPr>
      <w:r>
        <w:rPr>
          <w:rFonts w:hint="eastAsia"/>
          <w:color w:val="auto"/>
          <w:highlight w:val="none"/>
          <w:lang w:eastAsia="zh-CN" w:bidi="ar"/>
        </w:rPr>
        <w:t>《建筑排水金属管道工程技术规程》</w:t>
      </w:r>
      <w:r>
        <w:rPr>
          <w:color w:val="auto"/>
          <w:highlight w:val="none"/>
          <w:lang w:eastAsia="zh-CN" w:bidi="ar"/>
        </w:rPr>
        <w:t xml:space="preserve"> CJJ 127-2009</w:t>
      </w:r>
    </w:p>
    <w:p>
      <w:pPr>
        <w:rPr>
          <w:color w:val="auto"/>
          <w:highlight w:val="none"/>
          <w:lang w:eastAsia="zh-CN"/>
        </w:rPr>
      </w:pPr>
      <w:r>
        <w:rPr>
          <w:rFonts w:hint="eastAsia"/>
          <w:color w:val="auto"/>
          <w:highlight w:val="none"/>
          <w:lang w:eastAsia="zh-CN" w:bidi="ar"/>
        </w:rPr>
        <w:t>《建筑给水薄壁不锈钢管管道工程技术规程》</w:t>
      </w:r>
      <w:r>
        <w:rPr>
          <w:color w:val="auto"/>
          <w:highlight w:val="none"/>
          <w:lang w:eastAsia="zh-CN" w:bidi="ar"/>
        </w:rPr>
        <w:t xml:space="preserve"> CECS 153</w:t>
      </w:r>
      <w:r>
        <w:rPr>
          <w:rFonts w:hint="eastAsia"/>
          <w:color w:val="auto"/>
          <w:highlight w:val="none"/>
          <w:lang w:eastAsia="zh-CN" w:bidi="ar"/>
        </w:rPr>
        <w:t>：</w:t>
      </w:r>
      <w:r>
        <w:rPr>
          <w:color w:val="auto"/>
          <w:highlight w:val="none"/>
          <w:lang w:eastAsia="zh-CN" w:bidi="ar"/>
        </w:rPr>
        <w:t>2003</w:t>
      </w:r>
    </w:p>
    <w:p>
      <w:pPr>
        <w:pStyle w:val="6"/>
        <w:ind w:left="0" w:firstLine="0"/>
        <w:rPr>
          <w:color w:val="auto"/>
          <w:highlight w:val="none"/>
        </w:rPr>
      </w:pPr>
      <w:r>
        <w:rPr>
          <w:rFonts w:hint="eastAsia" w:cs="宋体"/>
          <w:color w:val="auto"/>
          <w:highlight w:val="none"/>
          <w:lang w:bidi="ar"/>
        </w:rPr>
        <w:t>《建筑给水排水薄壁不锈钢管连接技术规程》</w:t>
      </w:r>
      <w:r>
        <w:rPr>
          <w:color w:val="auto"/>
          <w:highlight w:val="none"/>
          <w:lang w:bidi="ar"/>
        </w:rPr>
        <w:t xml:space="preserve"> CECS 277</w:t>
      </w:r>
      <w:r>
        <w:rPr>
          <w:rFonts w:hint="eastAsia" w:cs="宋体"/>
          <w:color w:val="auto"/>
          <w:highlight w:val="none"/>
          <w:lang w:bidi="ar"/>
        </w:rPr>
        <w:t>：</w:t>
      </w:r>
      <w:r>
        <w:rPr>
          <w:color w:val="auto"/>
          <w:highlight w:val="none"/>
          <w:lang w:bidi="ar"/>
        </w:rPr>
        <w:t>2010</w:t>
      </w:r>
    </w:p>
    <w:p>
      <w:pPr>
        <w:rPr>
          <w:color w:val="auto"/>
          <w:highlight w:val="none"/>
          <w:lang w:eastAsia="zh-CN"/>
        </w:rPr>
      </w:pPr>
      <w:r>
        <w:rPr>
          <w:rFonts w:hint="eastAsia" w:ascii="Times New Roman" w:hAnsi="Times New Roman"/>
          <w:color w:val="auto"/>
          <w:kern w:val="2"/>
          <w:sz w:val="21"/>
          <w:szCs w:val="20"/>
          <w:highlight w:val="none"/>
          <w:lang w:eastAsia="zh-CN" w:bidi="ar"/>
        </w:rPr>
        <w:t>二、工程内容：</w:t>
      </w:r>
    </w:p>
    <w:p>
      <w:pPr>
        <w:rPr>
          <w:color w:val="auto"/>
          <w:highlight w:val="none"/>
          <w:lang w:eastAsia="zh-CN"/>
        </w:rPr>
      </w:pPr>
      <w:r>
        <w:rPr>
          <w:rFonts w:hint="eastAsia" w:ascii="Times New Roman" w:hAnsi="Times New Roman"/>
          <w:color w:val="auto"/>
          <w:kern w:val="2"/>
          <w:sz w:val="21"/>
          <w:szCs w:val="20"/>
          <w:highlight w:val="none"/>
          <w:lang w:eastAsia="zh-CN" w:bidi="ar"/>
        </w:rPr>
        <w:t>本承包区域内医技楼负一层：中心供应室、急诊手术室、抢救室、</w:t>
      </w:r>
      <w:r>
        <w:rPr>
          <w:rFonts w:ascii="Times New Roman" w:hAnsi="Times New Roman" w:cs="Times New Roman"/>
          <w:color w:val="auto"/>
          <w:kern w:val="2"/>
          <w:sz w:val="21"/>
          <w:szCs w:val="20"/>
          <w:highlight w:val="none"/>
          <w:lang w:eastAsia="zh-CN" w:bidi="ar"/>
        </w:rPr>
        <w:t>EICU</w:t>
      </w:r>
      <w:r>
        <w:rPr>
          <w:rFonts w:hint="eastAsia" w:ascii="Times New Roman" w:hAnsi="Times New Roman"/>
          <w:color w:val="auto"/>
          <w:kern w:val="2"/>
          <w:sz w:val="21"/>
          <w:szCs w:val="20"/>
          <w:highlight w:val="none"/>
          <w:lang w:eastAsia="zh-CN" w:bidi="ar"/>
        </w:rPr>
        <w:t>；一层：静脉配置中心、</w:t>
      </w:r>
      <w:r>
        <w:rPr>
          <w:rFonts w:ascii="Times New Roman" w:hAnsi="Times New Roman" w:cs="Times New Roman"/>
          <w:color w:val="auto"/>
          <w:kern w:val="2"/>
          <w:sz w:val="21"/>
          <w:szCs w:val="20"/>
          <w:highlight w:val="none"/>
          <w:lang w:eastAsia="zh-CN" w:bidi="ar"/>
        </w:rPr>
        <w:t>DSA</w:t>
      </w:r>
      <w:r>
        <w:rPr>
          <w:rFonts w:hint="eastAsia" w:ascii="Times New Roman" w:hAnsi="Times New Roman"/>
          <w:color w:val="auto"/>
          <w:kern w:val="2"/>
          <w:sz w:val="21"/>
          <w:szCs w:val="20"/>
          <w:highlight w:val="none"/>
          <w:lang w:eastAsia="zh-CN" w:bidi="ar"/>
        </w:rPr>
        <w:t>手术室；二层：输血科、检验科；三层：病理科；四层：手术部、日间手术室、</w:t>
      </w:r>
      <w:r>
        <w:rPr>
          <w:rFonts w:ascii="Times New Roman" w:hAnsi="Times New Roman" w:cs="Times New Roman"/>
          <w:color w:val="auto"/>
          <w:kern w:val="2"/>
          <w:sz w:val="21"/>
          <w:szCs w:val="20"/>
          <w:highlight w:val="none"/>
          <w:lang w:eastAsia="zh-CN" w:bidi="ar"/>
        </w:rPr>
        <w:t>ICU</w:t>
      </w:r>
      <w:r>
        <w:rPr>
          <w:rFonts w:hint="eastAsia" w:ascii="Times New Roman" w:hAnsi="Times New Roman"/>
          <w:color w:val="auto"/>
          <w:kern w:val="2"/>
          <w:sz w:val="21"/>
          <w:szCs w:val="20"/>
          <w:highlight w:val="none"/>
          <w:lang w:eastAsia="zh-CN" w:bidi="ar"/>
        </w:rPr>
        <w:t>；住院楼一层：血透中心；二层：</w:t>
      </w:r>
      <w:r>
        <w:rPr>
          <w:rFonts w:ascii="Times New Roman" w:hAnsi="Times New Roman" w:cs="Times New Roman"/>
          <w:color w:val="auto"/>
          <w:kern w:val="2"/>
          <w:sz w:val="21"/>
          <w:szCs w:val="20"/>
          <w:highlight w:val="none"/>
          <w:lang w:eastAsia="zh-CN" w:bidi="ar"/>
        </w:rPr>
        <w:t>NICU</w:t>
      </w:r>
      <w:r>
        <w:rPr>
          <w:rFonts w:hint="eastAsia" w:ascii="Times New Roman" w:hAnsi="Times New Roman"/>
          <w:color w:val="auto"/>
          <w:kern w:val="2"/>
          <w:sz w:val="21"/>
          <w:szCs w:val="20"/>
          <w:highlight w:val="none"/>
          <w:lang w:eastAsia="zh-CN" w:bidi="ar"/>
        </w:rPr>
        <w:t>；三层：产科。</w:t>
      </w:r>
    </w:p>
    <w:p>
      <w:pPr>
        <w:pStyle w:val="6"/>
        <w:ind w:left="0" w:firstLine="0"/>
        <w:rPr>
          <w:rFonts w:cs="宋体"/>
          <w:color w:val="auto"/>
          <w:kern w:val="2"/>
          <w:sz w:val="21"/>
          <w:szCs w:val="20"/>
          <w:highlight w:val="none"/>
          <w:lang w:bidi="ar"/>
        </w:rPr>
      </w:pPr>
      <w:r>
        <w:rPr>
          <w:rFonts w:hint="eastAsia" w:cs="宋体"/>
          <w:color w:val="auto"/>
          <w:kern w:val="2"/>
          <w:sz w:val="21"/>
          <w:szCs w:val="20"/>
          <w:highlight w:val="none"/>
          <w:lang w:bidi="ar"/>
        </w:rPr>
        <w:t>给排水专业所有末端医用用水器具（刷手池）</w:t>
      </w:r>
      <w:r>
        <w:rPr>
          <w:rFonts w:cs="宋体"/>
          <w:color w:val="auto"/>
          <w:kern w:val="2"/>
          <w:sz w:val="21"/>
          <w:szCs w:val="20"/>
          <w:highlight w:val="none"/>
          <w:lang w:bidi="ar"/>
        </w:rPr>
        <w:t>、</w:t>
      </w:r>
      <w:r>
        <w:rPr>
          <w:rFonts w:hint="eastAsia" w:cs="宋体"/>
          <w:color w:val="auto"/>
          <w:kern w:val="2"/>
          <w:sz w:val="21"/>
          <w:szCs w:val="20"/>
          <w:highlight w:val="none"/>
          <w:lang w:bidi="ar"/>
        </w:rPr>
        <w:t>普通卫生器具</w:t>
      </w:r>
      <w:r>
        <w:rPr>
          <w:rFonts w:cs="宋体"/>
          <w:color w:val="auto"/>
          <w:kern w:val="2"/>
          <w:sz w:val="21"/>
          <w:szCs w:val="20"/>
          <w:highlight w:val="none"/>
          <w:lang w:bidi="ar"/>
        </w:rPr>
        <w:t>及给水排水管</w:t>
      </w:r>
      <w:r>
        <w:rPr>
          <w:rFonts w:hint="eastAsia" w:cs="宋体"/>
          <w:color w:val="auto"/>
          <w:kern w:val="2"/>
          <w:sz w:val="21"/>
          <w:szCs w:val="20"/>
          <w:highlight w:val="none"/>
          <w:lang w:bidi="ar"/>
        </w:rPr>
        <w:t>的采购、安装（含与总包甩口的连接），配合总包单位调试。</w:t>
      </w:r>
    </w:p>
    <w:p>
      <w:pPr>
        <w:pStyle w:val="6"/>
        <w:ind w:left="0" w:firstLine="0"/>
        <w:rPr>
          <w:rFonts w:cs="宋体"/>
          <w:color w:val="auto"/>
          <w:kern w:val="2"/>
          <w:sz w:val="21"/>
          <w:szCs w:val="20"/>
          <w:highlight w:val="none"/>
          <w:lang w:bidi="ar"/>
        </w:rPr>
      </w:pPr>
    </w:p>
    <w:p>
      <w:pPr>
        <w:rPr>
          <w:color w:val="auto"/>
          <w:highlight w:val="none"/>
          <w:lang w:eastAsia="zh-CN"/>
        </w:rPr>
      </w:pPr>
      <w:r>
        <w:rPr>
          <w:color w:val="auto"/>
          <w:highlight w:val="none"/>
          <w:lang w:eastAsia="zh-CN" w:bidi="ar"/>
        </w:rPr>
        <w:t>三、</w:t>
      </w:r>
      <w:r>
        <w:rPr>
          <w:rFonts w:hint="eastAsia"/>
          <w:color w:val="auto"/>
          <w:highlight w:val="none"/>
          <w:lang w:eastAsia="zh-CN" w:bidi="ar"/>
        </w:rPr>
        <w:t>洁具及末端材料技术要求</w:t>
      </w:r>
    </w:p>
    <w:tbl>
      <w:tblPr>
        <w:tblStyle w:val="85"/>
        <w:tblW w:w="9631" w:type="dxa"/>
        <w:tblInd w:w="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701"/>
        <w:gridCol w:w="1418"/>
        <w:gridCol w:w="7512"/>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648" w:hRule="atLeast"/>
        </w:trPr>
        <w:tc>
          <w:tcPr>
            <w:tcW w:w="701" w:type="dxa"/>
            <w:tcBorders>
              <w:top w:val="single" w:color="000000" w:sz="6" w:space="0"/>
              <w:left w:val="single" w:color="000000" w:sz="6" w:space="0"/>
              <w:bottom w:val="single" w:color="000000" w:sz="6" w:space="0"/>
              <w:right w:val="single" w:color="auto" w:sz="4" w:space="0"/>
            </w:tcBorders>
            <w:shd w:val="clear" w:color="auto" w:fill="auto"/>
            <w:vAlign w:val="center"/>
          </w:tcPr>
          <w:p>
            <w:pPr>
              <w:spacing w:line="360" w:lineRule="auto"/>
              <w:rPr>
                <w:color w:val="auto"/>
                <w:szCs w:val="24"/>
                <w:highlight w:val="none"/>
              </w:rPr>
            </w:pPr>
            <w:r>
              <w:rPr>
                <w:rFonts w:hint="eastAsia"/>
                <w:color w:val="auto"/>
                <w:szCs w:val="24"/>
                <w:highlight w:val="none"/>
                <w:lang w:bidi="ar"/>
              </w:rPr>
              <w:t>序号</w:t>
            </w:r>
          </w:p>
        </w:tc>
        <w:tc>
          <w:tcPr>
            <w:tcW w:w="1418" w:type="dxa"/>
            <w:tcBorders>
              <w:top w:val="single" w:color="000000" w:sz="6" w:space="0"/>
              <w:left w:val="single" w:color="auto" w:sz="4" w:space="0"/>
              <w:bottom w:val="single" w:color="000000" w:sz="6" w:space="0"/>
              <w:right w:val="single" w:color="auto" w:sz="4" w:space="0"/>
            </w:tcBorders>
            <w:shd w:val="clear" w:color="auto" w:fill="auto"/>
            <w:vAlign w:val="center"/>
          </w:tcPr>
          <w:p>
            <w:pPr>
              <w:spacing w:line="360" w:lineRule="auto"/>
              <w:rPr>
                <w:color w:val="auto"/>
                <w:szCs w:val="24"/>
                <w:highlight w:val="none"/>
              </w:rPr>
            </w:pPr>
            <w:r>
              <w:rPr>
                <w:rFonts w:hint="eastAsia"/>
                <w:color w:val="auto"/>
                <w:szCs w:val="24"/>
                <w:highlight w:val="none"/>
                <w:lang w:bidi="ar"/>
              </w:rPr>
              <w:t>产品名称</w:t>
            </w:r>
          </w:p>
        </w:tc>
        <w:tc>
          <w:tcPr>
            <w:tcW w:w="7512" w:type="dxa"/>
            <w:tcBorders>
              <w:top w:val="single" w:color="000000" w:sz="6" w:space="0"/>
              <w:left w:val="single" w:color="auto" w:sz="4" w:space="0"/>
              <w:bottom w:val="single" w:color="000000" w:sz="6" w:space="0"/>
              <w:right w:val="single" w:color="auto" w:sz="4" w:space="0"/>
            </w:tcBorders>
            <w:shd w:val="clear" w:color="auto" w:fill="auto"/>
            <w:vAlign w:val="center"/>
          </w:tcPr>
          <w:p>
            <w:pPr>
              <w:spacing w:line="360" w:lineRule="auto"/>
              <w:rPr>
                <w:color w:val="auto"/>
                <w:szCs w:val="24"/>
                <w:highlight w:val="none"/>
              </w:rPr>
            </w:pPr>
            <w:r>
              <w:rPr>
                <w:rFonts w:hint="eastAsia"/>
                <w:color w:val="auto"/>
                <w:szCs w:val="24"/>
                <w:highlight w:val="none"/>
                <w:lang w:bidi="ar"/>
              </w:rPr>
              <w:t>产品技术要求</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268" w:hRule="atLeast"/>
        </w:trPr>
        <w:tc>
          <w:tcPr>
            <w:tcW w:w="701" w:type="dxa"/>
            <w:tcBorders>
              <w:top w:val="single" w:color="000000" w:sz="6" w:space="0"/>
              <w:left w:val="single" w:color="000000" w:sz="6" w:space="0"/>
              <w:bottom w:val="single" w:color="000000" w:sz="6" w:space="0"/>
              <w:right w:val="single" w:color="auto" w:sz="4" w:space="0"/>
            </w:tcBorders>
            <w:shd w:val="clear" w:color="auto" w:fill="auto"/>
            <w:vAlign w:val="center"/>
          </w:tcPr>
          <w:p>
            <w:pPr>
              <w:spacing w:line="360" w:lineRule="auto"/>
              <w:rPr>
                <w:color w:val="auto"/>
                <w:szCs w:val="24"/>
                <w:highlight w:val="none"/>
              </w:rPr>
            </w:pPr>
            <w:r>
              <w:rPr>
                <w:color w:val="auto"/>
                <w:szCs w:val="24"/>
                <w:highlight w:val="none"/>
                <w:lang w:bidi="ar"/>
              </w:rPr>
              <w:t>1</w:t>
            </w:r>
          </w:p>
        </w:tc>
        <w:tc>
          <w:tcPr>
            <w:tcW w:w="1418" w:type="dxa"/>
            <w:tcBorders>
              <w:top w:val="single" w:color="000000" w:sz="6" w:space="0"/>
              <w:left w:val="single" w:color="auto" w:sz="4" w:space="0"/>
              <w:bottom w:val="single" w:color="000000" w:sz="6" w:space="0"/>
              <w:right w:val="single" w:color="auto" w:sz="4" w:space="0"/>
            </w:tcBorders>
            <w:shd w:val="clear" w:color="auto" w:fill="auto"/>
            <w:vAlign w:val="center"/>
          </w:tcPr>
          <w:p>
            <w:pPr>
              <w:spacing w:line="360" w:lineRule="auto"/>
              <w:rPr>
                <w:color w:val="auto"/>
                <w:szCs w:val="24"/>
                <w:highlight w:val="none"/>
                <w:lang w:eastAsia="zh-CN"/>
              </w:rPr>
            </w:pPr>
            <w:r>
              <w:rPr>
                <w:rFonts w:hint="eastAsia"/>
                <w:color w:val="auto"/>
                <w:szCs w:val="24"/>
                <w:highlight w:val="none"/>
                <w:lang w:eastAsia="zh-CN" w:bidi="ar"/>
              </w:rPr>
              <w:t>蹲式大便器（配手动式冲洗阀或脚踏式冲洗阀）</w:t>
            </w:r>
          </w:p>
        </w:tc>
        <w:tc>
          <w:tcPr>
            <w:tcW w:w="7512" w:type="dxa"/>
            <w:tcBorders>
              <w:top w:val="single" w:color="000000" w:sz="6" w:space="0"/>
              <w:left w:val="single" w:color="auto" w:sz="4" w:space="0"/>
              <w:bottom w:val="single" w:color="000000" w:sz="6" w:space="0"/>
              <w:right w:val="single" w:color="auto" w:sz="4" w:space="0"/>
            </w:tcBorders>
            <w:shd w:val="clear" w:color="auto" w:fill="auto"/>
            <w:vAlign w:val="center"/>
          </w:tcPr>
          <w:p>
            <w:pPr>
              <w:spacing w:line="360" w:lineRule="auto"/>
              <w:rPr>
                <w:color w:val="auto"/>
                <w:szCs w:val="24"/>
                <w:highlight w:val="none"/>
                <w:lang w:eastAsia="zh-CN"/>
              </w:rPr>
            </w:pPr>
            <w:r>
              <w:rPr>
                <w:rFonts w:hint="eastAsia"/>
                <w:color w:val="auto"/>
                <w:szCs w:val="24"/>
                <w:highlight w:val="none"/>
                <w:lang w:eastAsia="zh-CN" w:bidi="ar"/>
              </w:rPr>
              <w:t>技术要求：</w:t>
            </w:r>
          </w:p>
          <w:p>
            <w:pPr>
              <w:spacing w:line="360" w:lineRule="auto"/>
              <w:rPr>
                <w:strike/>
                <w:color w:val="auto"/>
                <w:szCs w:val="24"/>
                <w:highlight w:val="none"/>
                <w:lang w:eastAsia="zh-CN"/>
              </w:rPr>
            </w:pPr>
            <w:r>
              <w:rPr>
                <w:rFonts w:hint="eastAsia"/>
                <w:strike/>
                <w:color w:val="auto"/>
                <w:szCs w:val="24"/>
                <w:highlight w:val="none"/>
                <w:lang w:eastAsia="zh-CN" w:bidi="ar"/>
              </w:rPr>
              <w:t>通过中国节水产品认证。</w:t>
            </w:r>
          </w:p>
          <w:p>
            <w:pPr>
              <w:spacing w:line="360" w:lineRule="auto"/>
              <w:rPr>
                <w:color w:val="auto"/>
                <w:szCs w:val="24"/>
                <w:highlight w:val="none"/>
                <w:lang w:eastAsia="zh-CN"/>
              </w:rPr>
            </w:pPr>
            <w:r>
              <w:rPr>
                <w:rFonts w:hint="eastAsia"/>
                <w:color w:val="auto"/>
                <w:szCs w:val="24"/>
                <w:highlight w:val="none"/>
                <w:lang w:eastAsia="zh-CN" w:bidi="ar"/>
              </w:rPr>
              <w:t>绿色建筑应符合便器冲洗阀用水效率限定值及用水效率等级（</w:t>
            </w:r>
            <w:r>
              <w:rPr>
                <w:color w:val="auto"/>
                <w:szCs w:val="24"/>
                <w:highlight w:val="none"/>
                <w:lang w:eastAsia="zh-CN" w:bidi="ar"/>
              </w:rPr>
              <w:t>GB28379</w:t>
            </w:r>
            <w:r>
              <w:rPr>
                <w:rFonts w:hint="eastAsia"/>
                <w:color w:val="auto"/>
                <w:szCs w:val="24"/>
                <w:highlight w:val="none"/>
                <w:lang w:eastAsia="zh-CN" w:bidi="ar"/>
              </w:rPr>
              <w:t>）节水</w:t>
            </w:r>
            <w:r>
              <w:rPr>
                <w:color w:val="auto"/>
                <w:szCs w:val="24"/>
                <w:highlight w:val="none"/>
                <w:lang w:eastAsia="zh-CN" w:bidi="ar"/>
              </w:rPr>
              <w:t>2</w:t>
            </w:r>
            <w:r>
              <w:rPr>
                <w:rFonts w:hint="eastAsia"/>
                <w:color w:val="auto"/>
                <w:szCs w:val="24"/>
                <w:highlight w:val="none"/>
                <w:lang w:eastAsia="zh-CN" w:bidi="ar"/>
              </w:rPr>
              <w:t>级的规定。</w:t>
            </w:r>
          </w:p>
          <w:p>
            <w:pPr>
              <w:spacing w:line="360" w:lineRule="auto"/>
              <w:rPr>
                <w:color w:val="auto"/>
                <w:szCs w:val="24"/>
                <w:highlight w:val="none"/>
                <w:lang w:eastAsia="zh-CN"/>
              </w:rPr>
            </w:pPr>
            <w:r>
              <w:rPr>
                <w:rFonts w:hint="eastAsia"/>
                <w:color w:val="auto"/>
                <w:szCs w:val="24"/>
                <w:highlight w:val="none"/>
                <w:lang w:eastAsia="zh-CN" w:bidi="ar"/>
              </w:rPr>
              <w:t>陶瓷放射性检测达到</w:t>
            </w:r>
            <w:r>
              <w:rPr>
                <w:color w:val="auto"/>
                <w:szCs w:val="24"/>
                <w:highlight w:val="none"/>
                <w:lang w:eastAsia="zh-CN" w:bidi="ar"/>
              </w:rPr>
              <w:t>GB6566</w:t>
            </w:r>
            <w:r>
              <w:rPr>
                <w:rFonts w:hint="eastAsia"/>
                <w:color w:val="auto"/>
                <w:szCs w:val="24"/>
                <w:highlight w:val="none"/>
                <w:lang w:eastAsia="zh-CN" w:bidi="ar"/>
              </w:rPr>
              <w:t>标准。</w:t>
            </w:r>
          </w:p>
          <w:p>
            <w:pPr>
              <w:spacing w:line="360" w:lineRule="auto"/>
              <w:rPr>
                <w:color w:val="auto"/>
                <w:szCs w:val="24"/>
                <w:highlight w:val="none"/>
                <w:lang w:eastAsia="zh-CN"/>
              </w:rPr>
            </w:pPr>
            <w:r>
              <w:rPr>
                <w:rFonts w:hint="eastAsia"/>
                <w:color w:val="auto"/>
                <w:szCs w:val="24"/>
                <w:highlight w:val="none"/>
                <w:lang w:eastAsia="zh-CN" w:bidi="ar"/>
              </w:rPr>
              <w:t>蹲便器采用智洁釉面或纳米抗菌陶瓷，防滑脚踏。</w:t>
            </w:r>
          </w:p>
          <w:p>
            <w:pPr>
              <w:spacing w:line="360" w:lineRule="auto"/>
              <w:rPr>
                <w:color w:val="auto"/>
                <w:szCs w:val="24"/>
                <w:highlight w:val="none"/>
                <w:lang w:eastAsia="zh-CN"/>
              </w:rPr>
            </w:pPr>
            <w:r>
              <w:rPr>
                <w:rFonts w:hint="eastAsia"/>
                <w:color w:val="auto"/>
                <w:szCs w:val="24"/>
                <w:highlight w:val="none"/>
                <w:lang w:eastAsia="zh-CN" w:bidi="ar"/>
              </w:rPr>
              <w:t>蹲便器自带存水弯。</w:t>
            </w:r>
          </w:p>
          <w:p>
            <w:pPr>
              <w:spacing w:line="360" w:lineRule="auto"/>
              <w:rPr>
                <w:color w:val="auto"/>
                <w:szCs w:val="24"/>
                <w:highlight w:val="none"/>
                <w:lang w:eastAsia="zh-CN"/>
              </w:rPr>
            </w:pPr>
            <w:r>
              <w:rPr>
                <w:rFonts w:hint="eastAsia"/>
                <w:color w:val="auto"/>
                <w:szCs w:val="24"/>
                <w:highlight w:val="none"/>
                <w:lang w:eastAsia="zh-CN" w:bidi="ar"/>
              </w:rPr>
              <w:t>排污弯管内壁施釉。</w:t>
            </w:r>
          </w:p>
          <w:p>
            <w:pPr>
              <w:spacing w:line="360" w:lineRule="auto"/>
              <w:rPr>
                <w:color w:val="auto"/>
                <w:szCs w:val="24"/>
                <w:highlight w:val="none"/>
                <w:lang w:eastAsia="zh-CN"/>
              </w:rPr>
            </w:pPr>
            <w:r>
              <w:rPr>
                <w:rFonts w:hint="eastAsia"/>
                <w:color w:val="auto"/>
                <w:szCs w:val="24"/>
                <w:highlight w:val="none"/>
                <w:lang w:eastAsia="zh-CN" w:bidi="ar"/>
              </w:rPr>
              <w:t>冲洗阀采用铜制铸造本体，表面镀铬。</w:t>
            </w:r>
          </w:p>
          <w:p>
            <w:pPr>
              <w:spacing w:line="360" w:lineRule="auto"/>
              <w:rPr>
                <w:color w:val="auto"/>
                <w:szCs w:val="24"/>
                <w:highlight w:val="none"/>
                <w:lang w:eastAsia="zh-CN"/>
              </w:rPr>
            </w:pPr>
            <w:r>
              <w:rPr>
                <w:rFonts w:hint="eastAsia"/>
                <w:color w:val="auto"/>
                <w:szCs w:val="24"/>
                <w:highlight w:val="none"/>
                <w:lang w:eastAsia="zh-CN" w:bidi="ar"/>
              </w:rPr>
              <w:t>颜色为白色。</w:t>
            </w:r>
          </w:p>
          <w:p>
            <w:pPr>
              <w:spacing w:line="360" w:lineRule="auto"/>
              <w:rPr>
                <w:color w:val="auto"/>
                <w:szCs w:val="24"/>
                <w:highlight w:val="none"/>
                <w:lang w:eastAsia="zh-CN"/>
              </w:rPr>
            </w:pPr>
            <w:r>
              <w:rPr>
                <w:rFonts w:hint="eastAsia"/>
                <w:color w:val="auto"/>
                <w:szCs w:val="24"/>
                <w:highlight w:val="none"/>
                <w:lang w:eastAsia="zh-CN" w:bidi="ar"/>
              </w:rPr>
              <w:t>尺寸、样式须经甲方、使用方、设计认可。</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816" w:hRule="atLeast"/>
        </w:trPr>
        <w:tc>
          <w:tcPr>
            <w:tcW w:w="701"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rPr>
                <w:color w:val="auto"/>
                <w:szCs w:val="24"/>
                <w:highlight w:val="none"/>
              </w:rPr>
            </w:pPr>
            <w:r>
              <w:rPr>
                <w:color w:val="auto"/>
                <w:szCs w:val="24"/>
                <w:highlight w:val="none"/>
                <w:lang w:bidi="ar"/>
              </w:rPr>
              <w:t>2</w:t>
            </w:r>
          </w:p>
        </w:tc>
        <w:tc>
          <w:tcPr>
            <w:tcW w:w="1418"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rPr>
                <w:color w:val="auto"/>
                <w:szCs w:val="24"/>
                <w:highlight w:val="none"/>
                <w:lang w:eastAsia="zh-CN"/>
              </w:rPr>
            </w:pPr>
            <w:r>
              <w:rPr>
                <w:rFonts w:hint="eastAsia"/>
                <w:color w:val="auto"/>
                <w:szCs w:val="24"/>
                <w:highlight w:val="none"/>
                <w:lang w:eastAsia="zh-CN" w:bidi="ar"/>
              </w:rPr>
              <w:t>小便斗</w:t>
            </w:r>
          </w:p>
          <w:p>
            <w:pPr>
              <w:spacing w:line="360" w:lineRule="auto"/>
              <w:rPr>
                <w:color w:val="auto"/>
                <w:szCs w:val="24"/>
                <w:highlight w:val="none"/>
                <w:lang w:eastAsia="zh-CN"/>
              </w:rPr>
            </w:pPr>
            <w:r>
              <w:rPr>
                <w:rFonts w:hint="eastAsia"/>
                <w:color w:val="auto"/>
                <w:szCs w:val="24"/>
                <w:highlight w:val="none"/>
                <w:lang w:eastAsia="zh-CN" w:bidi="ar"/>
              </w:rPr>
              <w:t>（配自闭式冲洗阀或感应冲洗阀）</w:t>
            </w:r>
          </w:p>
        </w:tc>
        <w:tc>
          <w:tcPr>
            <w:tcW w:w="7512"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rPr>
                <w:color w:val="auto"/>
                <w:szCs w:val="24"/>
                <w:highlight w:val="none"/>
                <w:lang w:eastAsia="zh-CN"/>
              </w:rPr>
            </w:pPr>
            <w:r>
              <w:rPr>
                <w:rFonts w:hint="eastAsia"/>
                <w:color w:val="auto"/>
                <w:szCs w:val="24"/>
                <w:highlight w:val="none"/>
                <w:lang w:eastAsia="zh-CN" w:bidi="ar"/>
              </w:rPr>
              <w:t>技术要求：</w:t>
            </w:r>
          </w:p>
          <w:p>
            <w:pPr>
              <w:spacing w:line="360" w:lineRule="auto"/>
              <w:rPr>
                <w:strike/>
                <w:color w:val="auto"/>
                <w:szCs w:val="24"/>
                <w:highlight w:val="none"/>
                <w:lang w:eastAsia="zh-CN"/>
              </w:rPr>
            </w:pPr>
            <w:r>
              <w:rPr>
                <w:rFonts w:hint="eastAsia"/>
                <w:strike/>
                <w:color w:val="auto"/>
                <w:szCs w:val="24"/>
                <w:highlight w:val="none"/>
                <w:lang w:eastAsia="zh-CN" w:bidi="ar"/>
              </w:rPr>
              <w:t>通过中国节水产品认证。</w:t>
            </w:r>
          </w:p>
          <w:p>
            <w:pPr>
              <w:spacing w:line="360" w:lineRule="auto"/>
              <w:rPr>
                <w:color w:val="auto"/>
                <w:szCs w:val="24"/>
                <w:highlight w:val="none"/>
                <w:lang w:eastAsia="zh-CN"/>
              </w:rPr>
            </w:pPr>
            <w:r>
              <w:rPr>
                <w:rFonts w:hint="eastAsia"/>
                <w:color w:val="auto"/>
                <w:szCs w:val="24"/>
                <w:highlight w:val="none"/>
                <w:lang w:eastAsia="zh-CN" w:bidi="ar"/>
              </w:rPr>
              <w:t>陶瓷放射性检测达到</w:t>
            </w:r>
            <w:r>
              <w:rPr>
                <w:color w:val="auto"/>
                <w:szCs w:val="24"/>
                <w:highlight w:val="none"/>
                <w:lang w:eastAsia="zh-CN" w:bidi="ar"/>
              </w:rPr>
              <w:t>GB6566</w:t>
            </w:r>
            <w:r>
              <w:rPr>
                <w:rFonts w:hint="eastAsia"/>
                <w:color w:val="auto"/>
                <w:szCs w:val="24"/>
                <w:highlight w:val="none"/>
                <w:lang w:eastAsia="zh-CN" w:bidi="ar"/>
              </w:rPr>
              <w:t>标准。</w:t>
            </w:r>
          </w:p>
          <w:p>
            <w:pPr>
              <w:spacing w:line="360" w:lineRule="auto"/>
              <w:rPr>
                <w:color w:val="auto"/>
                <w:szCs w:val="24"/>
                <w:highlight w:val="none"/>
                <w:lang w:eastAsia="zh-CN"/>
              </w:rPr>
            </w:pPr>
            <w:r>
              <w:rPr>
                <w:rFonts w:hint="eastAsia"/>
                <w:color w:val="auto"/>
                <w:szCs w:val="24"/>
                <w:highlight w:val="none"/>
                <w:lang w:eastAsia="zh-CN" w:bidi="ar"/>
              </w:rPr>
              <w:t>智洁釉面或纳米抗菌陶瓷。</w:t>
            </w:r>
          </w:p>
          <w:p>
            <w:pPr>
              <w:spacing w:line="360" w:lineRule="auto"/>
              <w:rPr>
                <w:color w:val="auto"/>
                <w:szCs w:val="24"/>
                <w:highlight w:val="none"/>
                <w:lang w:eastAsia="zh-CN"/>
              </w:rPr>
            </w:pPr>
            <w:r>
              <w:rPr>
                <w:rFonts w:hint="eastAsia"/>
                <w:color w:val="auto"/>
                <w:szCs w:val="24"/>
                <w:highlight w:val="none"/>
                <w:lang w:eastAsia="zh-CN" w:bidi="ar"/>
              </w:rPr>
              <w:t>绿色建筑应符合小便器用水效率限定值及用水效率等级（</w:t>
            </w:r>
            <w:r>
              <w:rPr>
                <w:color w:val="auto"/>
                <w:szCs w:val="24"/>
                <w:highlight w:val="none"/>
                <w:lang w:eastAsia="zh-CN" w:bidi="ar"/>
              </w:rPr>
              <w:t>GB28377-2012</w:t>
            </w:r>
            <w:r>
              <w:rPr>
                <w:rFonts w:hint="eastAsia"/>
                <w:color w:val="auto"/>
                <w:szCs w:val="24"/>
                <w:highlight w:val="none"/>
                <w:lang w:eastAsia="zh-CN" w:bidi="ar"/>
              </w:rPr>
              <w:t>）节水</w:t>
            </w:r>
            <w:r>
              <w:rPr>
                <w:color w:val="auto"/>
                <w:szCs w:val="24"/>
                <w:highlight w:val="none"/>
                <w:lang w:eastAsia="zh-CN" w:bidi="ar"/>
              </w:rPr>
              <w:t>2</w:t>
            </w:r>
            <w:r>
              <w:rPr>
                <w:rFonts w:hint="eastAsia"/>
                <w:color w:val="auto"/>
                <w:szCs w:val="24"/>
                <w:highlight w:val="none"/>
                <w:lang w:eastAsia="zh-CN" w:bidi="ar"/>
              </w:rPr>
              <w:t>级的规定。</w:t>
            </w:r>
          </w:p>
          <w:p>
            <w:pPr>
              <w:spacing w:line="360" w:lineRule="auto"/>
              <w:rPr>
                <w:color w:val="auto"/>
                <w:szCs w:val="24"/>
                <w:highlight w:val="none"/>
              </w:rPr>
            </w:pPr>
            <w:r>
              <w:rPr>
                <w:rFonts w:hint="eastAsia"/>
                <w:color w:val="auto"/>
                <w:szCs w:val="24"/>
                <w:highlight w:val="none"/>
                <w:lang w:bidi="ar"/>
              </w:rPr>
              <w:t>采用落地立式小便斗或后排水挂式小便斗。</w:t>
            </w:r>
          </w:p>
          <w:p>
            <w:pPr>
              <w:spacing w:line="360" w:lineRule="auto"/>
              <w:rPr>
                <w:color w:val="auto"/>
                <w:szCs w:val="24"/>
                <w:highlight w:val="none"/>
                <w:lang w:eastAsia="zh-CN"/>
              </w:rPr>
            </w:pPr>
            <w:r>
              <w:rPr>
                <w:rFonts w:hint="eastAsia"/>
                <w:color w:val="auto"/>
                <w:szCs w:val="24"/>
                <w:highlight w:val="none"/>
                <w:lang w:eastAsia="zh-CN" w:bidi="ar"/>
              </w:rPr>
              <w:t>冲洗水覆盖小便器全部表面。</w:t>
            </w:r>
          </w:p>
          <w:p>
            <w:pPr>
              <w:spacing w:line="360" w:lineRule="auto"/>
              <w:rPr>
                <w:color w:val="auto"/>
                <w:szCs w:val="24"/>
                <w:highlight w:val="none"/>
                <w:lang w:eastAsia="zh-CN"/>
              </w:rPr>
            </w:pPr>
            <w:r>
              <w:rPr>
                <w:rFonts w:hint="eastAsia"/>
                <w:color w:val="auto"/>
                <w:szCs w:val="24"/>
                <w:highlight w:val="none"/>
                <w:lang w:eastAsia="zh-CN" w:bidi="ar"/>
              </w:rPr>
              <w:t>颜色为白色。</w:t>
            </w:r>
          </w:p>
          <w:p>
            <w:pPr>
              <w:spacing w:line="360" w:lineRule="auto"/>
              <w:rPr>
                <w:color w:val="auto"/>
                <w:szCs w:val="24"/>
                <w:highlight w:val="none"/>
                <w:lang w:eastAsia="zh-CN"/>
              </w:rPr>
            </w:pPr>
            <w:r>
              <w:rPr>
                <w:rFonts w:hint="eastAsia"/>
                <w:color w:val="auto"/>
                <w:szCs w:val="24"/>
                <w:highlight w:val="none"/>
                <w:lang w:eastAsia="zh-CN" w:bidi="ar"/>
              </w:rPr>
              <w:t>尺寸、样式须经甲方、使用方、设计认可。</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678" w:hRule="atLeast"/>
        </w:trPr>
        <w:tc>
          <w:tcPr>
            <w:tcW w:w="701"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rPr>
                <w:color w:val="auto"/>
                <w:szCs w:val="24"/>
                <w:highlight w:val="none"/>
              </w:rPr>
            </w:pPr>
            <w:r>
              <w:rPr>
                <w:color w:val="auto"/>
                <w:szCs w:val="24"/>
                <w:highlight w:val="none"/>
                <w:lang w:bidi="ar"/>
              </w:rPr>
              <w:t>3</w:t>
            </w:r>
          </w:p>
        </w:tc>
        <w:tc>
          <w:tcPr>
            <w:tcW w:w="1418"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rPr>
                <w:color w:val="auto"/>
                <w:szCs w:val="24"/>
                <w:highlight w:val="none"/>
              </w:rPr>
            </w:pPr>
            <w:r>
              <w:rPr>
                <w:rFonts w:hint="eastAsia"/>
                <w:color w:val="auto"/>
                <w:szCs w:val="24"/>
                <w:highlight w:val="none"/>
                <w:lang w:bidi="ar"/>
              </w:rPr>
              <w:t>洗手盆</w:t>
            </w:r>
          </w:p>
        </w:tc>
        <w:tc>
          <w:tcPr>
            <w:tcW w:w="7512"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rPr>
                <w:color w:val="auto"/>
                <w:szCs w:val="24"/>
                <w:highlight w:val="none"/>
                <w:lang w:eastAsia="zh-CN"/>
              </w:rPr>
            </w:pPr>
            <w:r>
              <w:rPr>
                <w:rFonts w:hint="eastAsia"/>
                <w:color w:val="auto"/>
                <w:szCs w:val="24"/>
                <w:highlight w:val="none"/>
                <w:lang w:eastAsia="zh-CN" w:bidi="ar"/>
              </w:rPr>
              <w:t>技术要求：</w:t>
            </w:r>
          </w:p>
          <w:p>
            <w:pPr>
              <w:spacing w:line="360" w:lineRule="auto"/>
              <w:rPr>
                <w:color w:val="auto"/>
                <w:szCs w:val="24"/>
                <w:highlight w:val="none"/>
                <w:lang w:eastAsia="zh-CN"/>
              </w:rPr>
            </w:pPr>
            <w:r>
              <w:rPr>
                <w:rFonts w:hint="eastAsia"/>
                <w:color w:val="auto"/>
                <w:szCs w:val="24"/>
                <w:highlight w:val="none"/>
                <w:lang w:eastAsia="zh-CN" w:bidi="ar"/>
              </w:rPr>
              <w:t>配套不锈钢存水弯，不锈钢给水软管、铜镀铬角阀。</w:t>
            </w:r>
          </w:p>
          <w:p>
            <w:pPr>
              <w:spacing w:line="360" w:lineRule="auto"/>
              <w:rPr>
                <w:color w:val="auto"/>
                <w:szCs w:val="24"/>
                <w:highlight w:val="none"/>
                <w:lang w:eastAsia="zh-CN"/>
              </w:rPr>
            </w:pPr>
            <w:r>
              <w:rPr>
                <w:rFonts w:hint="eastAsia"/>
                <w:color w:val="auto"/>
                <w:szCs w:val="24"/>
                <w:highlight w:val="none"/>
                <w:lang w:eastAsia="zh-CN" w:bidi="ar"/>
              </w:rPr>
              <w:t>智洁釉面或纳米抗菌陶瓷。</w:t>
            </w:r>
          </w:p>
          <w:p>
            <w:pPr>
              <w:spacing w:line="360" w:lineRule="auto"/>
              <w:rPr>
                <w:color w:val="auto"/>
                <w:szCs w:val="24"/>
                <w:highlight w:val="none"/>
                <w:lang w:eastAsia="zh-CN"/>
              </w:rPr>
            </w:pPr>
            <w:r>
              <w:rPr>
                <w:rFonts w:hint="eastAsia"/>
                <w:color w:val="auto"/>
                <w:szCs w:val="24"/>
                <w:highlight w:val="none"/>
                <w:lang w:eastAsia="zh-CN" w:bidi="ar"/>
              </w:rPr>
              <w:t>颜色为白色。</w:t>
            </w:r>
          </w:p>
          <w:p>
            <w:pPr>
              <w:spacing w:line="360" w:lineRule="auto"/>
              <w:rPr>
                <w:color w:val="auto"/>
                <w:szCs w:val="24"/>
                <w:highlight w:val="none"/>
                <w:lang w:eastAsia="zh-CN"/>
              </w:rPr>
            </w:pPr>
            <w:r>
              <w:rPr>
                <w:rFonts w:hint="eastAsia"/>
                <w:color w:val="auto"/>
                <w:szCs w:val="24"/>
                <w:highlight w:val="none"/>
                <w:lang w:eastAsia="zh-CN" w:bidi="ar"/>
              </w:rPr>
              <w:t>尺寸、样式须经甲方、使用方、设计认可。</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103" w:hRule="atLeast"/>
        </w:trPr>
        <w:tc>
          <w:tcPr>
            <w:tcW w:w="701"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rPr>
                <w:color w:val="auto"/>
                <w:szCs w:val="24"/>
                <w:highlight w:val="none"/>
              </w:rPr>
            </w:pPr>
            <w:r>
              <w:rPr>
                <w:color w:val="auto"/>
                <w:szCs w:val="24"/>
                <w:highlight w:val="none"/>
                <w:lang w:bidi="ar"/>
              </w:rPr>
              <w:t>4</w:t>
            </w:r>
          </w:p>
        </w:tc>
        <w:tc>
          <w:tcPr>
            <w:tcW w:w="1418"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rPr>
                <w:color w:val="auto"/>
                <w:szCs w:val="24"/>
                <w:highlight w:val="none"/>
              </w:rPr>
            </w:pPr>
            <w:r>
              <w:rPr>
                <w:rFonts w:hint="eastAsia"/>
                <w:color w:val="auto"/>
                <w:szCs w:val="24"/>
                <w:highlight w:val="none"/>
                <w:lang w:bidi="ar"/>
              </w:rPr>
              <w:t>普通水龙头</w:t>
            </w:r>
          </w:p>
        </w:tc>
        <w:tc>
          <w:tcPr>
            <w:tcW w:w="7512"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rPr>
                <w:color w:val="auto"/>
                <w:szCs w:val="24"/>
                <w:highlight w:val="none"/>
                <w:lang w:eastAsia="zh-CN"/>
              </w:rPr>
            </w:pPr>
            <w:r>
              <w:rPr>
                <w:rFonts w:hint="eastAsia"/>
                <w:color w:val="auto"/>
                <w:szCs w:val="24"/>
                <w:highlight w:val="none"/>
                <w:lang w:eastAsia="zh-CN" w:bidi="ar"/>
              </w:rPr>
              <w:t>技术要求：</w:t>
            </w:r>
          </w:p>
          <w:p>
            <w:pPr>
              <w:spacing w:line="360" w:lineRule="auto"/>
              <w:rPr>
                <w:strike/>
                <w:color w:val="auto"/>
                <w:szCs w:val="24"/>
                <w:highlight w:val="none"/>
                <w:lang w:eastAsia="zh-CN"/>
              </w:rPr>
            </w:pPr>
            <w:r>
              <w:rPr>
                <w:rFonts w:hint="eastAsia"/>
                <w:strike/>
                <w:color w:val="auto"/>
                <w:szCs w:val="24"/>
                <w:highlight w:val="none"/>
                <w:lang w:eastAsia="zh-CN" w:bidi="ar"/>
              </w:rPr>
              <w:t>通过中国节水产品认证。</w:t>
            </w:r>
          </w:p>
          <w:p>
            <w:pPr>
              <w:spacing w:line="360" w:lineRule="auto"/>
              <w:rPr>
                <w:color w:val="auto"/>
                <w:szCs w:val="24"/>
                <w:highlight w:val="none"/>
                <w:lang w:eastAsia="zh-CN"/>
              </w:rPr>
            </w:pPr>
            <w:r>
              <w:rPr>
                <w:rFonts w:hint="eastAsia"/>
                <w:color w:val="auto"/>
                <w:szCs w:val="24"/>
                <w:highlight w:val="none"/>
                <w:lang w:eastAsia="zh-CN" w:bidi="ar"/>
              </w:rPr>
              <w:t>产品符合</w:t>
            </w:r>
            <w:r>
              <w:rPr>
                <w:color w:val="auto"/>
                <w:szCs w:val="24"/>
                <w:highlight w:val="none"/>
                <w:lang w:eastAsia="zh-CN" w:bidi="ar"/>
              </w:rPr>
              <w:t>CJ 164-2002</w:t>
            </w:r>
            <w:r>
              <w:rPr>
                <w:rFonts w:hint="eastAsia"/>
                <w:color w:val="auto"/>
                <w:szCs w:val="24"/>
                <w:highlight w:val="none"/>
                <w:lang w:eastAsia="zh-CN" w:bidi="ar"/>
              </w:rPr>
              <w:t>《节水型生活用水器具标准规范》要求。</w:t>
            </w:r>
          </w:p>
          <w:p>
            <w:pPr>
              <w:spacing w:line="360" w:lineRule="auto"/>
              <w:rPr>
                <w:color w:val="auto"/>
                <w:szCs w:val="24"/>
                <w:highlight w:val="none"/>
                <w:lang w:eastAsia="zh-CN"/>
              </w:rPr>
            </w:pPr>
            <w:r>
              <w:rPr>
                <w:rFonts w:hint="eastAsia"/>
                <w:color w:val="auto"/>
                <w:szCs w:val="24"/>
                <w:highlight w:val="none"/>
                <w:lang w:eastAsia="zh-CN" w:bidi="ar"/>
              </w:rPr>
              <w:t>绿色建筑应符合水嘴用水效率限定值及用水效率等级（</w:t>
            </w:r>
            <w:r>
              <w:rPr>
                <w:color w:val="auto"/>
                <w:szCs w:val="24"/>
                <w:highlight w:val="none"/>
                <w:lang w:eastAsia="zh-CN" w:bidi="ar"/>
              </w:rPr>
              <w:t>GB25501-2010</w:t>
            </w:r>
            <w:r>
              <w:rPr>
                <w:rFonts w:hint="eastAsia"/>
                <w:color w:val="auto"/>
                <w:szCs w:val="24"/>
                <w:highlight w:val="none"/>
                <w:lang w:eastAsia="zh-CN" w:bidi="ar"/>
              </w:rPr>
              <w:t>）节水</w:t>
            </w:r>
            <w:r>
              <w:rPr>
                <w:color w:val="auto"/>
                <w:szCs w:val="24"/>
                <w:highlight w:val="none"/>
                <w:lang w:eastAsia="zh-CN" w:bidi="ar"/>
              </w:rPr>
              <w:t>2</w:t>
            </w:r>
            <w:r>
              <w:rPr>
                <w:rFonts w:hint="eastAsia"/>
                <w:color w:val="auto"/>
                <w:szCs w:val="24"/>
                <w:highlight w:val="none"/>
                <w:lang w:eastAsia="zh-CN" w:bidi="ar"/>
              </w:rPr>
              <w:t>级的规定。</w:t>
            </w:r>
          </w:p>
          <w:p>
            <w:pPr>
              <w:spacing w:line="360" w:lineRule="auto"/>
              <w:rPr>
                <w:color w:val="auto"/>
                <w:szCs w:val="24"/>
                <w:highlight w:val="none"/>
                <w:lang w:eastAsia="zh-CN"/>
              </w:rPr>
            </w:pPr>
            <w:r>
              <w:rPr>
                <w:rFonts w:hint="eastAsia"/>
                <w:color w:val="auto"/>
                <w:szCs w:val="24"/>
                <w:highlight w:val="none"/>
                <w:lang w:eastAsia="zh-CN" w:bidi="ar"/>
              </w:rPr>
              <w:t>陶瓷片密封式水嘴，黄铜本体。</w:t>
            </w:r>
          </w:p>
          <w:p>
            <w:pPr>
              <w:spacing w:line="360" w:lineRule="auto"/>
              <w:rPr>
                <w:color w:val="auto"/>
                <w:szCs w:val="24"/>
                <w:highlight w:val="none"/>
                <w:lang w:eastAsia="zh-CN"/>
              </w:rPr>
            </w:pPr>
            <w:r>
              <w:rPr>
                <w:rFonts w:hint="eastAsia"/>
                <w:color w:val="auto"/>
                <w:szCs w:val="24"/>
                <w:highlight w:val="none"/>
                <w:lang w:eastAsia="zh-CN" w:bidi="ar"/>
              </w:rPr>
              <w:t>参考规格尺寸（设计单位提供）。</w:t>
            </w:r>
          </w:p>
          <w:p>
            <w:pPr>
              <w:spacing w:line="360" w:lineRule="auto"/>
              <w:rPr>
                <w:color w:val="auto"/>
                <w:szCs w:val="24"/>
                <w:highlight w:val="none"/>
                <w:lang w:eastAsia="zh-CN"/>
              </w:rPr>
            </w:pPr>
            <w:r>
              <w:rPr>
                <w:rFonts w:hint="eastAsia"/>
                <w:color w:val="auto"/>
                <w:szCs w:val="24"/>
                <w:highlight w:val="none"/>
                <w:lang w:eastAsia="zh-CN" w:bidi="ar"/>
              </w:rPr>
              <w:t>参考图片（设计单位提供）。</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5233" w:hRule="atLeast"/>
        </w:trPr>
        <w:tc>
          <w:tcPr>
            <w:tcW w:w="701"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rPr>
                <w:color w:val="auto"/>
                <w:szCs w:val="24"/>
                <w:highlight w:val="none"/>
              </w:rPr>
            </w:pPr>
            <w:r>
              <w:rPr>
                <w:color w:val="auto"/>
                <w:szCs w:val="24"/>
                <w:highlight w:val="none"/>
                <w:lang w:bidi="ar"/>
              </w:rPr>
              <w:t>5</w:t>
            </w:r>
          </w:p>
        </w:tc>
        <w:tc>
          <w:tcPr>
            <w:tcW w:w="1418"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rPr>
                <w:color w:val="auto"/>
                <w:szCs w:val="24"/>
                <w:highlight w:val="none"/>
              </w:rPr>
            </w:pPr>
            <w:r>
              <w:rPr>
                <w:rFonts w:hint="eastAsia"/>
                <w:color w:val="auto"/>
                <w:szCs w:val="24"/>
                <w:highlight w:val="none"/>
                <w:lang w:bidi="ar"/>
              </w:rPr>
              <w:t>感应龙头</w:t>
            </w:r>
          </w:p>
        </w:tc>
        <w:tc>
          <w:tcPr>
            <w:tcW w:w="7512"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rPr>
                <w:color w:val="auto"/>
                <w:szCs w:val="24"/>
                <w:highlight w:val="none"/>
                <w:lang w:eastAsia="zh-CN"/>
              </w:rPr>
            </w:pPr>
            <w:r>
              <w:rPr>
                <w:rFonts w:hint="eastAsia"/>
                <w:color w:val="auto"/>
                <w:szCs w:val="24"/>
                <w:highlight w:val="none"/>
                <w:lang w:eastAsia="zh-CN" w:bidi="ar"/>
              </w:rPr>
              <w:t>技术要求：</w:t>
            </w:r>
          </w:p>
          <w:p>
            <w:pPr>
              <w:spacing w:line="360" w:lineRule="auto"/>
              <w:rPr>
                <w:color w:val="auto"/>
                <w:szCs w:val="24"/>
                <w:highlight w:val="none"/>
                <w:lang w:eastAsia="zh-CN"/>
              </w:rPr>
            </w:pPr>
            <w:r>
              <w:rPr>
                <w:rFonts w:hint="eastAsia"/>
                <w:color w:val="auto"/>
                <w:szCs w:val="24"/>
                <w:highlight w:val="none"/>
                <w:lang w:eastAsia="zh-CN" w:bidi="ar"/>
              </w:rPr>
              <w:t>产品符合</w:t>
            </w:r>
            <w:r>
              <w:rPr>
                <w:color w:val="auto"/>
                <w:szCs w:val="24"/>
                <w:highlight w:val="none"/>
                <w:lang w:eastAsia="zh-CN" w:bidi="ar"/>
              </w:rPr>
              <w:t>CJ 164-2002</w:t>
            </w:r>
            <w:r>
              <w:rPr>
                <w:rFonts w:hint="eastAsia"/>
                <w:color w:val="auto"/>
                <w:szCs w:val="24"/>
                <w:highlight w:val="none"/>
                <w:lang w:eastAsia="zh-CN" w:bidi="ar"/>
              </w:rPr>
              <w:t>《节水型生活用水器具标准规范》要求；</w:t>
            </w:r>
          </w:p>
          <w:p>
            <w:pPr>
              <w:spacing w:line="360" w:lineRule="auto"/>
              <w:rPr>
                <w:color w:val="auto"/>
                <w:szCs w:val="24"/>
                <w:highlight w:val="none"/>
                <w:lang w:eastAsia="zh-CN"/>
              </w:rPr>
            </w:pPr>
            <w:r>
              <w:rPr>
                <w:rFonts w:hint="eastAsia"/>
                <w:color w:val="auto"/>
                <w:szCs w:val="24"/>
                <w:highlight w:val="none"/>
                <w:lang w:eastAsia="zh-CN" w:bidi="ar"/>
              </w:rPr>
              <w:t>感应龙头：陶瓷片密封式水嘴，单冷型和一体化调温型、黄铜本体，表面镀铬。</w:t>
            </w:r>
          </w:p>
          <w:p>
            <w:pPr>
              <w:spacing w:line="360" w:lineRule="auto"/>
              <w:rPr>
                <w:color w:val="auto"/>
                <w:szCs w:val="24"/>
                <w:highlight w:val="none"/>
                <w:lang w:eastAsia="zh-CN"/>
              </w:rPr>
            </w:pPr>
            <w:r>
              <w:rPr>
                <w:rFonts w:hint="eastAsia"/>
                <w:color w:val="auto"/>
                <w:szCs w:val="24"/>
                <w:highlight w:val="none"/>
                <w:lang w:eastAsia="zh-CN" w:bidi="ar"/>
              </w:rPr>
              <w:t>感应距离自动调节（</w:t>
            </w:r>
            <w:r>
              <w:rPr>
                <w:color w:val="auto"/>
                <w:szCs w:val="24"/>
                <w:highlight w:val="none"/>
                <w:lang w:eastAsia="zh-CN" w:bidi="ar"/>
              </w:rPr>
              <w:t>15cm-30cm</w:t>
            </w:r>
            <w:r>
              <w:rPr>
                <w:rFonts w:hint="eastAsia"/>
                <w:color w:val="auto"/>
                <w:szCs w:val="24"/>
                <w:highlight w:val="none"/>
                <w:lang w:eastAsia="zh-CN" w:bidi="ar"/>
              </w:rPr>
              <w:t>）；</w:t>
            </w:r>
          </w:p>
          <w:p>
            <w:pPr>
              <w:spacing w:line="360" w:lineRule="auto"/>
              <w:rPr>
                <w:color w:val="auto"/>
                <w:szCs w:val="24"/>
                <w:highlight w:val="none"/>
                <w:lang w:eastAsia="zh-CN"/>
              </w:rPr>
            </w:pPr>
            <w:r>
              <w:rPr>
                <w:rFonts w:hint="eastAsia"/>
                <w:color w:val="auto"/>
                <w:szCs w:val="24"/>
                <w:highlight w:val="none"/>
                <w:lang w:eastAsia="zh-CN" w:bidi="ar"/>
              </w:rPr>
              <w:t>采用</w:t>
            </w:r>
            <w:r>
              <w:rPr>
                <w:color w:val="auto"/>
                <w:szCs w:val="24"/>
                <w:highlight w:val="none"/>
                <w:lang w:eastAsia="zh-CN" w:bidi="ar"/>
              </w:rPr>
              <w:t>220</w:t>
            </w:r>
            <w:r>
              <w:rPr>
                <w:rFonts w:hint="eastAsia"/>
                <w:color w:val="auto"/>
                <w:szCs w:val="24"/>
                <w:highlight w:val="none"/>
                <w:lang w:eastAsia="zh-CN" w:bidi="ar"/>
              </w:rPr>
              <w:t>伏交流电源；</w:t>
            </w:r>
            <w:r>
              <w:rPr>
                <w:color w:val="auto"/>
                <w:szCs w:val="24"/>
                <w:highlight w:val="none"/>
                <w:lang w:eastAsia="zh-CN" w:bidi="ar"/>
              </w:rPr>
              <w:t xml:space="preserve"> </w:t>
            </w:r>
          </w:p>
          <w:p>
            <w:pPr>
              <w:spacing w:line="360" w:lineRule="auto"/>
              <w:rPr>
                <w:color w:val="auto"/>
                <w:szCs w:val="24"/>
                <w:highlight w:val="none"/>
                <w:lang w:eastAsia="zh-CN"/>
              </w:rPr>
            </w:pPr>
            <w:r>
              <w:rPr>
                <w:rFonts w:hint="eastAsia"/>
                <w:color w:val="auto"/>
                <w:szCs w:val="24"/>
                <w:highlight w:val="none"/>
                <w:lang w:eastAsia="zh-CN" w:bidi="ar"/>
              </w:rPr>
              <w:t>恒流节水功能，高水压下更节水</w:t>
            </w:r>
            <w:r>
              <w:rPr>
                <w:color w:val="auto"/>
                <w:szCs w:val="24"/>
                <w:highlight w:val="none"/>
                <w:lang w:eastAsia="zh-CN" w:bidi="ar"/>
              </w:rPr>
              <w:t xml:space="preserve"> </w:t>
            </w:r>
            <w:r>
              <w:rPr>
                <w:rFonts w:hint="eastAsia"/>
                <w:color w:val="auto"/>
                <w:szCs w:val="24"/>
                <w:highlight w:val="none"/>
                <w:lang w:eastAsia="zh-CN" w:bidi="ar"/>
              </w:rPr>
              <w:t>；</w:t>
            </w:r>
          </w:p>
          <w:p>
            <w:pPr>
              <w:spacing w:line="360" w:lineRule="auto"/>
              <w:rPr>
                <w:color w:val="auto"/>
                <w:szCs w:val="24"/>
                <w:highlight w:val="none"/>
                <w:lang w:eastAsia="zh-CN"/>
              </w:rPr>
            </w:pPr>
            <w:r>
              <w:rPr>
                <w:rFonts w:hint="eastAsia"/>
                <w:color w:val="auto"/>
                <w:szCs w:val="24"/>
                <w:highlight w:val="none"/>
                <w:lang w:eastAsia="zh-CN" w:bidi="ar"/>
              </w:rPr>
              <w:t>超时自动关闭水源（连续冲水超过</w:t>
            </w:r>
            <w:r>
              <w:rPr>
                <w:color w:val="auto"/>
                <w:szCs w:val="24"/>
                <w:highlight w:val="none"/>
                <w:lang w:eastAsia="zh-CN" w:bidi="ar"/>
              </w:rPr>
              <w:t>60</w:t>
            </w:r>
            <w:r>
              <w:rPr>
                <w:rFonts w:hint="eastAsia"/>
                <w:color w:val="auto"/>
                <w:szCs w:val="24"/>
                <w:highlight w:val="none"/>
                <w:lang w:eastAsia="zh-CN" w:bidi="ar"/>
              </w:rPr>
              <w:t>秒，自动关水）；</w:t>
            </w:r>
            <w:r>
              <w:rPr>
                <w:color w:val="auto"/>
                <w:szCs w:val="24"/>
                <w:highlight w:val="none"/>
                <w:lang w:eastAsia="zh-CN" w:bidi="ar"/>
              </w:rPr>
              <w:t xml:space="preserve"> </w:t>
            </w:r>
          </w:p>
          <w:p>
            <w:pPr>
              <w:spacing w:line="360" w:lineRule="auto"/>
              <w:rPr>
                <w:color w:val="auto"/>
                <w:szCs w:val="24"/>
                <w:highlight w:val="none"/>
                <w:lang w:eastAsia="zh-CN"/>
              </w:rPr>
            </w:pPr>
            <w:r>
              <w:rPr>
                <w:rFonts w:hint="eastAsia"/>
                <w:color w:val="auto"/>
                <w:szCs w:val="24"/>
                <w:highlight w:val="none"/>
                <w:lang w:eastAsia="zh-CN" w:bidi="ar"/>
              </w:rPr>
              <w:t>防光线干扰控制，使用稳定，避免误操作</w:t>
            </w:r>
            <w:r>
              <w:rPr>
                <w:color w:val="auto"/>
                <w:szCs w:val="24"/>
                <w:highlight w:val="none"/>
                <w:lang w:eastAsia="zh-CN" w:bidi="ar"/>
              </w:rPr>
              <w:t xml:space="preserve"> </w:t>
            </w:r>
            <w:r>
              <w:rPr>
                <w:rFonts w:hint="eastAsia"/>
                <w:color w:val="auto"/>
                <w:szCs w:val="24"/>
                <w:highlight w:val="none"/>
                <w:lang w:eastAsia="zh-CN" w:bidi="ar"/>
              </w:rPr>
              <w:t>；</w:t>
            </w:r>
          </w:p>
          <w:p>
            <w:pPr>
              <w:spacing w:line="360" w:lineRule="auto"/>
              <w:rPr>
                <w:color w:val="auto"/>
                <w:szCs w:val="24"/>
                <w:highlight w:val="none"/>
                <w:lang w:eastAsia="zh-CN"/>
              </w:rPr>
            </w:pPr>
            <w:r>
              <w:rPr>
                <w:rFonts w:hint="eastAsia"/>
                <w:color w:val="auto"/>
                <w:szCs w:val="24"/>
                <w:highlight w:val="none"/>
                <w:lang w:eastAsia="zh-CN" w:bidi="ar"/>
              </w:rPr>
              <w:t>无电指示功能；</w:t>
            </w:r>
          </w:p>
          <w:p>
            <w:pPr>
              <w:spacing w:line="360" w:lineRule="auto"/>
              <w:rPr>
                <w:color w:val="auto"/>
                <w:szCs w:val="24"/>
                <w:highlight w:val="none"/>
                <w:lang w:eastAsia="zh-CN"/>
              </w:rPr>
            </w:pPr>
            <w:r>
              <w:rPr>
                <w:color w:val="auto"/>
                <w:szCs w:val="24"/>
                <w:highlight w:val="none"/>
                <w:lang w:eastAsia="zh-CN" w:bidi="ar"/>
              </w:rPr>
              <w:t>10</w:t>
            </w:r>
            <w:r>
              <w:rPr>
                <w:rFonts w:hint="eastAsia"/>
                <w:color w:val="auto"/>
                <w:szCs w:val="24"/>
                <w:highlight w:val="none"/>
                <w:lang w:eastAsia="zh-CN" w:bidi="ar"/>
              </w:rPr>
              <w:t>、尺寸、样式须经甲方、使用方、设计认可。</w:t>
            </w:r>
          </w:p>
          <w:p>
            <w:pPr>
              <w:spacing w:line="360" w:lineRule="auto"/>
              <w:rPr>
                <w:strike/>
                <w:color w:val="auto"/>
                <w:szCs w:val="24"/>
                <w:highlight w:val="none"/>
              </w:rPr>
            </w:pPr>
            <w:r>
              <w:rPr>
                <w:rFonts w:hint="eastAsia"/>
                <w:strike/>
                <w:color w:val="auto"/>
                <w:szCs w:val="24"/>
                <w:highlight w:val="none"/>
                <w:lang w:bidi="ar"/>
              </w:rPr>
              <w:t>需保修五年。</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552" w:hRule="atLeast"/>
        </w:trPr>
        <w:tc>
          <w:tcPr>
            <w:tcW w:w="701"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rPr>
                <w:color w:val="auto"/>
                <w:szCs w:val="24"/>
                <w:highlight w:val="none"/>
              </w:rPr>
            </w:pPr>
            <w:r>
              <w:rPr>
                <w:color w:val="auto"/>
                <w:szCs w:val="24"/>
                <w:highlight w:val="none"/>
                <w:lang w:bidi="ar"/>
              </w:rPr>
              <w:t>6</w:t>
            </w:r>
          </w:p>
        </w:tc>
        <w:tc>
          <w:tcPr>
            <w:tcW w:w="1418"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rPr>
                <w:color w:val="auto"/>
                <w:szCs w:val="24"/>
                <w:highlight w:val="none"/>
              </w:rPr>
            </w:pPr>
            <w:r>
              <w:rPr>
                <w:rFonts w:hint="eastAsia"/>
                <w:color w:val="auto"/>
                <w:szCs w:val="24"/>
                <w:highlight w:val="none"/>
                <w:lang w:bidi="ar"/>
              </w:rPr>
              <w:t>医用感应式水龙头</w:t>
            </w:r>
          </w:p>
        </w:tc>
        <w:tc>
          <w:tcPr>
            <w:tcW w:w="7512"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rPr>
                <w:color w:val="auto"/>
                <w:szCs w:val="24"/>
                <w:highlight w:val="none"/>
                <w:lang w:eastAsia="zh-CN"/>
              </w:rPr>
            </w:pPr>
            <w:r>
              <w:rPr>
                <w:rFonts w:hint="eastAsia"/>
                <w:color w:val="auto"/>
                <w:szCs w:val="24"/>
                <w:highlight w:val="none"/>
                <w:lang w:eastAsia="zh-CN" w:bidi="ar"/>
              </w:rPr>
              <w:t>技术要求：</w:t>
            </w:r>
          </w:p>
          <w:p>
            <w:pPr>
              <w:spacing w:line="360" w:lineRule="auto"/>
              <w:rPr>
                <w:color w:val="auto"/>
                <w:szCs w:val="24"/>
                <w:highlight w:val="none"/>
                <w:lang w:eastAsia="zh-CN"/>
              </w:rPr>
            </w:pPr>
            <w:r>
              <w:rPr>
                <w:color w:val="auto"/>
                <w:szCs w:val="24"/>
                <w:highlight w:val="none"/>
                <w:lang w:eastAsia="zh-CN" w:bidi="ar"/>
              </w:rPr>
              <w:t>1</w:t>
            </w:r>
            <w:r>
              <w:rPr>
                <w:rFonts w:hint="eastAsia"/>
                <w:color w:val="auto"/>
                <w:szCs w:val="24"/>
                <w:highlight w:val="none"/>
                <w:lang w:eastAsia="zh-CN" w:bidi="ar"/>
              </w:rPr>
              <w:t>、产品符合</w:t>
            </w:r>
            <w:r>
              <w:rPr>
                <w:color w:val="auto"/>
                <w:szCs w:val="24"/>
                <w:highlight w:val="none"/>
                <w:lang w:eastAsia="zh-CN" w:bidi="ar"/>
              </w:rPr>
              <w:t>CJ 164-2002</w:t>
            </w:r>
            <w:r>
              <w:rPr>
                <w:rFonts w:hint="eastAsia"/>
                <w:color w:val="auto"/>
                <w:szCs w:val="24"/>
                <w:highlight w:val="none"/>
                <w:lang w:eastAsia="zh-CN" w:bidi="ar"/>
              </w:rPr>
              <w:t>《节水型生活用水器具标准规范》要求；</w:t>
            </w:r>
          </w:p>
          <w:p>
            <w:pPr>
              <w:spacing w:line="360" w:lineRule="auto"/>
              <w:rPr>
                <w:color w:val="auto"/>
                <w:szCs w:val="24"/>
                <w:highlight w:val="none"/>
                <w:lang w:eastAsia="zh-CN"/>
              </w:rPr>
            </w:pPr>
            <w:r>
              <w:rPr>
                <w:color w:val="auto"/>
                <w:szCs w:val="24"/>
                <w:highlight w:val="none"/>
                <w:lang w:eastAsia="zh-CN" w:bidi="ar"/>
              </w:rPr>
              <w:t>3</w:t>
            </w:r>
            <w:r>
              <w:rPr>
                <w:rFonts w:hint="eastAsia"/>
                <w:color w:val="auto"/>
                <w:szCs w:val="24"/>
                <w:highlight w:val="none"/>
                <w:lang w:eastAsia="zh-CN" w:bidi="ar"/>
              </w:rPr>
              <w:t>、水龙头：陶瓷片密封式水嘴，黄铜本体，表面镀铬。外形样式见图片或实物样板。</w:t>
            </w:r>
          </w:p>
          <w:p>
            <w:pPr>
              <w:spacing w:line="360" w:lineRule="auto"/>
              <w:rPr>
                <w:color w:val="auto"/>
                <w:szCs w:val="24"/>
                <w:highlight w:val="none"/>
                <w:lang w:eastAsia="zh-CN"/>
              </w:rPr>
            </w:pPr>
            <w:r>
              <w:rPr>
                <w:color w:val="auto"/>
                <w:szCs w:val="24"/>
                <w:highlight w:val="none"/>
                <w:lang w:eastAsia="zh-CN" w:bidi="ar"/>
              </w:rPr>
              <w:t>4</w:t>
            </w:r>
            <w:r>
              <w:rPr>
                <w:rFonts w:hint="eastAsia"/>
                <w:color w:val="auto"/>
                <w:szCs w:val="24"/>
                <w:highlight w:val="none"/>
                <w:lang w:eastAsia="zh-CN" w:bidi="ar"/>
              </w:rPr>
              <w:t>、感应方式应满足医院专用需求，第一次感应龙头常开，第二次感应龙头常闭。</w:t>
            </w:r>
          </w:p>
          <w:p>
            <w:pPr>
              <w:spacing w:line="360" w:lineRule="auto"/>
              <w:rPr>
                <w:color w:val="auto"/>
                <w:szCs w:val="24"/>
                <w:highlight w:val="none"/>
                <w:lang w:eastAsia="zh-CN"/>
              </w:rPr>
            </w:pPr>
            <w:r>
              <w:rPr>
                <w:color w:val="auto"/>
                <w:szCs w:val="24"/>
                <w:highlight w:val="none"/>
                <w:lang w:eastAsia="zh-CN" w:bidi="ar"/>
              </w:rPr>
              <w:t>5</w:t>
            </w:r>
            <w:r>
              <w:rPr>
                <w:rFonts w:hint="eastAsia"/>
                <w:color w:val="auto"/>
                <w:szCs w:val="24"/>
                <w:highlight w:val="none"/>
                <w:lang w:eastAsia="zh-CN" w:bidi="ar"/>
              </w:rPr>
              <w:t>．尺寸、样式须经甲方、使用方、设计认可。</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662" w:hRule="atLeast"/>
        </w:trPr>
        <w:tc>
          <w:tcPr>
            <w:tcW w:w="701"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rPr>
                <w:color w:val="auto"/>
                <w:szCs w:val="24"/>
                <w:highlight w:val="none"/>
              </w:rPr>
            </w:pPr>
            <w:r>
              <w:rPr>
                <w:color w:val="auto"/>
                <w:szCs w:val="24"/>
                <w:highlight w:val="none"/>
                <w:lang w:bidi="ar"/>
              </w:rPr>
              <w:t>7</w:t>
            </w:r>
          </w:p>
        </w:tc>
        <w:tc>
          <w:tcPr>
            <w:tcW w:w="1418"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rPr>
                <w:color w:val="auto"/>
                <w:szCs w:val="24"/>
                <w:highlight w:val="none"/>
              </w:rPr>
            </w:pPr>
            <w:r>
              <w:rPr>
                <w:rFonts w:hint="eastAsia"/>
                <w:color w:val="auto"/>
                <w:szCs w:val="24"/>
                <w:highlight w:val="none"/>
                <w:lang w:bidi="ar"/>
              </w:rPr>
              <w:t>坐式大便器</w:t>
            </w:r>
          </w:p>
        </w:tc>
        <w:tc>
          <w:tcPr>
            <w:tcW w:w="7512"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rPr>
                <w:color w:val="auto"/>
                <w:szCs w:val="24"/>
                <w:highlight w:val="none"/>
                <w:lang w:eastAsia="zh-CN"/>
              </w:rPr>
            </w:pPr>
            <w:r>
              <w:rPr>
                <w:rFonts w:hint="eastAsia"/>
                <w:color w:val="auto"/>
                <w:szCs w:val="24"/>
                <w:highlight w:val="none"/>
                <w:lang w:eastAsia="zh-CN" w:bidi="ar"/>
              </w:rPr>
              <w:t>技术要求：</w:t>
            </w:r>
          </w:p>
          <w:p>
            <w:pPr>
              <w:spacing w:line="360" w:lineRule="auto"/>
              <w:rPr>
                <w:color w:val="auto"/>
                <w:szCs w:val="24"/>
                <w:highlight w:val="none"/>
                <w:lang w:eastAsia="zh-CN"/>
              </w:rPr>
            </w:pPr>
            <w:r>
              <w:rPr>
                <w:color w:val="auto"/>
                <w:szCs w:val="24"/>
                <w:highlight w:val="none"/>
                <w:lang w:eastAsia="zh-CN" w:bidi="ar"/>
              </w:rPr>
              <w:t>1</w:t>
            </w:r>
            <w:r>
              <w:rPr>
                <w:rFonts w:hint="eastAsia"/>
                <w:color w:val="auto"/>
                <w:szCs w:val="24"/>
                <w:highlight w:val="none"/>
                <w:lang w:eastAsia="zh-CN" w:bidi="ar"/>
              </w:rPr>
              <w:t>、产品符合</w:t>
            </w:r>
            <w:r>
              <w:rPr>
                <w:color w:val="auto"/>
                <w:szCs w:val="24"/>
                <w:highlight w:val="none"/>
                <w:lang w:eastAsia="zh-CN" w:bidi="ar"/>
              </w:rPr>
              <w:t>CJ 164-2002</w:t>
            </w:r>
            <w:r>
              <w:rPr>
                <w:rFonts w:hint="eastAsia"/>
                <w:color w:val="auto"/>
                <w:szCs w:val="24"/>
                <w:highlight w:val="none"/>
                <w:lang w:eastAsia="zh-CN" w:bidi="ar"/>
              </w:rPr>
              <w:t>《节水型生活用水器具标准规范》要求；</w:t>
            </w:r>
          </w:p>
          <w:p>
            <w:pPr>
              <w:spacing w:line="360" w:lineRule="auto"/>
              <w:rPr>
                <w:color w:val="auto"/>
                <w:szCs w:val="24"/>
                <w:highlight w:val="none"/>
                <w:lang w:eastAsia="zh-CN"/>
              </w:rPr>
            </w:pPr>
            <w:r>
              <w:rPr>
                <w:color w:val="auto"/>
                <w:szCs w:val="24"/>
                <w:highlight w:val="none"/>
                <w:lang w:eastAsia="zh-CN" w:bidi="ar"/>
              </w:rPr>
              <w:t>2</w:t>
            </w:r>
            <w:r>
              <w:rPr>
                <w:rFonts w:hint="eastAsia"/>
                <w:color w:val="auto"/>
                <w:szCs w:val="24"/>
                <w:highlight w:val="none"/>
                <w:lang w:eastAsia="zh-CN" w:bidi="ar"/>
              </w:rPr>
              <w:t>、智洁釉面或纳米抗菌陶瓷。</w:t>
            </w:r>
          </w:p>
          <w:p>
            <w:pPr>
              <w:spacing w:line="360" w:lineRule="auto"/>
              <w:rPr>
                <w:color w:val="auto"/>
                <w:szCs w:val="24"/>
                <w:highlight w:val="none"/>
                <w:lang w:eastAsia="zh-CN"/>
              </w:rPr>
            </w:pPr>
            <w:r>
              <w:rPr>
                <w:color w:val="auto"/>
                <w:szCs w:val="24"/>
                <w:highlight w:val="none"/>
                <w:lang w:eastAsia="zh-CN" w:bidi="ar"/>
              </w:rPr>
              <w:t>3</w:t>
            </w:r>
            <w:r>
              <w:rPr>
                <w:rFonts w:hint="eastAsia"/>
                <w:color w:val="auto"/>
                <w:szCs w:val="24"/>
                <w:highlight w:val="none"/>
                <w:lang w:eastAsia="zh-CN" w:bidi="ar"/>
              </w:rPr>
              <w:t>、采用大、小便分档冲洗结构。</w:t>
            </w:r>
          </w:p>
          <w:p>
            <w:pPr>
              <w:spacing w:line="360" w:lineRule="auto"/>
              <w:rPr>
                <w:color w:val="auto"/>
                <w:szCs w:val="24"/>
                <w:highlight w:val="none"/>
                <w:lang w:eastAsia="zh-CN"/>
              </w:rPr>
            </w:pPr>
            <w:r>
              <w:rPr>
                <w:color w:val="auto"/>
                <w:szCs w:val="24"/>
                <w:highlight w:val="none"/>
                <w:lang w:eastAsia="zh-CN" w:bidi="ar"/>
              </w:rPr>
              <w:t>4</w:t>
            </w:r>
            <w:r>
              <w:rPr>
                <w:rFonts w:hint="eastAsia"/>
                <w:color w:val="auto"/>
                <w:szCs w:val="24"/>
                <w:highlight w:val="none"/>
                <w:lang w:eastAsia="zh-CN" w:bidi="ar"/>
              </w:rPr>
              <w:t>、水箱进水阀要求：静音，充水迅速，水位可调，抗杂质。</w:t>
            </w:r>
          </w:p>
          <w:p>
            <w:pPr>
              <w:spacing w:line="360" w:lineRule="auto"/>
              <w:rPr>
                <w:color w:val="auto"/>
                <w:szCs w:val="24"/>
                <w:highlight w:val="none"/>
                <w:lang w:eastAsia="zh-CN"/>
              </w:rPr>
            </w:pPr>
            <w:r>
              <w:rPr>
                <w:color w:val="auto"/>
                <w:szCs w:val="24"/>
                <w:highlight w:val="none"/>
                <w:lang w:eastAsia="zh-CN" w:bidi="ar"/>
              </w:rPr>
              <w:t>5</w:t>
            </w:r>
            <w:r>
              <w:rPr>
                <w:rFonts w:hint="eastAsia"/>
                <w:color w:val="auto"/>
                <w:szCs w:val="24"/>
                <w:highlight w:val="none"/>
                <w:lang w:eastAsia="zh-CN" w:bidi="ar"/>
              </w:rPr>
              <w:t>、水箱配件采用吉博力水箱配件或同品质水箱配件。</w:t>
            </w:r>
          </w:p>
          <w:p>
            <w:pPr>
              <w:spacing w:line="360" w:lineRule="auto"/>
              <w:rPr>
                <w:color w:val="auto"/>
                <w:szCs w:val="24"/>
                <w:highlight w:val="none"/>
                <w:lang w:eastAsia="zh-CN"/>
              </w:rPr>
            </w:pPr>
            <w:r>
              <w:rPr>
                <w:color w:val="auto"/>
                <w:szCs w:val="24"/>
                <w:highlight w:val="none"/>
                <w:lang w:eastAsia="zh-CN" w:bidi="ar"/>
              </w:rPr>
              <w:t>6</w:t>
            </w:r>
            <w:r>
              <w:rPr>
                <w:rFonts w:hint="eastAsia"/>
                <w:color w:val="auto"/>
                <w:szCs w:val="24"/>
                <w:highlight w:val="none"/>
                <w:lang w:eastAsia="zh-CN" w:bidi="ar"/>
              </w:rPr>
              <w:t>、排污管内壁施釉；</w:t>
            </w:r>
          </w:p>
          <w:p>
            <w:pPr>
              <w:spacing w:line="360" w:lineRule="auto"/>
              <w:rPr>
                <w:color w:val="auto"/>
                <w:szCs w:val="24"/>
                <w:highlight w:val="none"/>
                <w:lang w:eastAsia="zh-CN"/>
              </w:rPr>
            </w:pPr>
            <w:r>
              <w:rPr>
                <w:color w:val="auto"/>
                <w:szCs w:val="24"/>
                <w:highlight w:val="none"/>
                <w:lang w:eastAsia="zh-CN" w:bidi="ar"/>
              </w:rPr>
              <w:t>7</w:t>
            </w:r>
            <w:r>
              <w:rPr>
                <w:rFonts w:hint="eastAsia"/>
                <w:color w:val="auto"/>
                <w:szCs w:val="24"/>
                <w:highlight w:val="none"/>
                <w:lang w:eastAsia="zh-CN" w:bidi="ar"/>
              </w:rPr>
              <w:t>、水封深度不小于</w:t>
            </w:r>
            <w:r>
              <w:rPr>
                <w:color w:val="auto"/>
                <w:szCs w:val="24"/>
                <w:highlight w:val="none"/>
                <w:lang w:eastAsia="zh-CN" w:bidi="ar"/>
              </w:rPr>
              <w:t>50mm</w:t>
            </w:r>
            <w:r>
              <w:rPr>
                <w:rFonts w:hint="eastAsia"/>
                <w:color w:val="auto"/>
                <w:szCs w:val="24"/>
                <w:highlight w:val="none"/>
                <w:lang w:eastAsia="zh-CN" w:bidi="ar"/>
              </w:rPr>
              <w:t>；</w:t>
            </w:r>
          </w:p>
          <w:p>
            <w:pPr>
              <w:spacing w:line="360" w:lineRule="auto"/>
              <w:rPr>
                <w:color w:val="auto"/>
                <w:szCs w:val="24"/>
                <w:highlight w:val="none"/>
                <w:lang w:eastAsia="zh-CN"/>
              </w:rPr>
            </w:pPr>
            <w:r>
              <w:rPr>
                <w:color w:val="auto"/>
                <w:szCs w:val="24"/>
                <w:highlight w:val="none"/>
                <w:lang w:eastAsia="zh-CN" w:bidi="ar"/>
              </w:rPr>
              <w:t>8</w:t>
            </w:r>
            <w:r>
              <w:rPr>
                <w:rFonts w:hint="eastAsia"/>
                <w:color w:val="auto"/>
                <w:szCs w:val="24"/>
                <w:highlight w:val="none"/>
                <w:lang w:eastAsia="zh-CN" w:bidi="ar"/>
              </w:rPr>
              <w:t>、尺寸、样式须经甲方、使用方、设计认可。</w:t>
            </w:r>
          </w:p>
          <w:p>
            <w:pPr>
              <w:spacing w:line="360" w:lineRule="auto"/>
              <w:rPr>
                <w:color w:val="auto"/>
                <w:szCs w:val="24"/>
                <w:highlight w:val="none"/>
                <w:lang w:eastAsia="zh-CN"/>
              </w:rPr>
            </w:pPr>
            <w:r>
              <w:rPr>
                <w:color w:val="auto"/>
                <w:szCs w:val="24"/>
                <w:highlight w:val="none"/>
                <w:lang w:eastAsia="zh-CN" w:bidi="ar"/>
              </w:rPr>
              <w:t>9</w:t>
            </w:r>
            <w:r>
              <w:rPr>
                <w:rFonts w:hint="eastAsia"/>
                <w:color w:val="auto"/>
                <w:szCs w:val="24"/>
                <w:highlight w:val="none"/>
                <w:lang w:eastAsia="zh-CN" w:bidi="ar"/>
              </w:rPr>
              <w:t>、颜色为白色。</w:t>
            </w:r>
          </w:p>
          <w:p>
            <w:pPr>
              <w:spacing w:line="360" w:lineRule="auto"/>
              <w:rPr>
                <w:color w:val="auto"/>
                <w:szCs w:val="24"/>
                <w:highlight w:val="none"/>
                <w:lang w:eastAsia="zh-CN"/>
              </w:rPr>
            </w:pPr>
            <w:r>
              <w:rPr>
                <w:color w:val="auto"/>
                <w:szCs w:val="24"/>
                <w:highlight w:val="none"/>
                <w:lang w:eastAsia="zh-CN" w:bidi="ar"/>
              </w:rPr>
              <w:t>10</w:t>
            </w:r>
            <w:r>
              <w:rPr>
                <w:rFonts w:hint="eastAsia"/>
                <w:color w:val="auto"/>
                <w:szCs w:val="24"/>
                <w:highlight w:val="none"/>
                <w:lang w:eastAsia="zh-CN" w:bidi="ar"/>
              </w:rPr>
              <w:t>、符合设计及有关规范要求。</w:t>
            </w:r>
          </w:p>
          <w:p>
            <w:pPr>
              <w:spacing w:line="360" w:lineRule="auto"/>
              <w:rPr>
                <w:color w:val="auto"/>
                <w:szCs w:val="24"/>
                <w:highlight w:val="none"/>
                <w:lang w:eastAsia="zh-CN"/>
              </w:rPr>
            </w:pPr>
            <w:r>
              <w:rPr>
                <w:color w:val="auto"/>
                <w:szCs w:val="24"/>
                <w:highlight w:val="none"/>
                <w:lang w:eastAsia="zh-CN" w:bidi="ar"/>
              </w:rPr>
              <w:t>11</w:t>
            </w:r>
            <w:r>
              <w:rPr>
                <w:rFonts w:hint="eastAsia"/>
                <w:color w:val="auto"/>
                <w:szCs w:val="24"/>
                <w:highlight w:val="none"/>
                <w:lang w:eastAsia="zh-CN" w:bidi="ar"/>
              </w:rPr>
              <w:t>、用途及使用部位：详见设计图及招标文件。</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246" w:hRule="atLeast"/>
        </w:trPr>
        <w:tc>
          <w:tcPr>
            <w:tcW w:w="701"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rPr>
                <w:color w:val="auto"/>
                <w:szCs w:val="24"/>
                <w:highlight w:val="none"/>
              </w:rPr>
            </w:pPr>
            <w:r>
              <w:rPr>
                <w:color w:val="auto"/>
                <w:szCs w:val="24"/>
                <w:highlight w:val="none"/>
                <w:lang w:bidi="ar"/>
              </w:rPr>
              <w:t>8</w:t>
            </w:r>
          </w:p>
        </w:tc>
        <w:tc>
          <w:tcPr>
            <w:tcW w:w="1418"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rPr>
                <w:color w:val="auto"/>
                <w:szCs w:val="24"/>
                <w:highlight w:val="none"/>
              </w:rPr>
            </w:pPr>
            <w:r>
              <w:rPr>
                <w:rFonts w:hint="eastAsia"/>
                <w:color w:val="auto"/>
                <w:szCs w:val="24"/>
                <w:highlight w:val="none"/>
                <w:lang w:bidi="ar"/>
              </w:rPr>
              <w:t>淋浴器</w:t>
            </w:r>
          </w:p>
        </w:tc>
        <w:tc>
          <w:tcPr>
            <w:tcW w:w="7512"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rPr>
                <w:color w:val="auto"/>
                <w:szCs w:val="24"/>
                <w:highlight w:val="none"/>
                <w:lang w:eastAsia="zh-CN"/>
              </w:rPr>
            </w:pPr>
            <w:r>
              <w:rPr>
                <w:rFonts w:hint="eastAsia"/>
                <w:color w:val="auto"/>
                <w:szCs w:val="24"/>
                <w:highlight w:val="none"/>
                <w:lang w:eastAsia="zh-CN" w:bidi="ar"/>
              </w:rPr>
              <w:t>技术要求：</w:t>
            </w:r>
          </w:p>
          <w:p>
            <w:pPr>
              <w:spacing w:line="360" w:lineRule="auto"/>
              <w:rPr>
                <w:color w:val="auto"/>
                <w:szCs w:val="24"/>
                <w:highlight w:val="none"/>
                <w:lang w:eastAsia="zh-CN"/>
              </w:rPr>
            </w:pPr>
            <w:r>
              <w:rPr>
                <w:rFonts w:hint="eastAsia"/>
                <w:color w:val="auto"/>
                <w:szCs w:val="24"/>
                <w:highlight w:val="none"/>
                <w:lang w:eastAsia="zh-CN" w:bidi="ar"/>
              </w:rPr>
              <w:t>产品符合</w:t>
            </w:r>
            <w:r>
              <w:rPr>
                <w:color w:val="auto"/>
                <w:szCs w:val="24"/>
                <w:highlight w:val="none"/>
                <w:lang w:eastAsia="zh-CN" w:bidi="ar"/>
              </w:rPr>
              <w:t>CJ 164-2002</w:t>
            </w:r>
            <w:r>
              <w:rPr>
                <w:rFonts w:hint="eastAsia"/>
                <w:color w:val="auto"/>
                <w:szCs w:val="24"/>
                <w:highlight w:val="none"/>
                <w:lang w:eastAsia="zh-CN" w:bidi="ar"/>
              </w:rPr>
              <w:t>《节水型生活用水器具标准规范》要求。</w:t>
            </w:r>
          </w:p>
          <w:p>
            <w:pPr>
              <w:spacing w:line="360" w:lineRule="auto"/>
              <w:rPr>
                <w:color w:val="auto"/>
                <w:szCs w:val="24"/>
                <w:highlight w:val="none"/>
                <w:lang w:eastAsia="zh-CN"/>
              </w:rPr>
            </w:pPr>
            <w:r>
              <w:rPr>
                <w:rFonts w:hint="eastAsia"/>
                <w:color w:val="auto"/>
                <w:szCs w:val="24"/>
                <w:highlight w:val="none"/>
                <w:lang w:eastAsia="zh-CN" w:bidi="ar"/>
              </w:rPr>
              <w:t>绿色建筑应符合淋浴器用水效率限定值及用水效率等级（</w:t>
            </w:r>
            <w:r>
              <w:rPr>
                <w:color w:val="auto"/>
                <w:szCs w:val="24"/>
                <w:highlight w:val="none"/>
                <w:lang w:eastAsia="zh-CN" w:bidi="ar"/>
              </w:rPr>
              <w:t>GB28378-2012</w:t>
            </w:r>
            <w:r>
              <w:rPr>
                <w:rFonts w:hint="eastAsia"/>
                <w:color w:val="auto"/>
                <w:szCs w:val="24"/>
                <w:highlight w:val="none"/>
                <w:lang w:eastAsia="zh-CN" w:bidi="ar"/>
              </w:rPr>
              <w:t>）节水</w:t>
            </w:r>
            <w:r>
              <w:rPr>
                <w:color w:val="auto"/>
                <w:szCs w:val="24"/>
                <w:highlight w:val="none"/>
                <w:lang w:eastAsia="zh-CN" w:bidi="ar"/>
              </w:rPr>
              <w:t>2</w:t>
            </w:r>
            <w:r>
              <w:rPr>
                <w:rFonts w:hint="eastAsia"/>
                <w:color w:val="auto"/>
                <w:szCs w:val="24"/>
                <w:highlight w:val="none"/>
                <w:lang w:eastAsia="zh-CN" w:bidi="ar"/>
              </w:rPr>
              <w:t>级的规定。</w:t>
            </w:r>
          </w:p>
          <w:p>
            <w:pPr>
              <w:spacing w:line="360" w:lineRule="auto"/>
              <w:rPr>
                <w:color w:val="auto"/>
                <w:szCs w:val="24"/>
                <w:highlight w:val="none"/>
                <w:lang w:eastAsia="zh-CN"/>
              </w:rPr>
            </w:pPr>
            <w:r>
              <w:rPr>
                <w:rFonts w:hint="eastAsia"/>
                <w:color w:val="auto"/>
                <w:szCs w:val="24"/>
                <w:highlight w:val="none"/>
                <w:lang w:eastAsia="zh-CN" w:bidi="ar"/>
              </w:rPr>
              <w:t>放水龙头采用黄铜材质本体，表面镀铬。</w:t>
            </w:r>
          </w:p>
          <w:p>
            <w:pPr>
              <w:spacing w:line="360" w:lineRule="auto"/>
              <w:rPr>
                <w:color w:val="auto"/>
                <w:szCs w:val="24"/>
                <w:highlight w:val="none"/>
                <w:lang w:eastAsia="zh-CN"/>
              </w:rPr>
            </w:pPr>
            <w:r>
              <w:rPr>
                <w:rFonts w:hint="eastAsia"/>
                <w:color w:val="auto"/>
                <w:szCs w:val="24"/>
                <w:highlight w:val="none"/>
                <w:lang w:eastAsia="zh-CN" w:bidi="ar"/>
              </w:rPr>
              <w:t>陶瓷阀芯，冷热水调节方便。</w:t>
            </w:r>
          </w:p>
          <w:p>
            <w:pPr>
              <w:spacing w:line="360" w:lineRule="auto"/>
              <w:rPr>
                <w:color w:val="auto"/>
                <w:szCs w:val="24"/>
                <w:highlight w:val="none"/>
                <w:lang w:eastAsia="zh-CN"/>
              </w:rPr>
            </w:pPr>
            <w:r>
              <w:rPr>
                <w:rFonts w:hint="eastAsia"/>
                <w:color w:val="auto"/>
                <w:szCs w:val="24"/>
                <w:highlight w:val="none"/>
                <w:lang w:eastAsia="zh-CN" w:bidi="ar"/>
              </w:rPr>
              <w:t>花洒插座位置可自由调节。</w:t>
            </w:r>
          </w:p>
          <w:p>
            <w:pPr>
              <w:spacing w:line="360" w:lineRule="auto"/>
              <w:rPr>
                <w:color w:val="auto"/>
                <w:szCs w:val="24"/>
                <w:highlight w:val="none"/>
                <w:lang w:eastAsia="zh-CN"/>
              </w:rPr>
            </w:pPr>
            <w:r>
              <w:rPr>
                <w:rFonts w:hint="eastAsia"/>
                <w:color w:val="auto"/>
                <w:szCs w:val="24"/>
                <w:highlight w:val="none"/>
                <w:lang w:eastAsia="zh-CN" w:bidi="ar"/>
              </w:rPr>
              <w:t>铜质镀铬滑杆（</w:t>
            </w:r>
            <w:r>
              <w:rPr>
                <w:color w:val="auto"/>
                <w:szCs w:val="24"/>
                <w:highlight w:val="none"/>
                <w:lang w:eastAsia="zh-CN" w:bidi="ar"/>
              </w:rPr>
              <w:t>0.8mm</w:t>
            </w:r>
            <w:r>
              <w:rPr>
                <w:rFonts w:hint="eastAsia"/>
                <w:color w:val="auto"/>
                <w:szCs w:val="24"/>
                <w:highlight w:val="none"/>
                <w:lang w:eastAsia="zh-CN" w:bidi="ar"/>
              </w:rPr>
              <w:t>加厚铜管）。</w:t>
            </w:r>
          </w:p>
          <w:p>
            <w:pPr>
              <w:spacing w:line="360" w:lineRule="auto"/>
              <w:rPr>
                <w:color w:val="auto"/>
                <w:szCs w:val="24"/>
                <w:highlight w:val="none"/>
                <w:lang w:eastAsia="zh-CN"/>
              </w:rPr>
            </w:pPr>
            <w:r>
              <w:rPr>
                <w:rFonts w:hint="eastAsia"/>
                <w:color w:val="auto"/>
                <w:szCs w:val="24"/>
                <w:highlight w:val="none"/>
                <w:lang w:eastAsia="zh-CN" w:bidi="ar"/>
              </w:rPr>
              <w:t>尺寸、样式须经甲方、使用方、设计认可。</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385" w:hRule="atLeast"/>
        </w:trPr>
        <w:tc>
          <w:tcPr>
            <w:tcW w:w="701"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rPr>
                <w:color w:val="auto"/>
                <w:szCs w:val="24"/>
                <w:highlight w:val="none"/>
              </w:rPr>
            </w:pPr>
            <w:r>
              <w:rPr>
                <w:color w:val="auto"/>
                <w:szCs w:val="24"/>
                <w:highlight w:val="none"/>
                <w:lang w:bidi="ar"/>
              </w:rPr>
              <w:t>9</w:t>
            </w:r>
          </w:p>
        </w:tc>
        <w:tc>
          <w:tcPr>
            <w:tcW w:w="1418"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rPr>
                <w:color w:val="auto"/>
                <w:szCs w:val="24"/>
                <w:highlight w:val="none"/>
              </w:rPr>
            </w:pPr>
            <w:r>
              <w:rPr>
                <w:rFonts w:hint="eastAsia"/>
                <w:color w:val="auto"/>
                <w:szCs w:val="24"/>
                <w:highlight w:val="none"/>
                <w:lang w:bidi="ar"/>
              </w:rPr>
              <w:t>不锈钢机械密闭地漏</w:t>
            </w:r>
          </w:p>
        </w:tc>
        <w:tc>
          <w:tcPr>
            <w:tcW w:w="7512"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rPr>
                <w:color w:val="auto"/>
                <w:szCs w:val="24"/>
                <w:highlight w:val="none"/>
                <w:lang w:eastAsia="zh-CN"/>
              </w:rPr>
            </w:pPr>
            <w:r>
              <w:rPr>
                <w:rFonts w:hint="eastAsia"/>
                <w:color w:val="auto"/>
                <w:szCs w:val="24"/>
                <w:highlight w:val="none"/>
                <w:lang w:eastAsia="zh-CN" w:bidi="ar"/>
              </w:rPr>
              <w:t>技术要求：</w:t>
            </w:r>
          </w:p>
          <w:p>
            <w:pPr>
              <w:spacing w:line="360" w:lineRule="auto"/>
              <w:rPr>
                <w:color w:val="auto"/>
                <w:szCs w:val="24"/>
                <w:highlight w:val="none"/>
                <w:lang w:eastAsia="zh-CN"/>
              </w:rPr>
            </w:pPr>
            <w:r>
              <w:rPr>
                <w:color w:val="auto"/>
                <w:szCs w:val="24"/>
                <w:highlight w:val="none"/>
                <w:lang w:eastAsia="zh-CN" w:bidi="ar"/>
              </w:rPr>
              <w:t>1</w:t>
            </w:r>
            <w:r>
              <w:rPr>
                <w:rFonts w:hint="eastAsia"/>
                <w:color w:val="auto"/>
                <w:szCs w:val="24"/>
                <w:highlight w:val="none"/>
                <w:lang w:eastAsia="zh-CN" w:bidi="ar"/>
              </w:rPr>
              <w:t>、采用</w:t>
            </w:r>
            <w:r>
              <w:rPr>
                <w:color w:val="auto"/>
                <w:szCs w:val="24"/>
                <w:highlight w:val="none"/>
                <w:lang w:eastAsia="zh-CN" w:bidi="ar"/>
              </w:rPr>
              <w:t>304</w:t>
            </w:r>
            <w:r>
              <w:rPr>
                <w:rFonts w:hint="eastAsia"/>
                <w:color w:val="auto"/>
                <w:szCs w:val="24"/>
                <w:highlight w:val="none"/>
                <w:lang w:eastAsia="zh-CN" w:bidi="ar"/>
              </w:rPr>
              <w:t>不锈钢材质制造的国优产品。</w:t>
            </w:r>
          </w:p>
          <w:p>
            <w:pPr>
              <w:spacing w:line="360" w:lineRule="auto"/>
              <w:rPr>
                <w:color w:val="auto"/>
                <w:szCs w:val="24"/>
                <w:highlight w:val="none"/>
                <w:lang w:eastAsia="zh-CN"/>
              </w:rPr>
            </w:pPr>
            <w:r>
              <w:rPr>
                <w:color w:val="auto"/>
                <w:szCs w:val="24"/>
                <w:highlight w:val="none"/>
                <w:lang w:eastAsia="zh-CN" w:bidi="ar"/>
              </w:rPr>
              <w:t>2</w:t>
            </w:r>
            <w:r>
              <w:rPr>
                <w:rFonts w:hint="eastAsia"/>
                <w:color w:val="auto"/>
                <w:szCs w:val="24"/>
                <w:highlight w:val="none"/>
                <w:lang w:eastAsia="zh-CN" w:bidi="ar"/>
              </w:rPr>
              <w:t>、符合国家或行业的生产技术标准。</w:t>
            </w:r>
          </w:p>
          <w:p>
            <w:pPr>
              <w:spacing w:line="360" w:lineRule="auto"/>
              <w:rPr>
                <w:color w:val="auto"/>
                <w:szCs w:val="24"/>
                <w:highlight w:val="none"/>
                <w:lang w:eastAsia="zh-CN"/>
              </w:rPr>
            </w:pPr>
            <w:r>
              <w:rPr>
                <w:color w:val="auto"/>
                <w:szCs w:val="24"/>
                <w:highlight w:val="none"/>
                <w:lang w:eastAsia="zh-CN" w:bidi="ar"/>
              </w:rPr>
              <w:t>3</w:t>
            </w:r>
            <w:r>
              <w:rPr>
                <w:rFonts w:hint="eastAsia"/>
                <w:color w:val="auto"/>
                <w:szCs w:val="24"/>
                <w:highlight w:val="none"/>
                <w:lang w:eastAsia="zh-CN" w:bidi="ar"/>
              </w:rPr>
              <w:t>、规格、尺寸要符合设计及有关规范要求。</w:t>
            </w:r>
          </w:p>
          <w:p>
            <w:pPr>
              <w:spacing w:line="360" w:lineRule="auto"/>
              <w:rPr>
                <w:color w:val="auto"/>
                <w:szCs w:val="24"/>
                <w:highlight w:val="none"/>
                <w:lang w:eastAsia="zh-CN"/>
              </w:rPr>
            </w:pPr>
            <w:r>
              <w:rPr>
                <w:color w:val="auto"/>
                <w:szCs w:val="24"/>
                <w:highlight w:val="none"/>
                <w:lang w:eastAsia="zh-CN" w:bidi="ar"/>
              </w:rPr>
              <w:t>4</w:t>
            </w:r>
            <w:r>
              <w:rPr>
                <w:rFonts w:hint="eastAsia"/>
                <w:color w:val="auto"/>
                <w:szCs w:val="24"/>
                <w:highlight w:val="none"/>
                <w:lang w:eastAsia="zh-CN" w:bidi="ar"/>
              </w:rPr>
              <w:t>、用途及使用部位：详见设计图。</w:t>
            </w:r>
          </w:p>
          <w:p>
            <w:pPr>
              <w:spacing w:line="360" w:lineRule="auto"/>
              <w:rPr>
                <w:color w:val="auto"/>
                <w:szCs w:val="24"/>
                <w:highlight w:val="none"/>
                <w:lang w:eastAsia="zh-CN"/>
              </w:rPr>
            </w:pPr>
            <w:r>
              <w:rPr>
                <w:color w:val="auto"/>
                <w:szCs w:val="24"/>
                <w:highlight w:val="none"/>
                <w:lang w:eastAsia="zh-CN" w:bidi="ar"/>
              </w:rPr>
              <w:t>5</w:t>
            </w:r>
            <w:r>
              <w:rPr>
                <w:rFonts w:hint="eastAsia"/>
                <w:color w:val="auto"/>
                <w:szCs w:val="24"/>
                <w:highlight w:val="none"/>
                <w:lang w:eastAsia="zh-CN" w:bidi="ar"/>
              </w:rPr>
              <w:t>、其他要求详见给水排水标准图集，图集号：</w:t>
            </w:r>
            <w:r>
              <w:rPr>
                <w:color w:val="auto"/>
                <w:szCs w:val="24"/>
                <w:highlight w:val="none"/>
                <w:lang w:eastAsia="zh-CN" w:bidi="ar"/>
              </w:rPr>
              <w:t>04S301</w:t>
            </w:r>
            <w:r>
              <w:rPr>
                <w:rFonts w:hint="eastAsia"/>
                <w:color w:val="auto"/>
                <w:szCs w:val="24"/>
                <w:highlight w:val="none"/>
                <w:lang w:eastAsia="zh-CN" w:bidi="ar"/>
              </w:rPr>
              <w:t>。</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554" w:hRule="atLeast"/>
        </w:trPr>
        <w:tc>
          <w:tcPr>
            <w:tcW w:w="701"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rPr>
                <w:color w:val="auto"/>
                <w:szCs w:val="24"/>
                <w:highlight w:val="none"/>
              </w:rPr>
            </w:pPr>
            <w:r>
              <w:rPr>
                <w:color w:val="auto"/>
                <w:szCs w:val="24"/>
                <w:highlight w:val="none"/>
                <w:lang w:bidi="ar"/>
              </w:rPr>
              <w:t>10</w:t>
            </w:r>
          </w:p>
        </w:tc>
        <w:tc>
          <w:tcPr>
            <w:tcW w:w="1418"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rPr>
                <w:color w:val="auto"/>
                <w:szCs w:val="24"/>
                <w:highlight w:val="none"/>
              </w:rPr>
            </w:pPr>
            <w:r>
              <w:rPr>
                <w:rFonts w:hint="eastAsia"/>
                <w:color w:val="auto"/>
                <w:szCs w:val="24"/>
                <w:highlight w:val="none"/>
                <w:lang w:bidi="ar"/>
              </w:rPr>
              <w:t>拖把池</w:t>
            </w:r>
          </w:p>
        </w:tc>
        <w:tc>
          <w:tcPr>
            <w:tcW w:w="7512"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rPr>
                <w:color w:val="auto"/>
                <w:szCs w:val="24"/>
                <w:highlight w:val="none"/>
                <w:lang w:eastAsia="zh-CN"/>
              </w:rPr>
            </w:pPr>
            <w:r>
              <w:rPr>
                <w:rFonts w:hint="eastAsia"/>
                <w:color w:val="auto"/>
                <w:szCs w:val="24"/>
                <w:highlight w:val="none"/>
                <w:lang w:eastAsia="zh-CN" w:bidi="ar"/>
              </w:rPr>
              <w:t>技术要求：</w:t>
            </w:r>
          </w:p>
          <w:p>
            <w:pPr>
              <w:spacing w:line="360" w:lineRule="auto"/>
              <w:rPr>
                <w:color w:val="auto"/>
                <w:szCs w:val="24"/>
                <w:highlight w:val="none"/>
                <w:lang w:eastAsia="zh-CN"/>
              </w:rPr>
            </w:pPr>
            <w:r>
              <w:rPr>
                <w:color w:val="auto"/>
                <w:szCs w:val="24"/>
                <w:highlight w:val="none"/>
                <w:lang w:eastAsia="zh-CN" w:bidi="ar"/>
              </w:rPr>
              <w:t>1</w:t>
            </w:r>
            <w:r>
              <w:rPr>
                <w:rFonts w:hint="eastAsia"/>
                <w:color w:val="auto"/>
                <w:szCs w:val="24"/>
                <w:highlight w:val="none"/>
                <w:lang w:eastAsia="zh-CN" w:bidi="ar"/>
              </w:rPr>
              <w:t>、智洁釉面或纳米抗菌陶瓷。</w:t>
            </w:r>
          </w:p>
          <w:p>
            <w:pPr>
              <w:spacing w:line="360" w:lineRule="auto"/>
              <w:rPr>
                <w:color w:val="auto"/>
                <w:szCs w:val="24"/>
                <w:highlight w:val="none"/>
                <w:lang w:eastAsia="zh-CN"/>
              </w:rPr>
            </w:pPr>
            <w:r>
              <w:rPr>
                <w:color w:val="auto"/>
                <w:szCs w:val="24"/>
                <w:highlight w:val="none"/>
                <w:lang w:eastAsia="zh-CN" w:bidi="ar"/>
              </w:rPr>
              <w:t>2</w:t>
            </w:r>
            <w:r>
              <w:rPr>
                <w:rFonts w:hint="eastAsia"/>
                <w:color w:val="auto"/>
                <w:szCs w:val="24"/>
                <w:highlight w:val="none"/>
                <w:lang w:eastAsia="zh-CN" w:bidi="ar"/>
              </w:rPr>
              <w:t>、拖布盆参考尺寸：符合设计要求。</w:t>
            </w:r>
          </w:p>
          <w:p>
            <w:pPr>
              <w:spacing w:line="360" w:lineRule="auto"/>
              <w:rPr>
                <w:color w:val="auto"/>
                <w:szCs w:val="24"/>
                <w:highlight w:val="none"/>
                <w:lang w:eastAsia="zh-CN"/>
              </w:rPr>
            </w:pPr>
            <w:r>
              <w:rPr>
                <w:rFonts w:hint="eastAsia"/>
                <w:color w:val="auto"/>
                <w:szCs w:val="24"/>
                <w:highlight w:val="none"/>
                <w:lang w:eastAsia="zh-CN" w:bidi="ar"/>
              </w:rPr>
              <w:t>尺寸、样式须经甲方、使用方、设计认可。</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6222" w:hRule="atLeast"/>
        </w:trPr>
        <w:tc>
          <w:tcPr>
            <w:tcW w:w="701" w:type="dxa"/>
            <w:tcBorders>
              <w:top w:val="single" w:color="000000" w:sz="6" w:space="0"/>
              <w:left w:val="single" w:color="auto" w:sz="4" w:space="0"/>
              <w:bottom w:val="single" w:color="000000" w:sz="6" w:space="0"/>
              <w:right w:val="single" w:color="000000" w:sz="6" w:space="0"/>
            </w:tcBorders>
            <w:shd w:val="clear" w:color="auto" w:fill="auto"/>
            <w:vAlign w:val="center"/>
          </w:tcPr>
          <w:p>
            <w:pPr>
              <w:spacing w:line="360" w:lineRule="auto"/>
              <w:rPr>
                <w:color w:val="auto"/>
                <w:szCs w:val="24"/>
                <w:highlight w:val="none"/>
              </w:rPr>
            </w:pPr>
            <w:r>
              <w:rPr>
                <w:color w:val="auto"/>
                <w:szCs w:val="24"/>
                <w:highlight w:val="none"/>
                <w:lang w:bidi="ar"/>
              </w:rPr>
              <w:t>11</w:t>
            </w:r>
          </w:p>
        </w:tc>
        <w:tc>
          <w:tcPr>
            <w:tcW w:w="1418"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rPr>
                <w:color w:val="auto"/>
                <w:szCs w:val="24"/>
                <w:highlight w:val="none"/>
              </w:rPr>
            </w:pPr>
            <w:r>
              <w:rPr>
                <w:rFonts w:hint="eastAsia"/>
                <w:color w:val="auto"/>
                <w:szCs w:val="24"/>
                <w:highlight w:val="none"/>
                <w:lang w:bidi="ar"/>
              </w:rPr>
              <w:t>刷手池</w:t>
            </w:r>
          </w:p>
        </w:tc>
        <w:tc>
          <w:tcPr>
            <w:tcW w:w="7512"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rPr>
                <w:color w:val="auto"/>
                <w:szCs w:val="24"/>
                <w:highlight w:val="none"/>
                <w:lang w:eastAsia="zh-CN"/>
              </w:rPr>
            </w:pPr>
            <w:r>
              <w:rPr>
                <w:rFonts w:hint="eastAsia"/>
                <w:color w:val="auto"/>
                <w:szCs w:val="24"/>
                <w:highlight w:val="none"/>
                <w:lang w:eastAsia="zh-CN" w:bidi="ar"/>
              </w:rPr>
              <w:t>一、一般要求：</w:t>
            </w:r>
          </w:p>
          <w:p>
            <w:pPr>
              <w:spacing w:line="360" w:lineRule="auto"/>
              <w:rPr>
                <w:color w:val="auto"/>
                <w:szCs w:val="24"/>
                <w:highlight w:val="none"/>
                <w:lang w:eastAsia="zh-CN"/>
              </w:rPr>
            </w:pPr>
            <w:r>
              <w:rPr>
                <w:rFonts w:hint="eastAsia"/>
                <w:color w:val="auto"/>
                <w:szCs w:val="24"/>
                <w:highlight w:val="none"/>
                <w:lang w:eastAsia="zh-CN" w:bidi="ar"/>
              </w:rPr>
              <w:t>二、产品技术：</w:t>
            </w:r>
          </w:p>
          <w:p>
            <w:pPr>
              <w:spacing w:line="360" w:lineRule="auto"/>
              <w:rPr>
                <w:bCs/>
                <w:color w:val="auto"/>
                <w:szCs w:val="24"/>
                <w:highlight w:val="none"/>
                <w:lang w:eastAsia="zh-CN"/>
              </w:rPr>
            </w:pPr>
            <w:r>
              <w:rPr>
                <w:color w:val="auto"/>
                <w:szCs w:val="24"/>
                <w:highlight w:val="none"/>
                <w:lang w:eastAsia="zh-CN" w:bidi="ar"/>
              </w:rPr>
              <w:t xml:space="preserve"> </w:t>
            </w:r>
            <w:r>
              <w:rPr>
                <w:rFonts w:hint="eastAsia"/>
                <w:color w:val="auto"/>
                <w:szCs w:val="24"/>
                <w:highlight w:val="none"/>
                <w:lang w:eastAsia="zh-CN" w:bidi="ar"/>
              </w:rPr>
              <w:t>“贝壳式”盆体采用优质环保安全矿物复合材料，可抵抗所有清洗消毒剂。壁挂式，盆体最大深度</w:t>
            </w:r>
            <w:r>
              <w:rPr>
                <w:color w:val="auto"/>
                <w:szCs w:val="24"/>
                <w:highlight w:val="none"/>
                <w:lang w:eastAsia="zh-CN" w:bidi="ar"/>
              </w:rPr>
              <w:t>250MM</w:t>
            </w:r>
            <w:r>
              <w:rPr>
                <w:rFonts w:hint="eastAsia"/>
                <w:color w:val="auto"/>
                <w:szCs w:val="24"/>
                <w:highlight w:val="none"/>
                <w:lang w:eastAsia="zh-CN" w:bidi="ar"/>
              </w:rPr>
              <w:t>，具有防飞溅及手肘流水保护设计，符合人体工程学，且便于清洁。盆体低部采用不锈钢底壳设计，不锈钢厚度</w:t>
            </w:r>
            <w:r>
              <w:rPr>
                <w:color w:val="auto"/>
                <w:szCs w:val="24"/>
                <w:highlight w:val="none"/>
                <w:lang w:eastAsia="zh-CN" w:bidi="ar"/>
              </w:rPr>
              <w:t>1.0mm</w:t>
            </w:r>
            <w:r>
              <w:rPr>
                <w:rFonts w:hint="eastAsia"/>
                <w:color w:val="auto"/>
                <w:szCs w:val="24"/>
                <w:highlight w:val="none"/>
                <w:lang w:eastAsia="zh-CN" w:bidi="ar"/>
              </w:rPr>
              <w:t>及以上，并提供可拆卸维修设施通道。</w:t>
            </w:r>
          </w:p>
          <w:p>
            <w:pPr>
              <w:spacing w:line="360" w:lineRule="auto"/>
              <w:rPr>
                <w:color w:val="auto"/>
                <w:szCs w:val="24"/>
                <w:highlight w:val="none"/>
                <w:lang w:eastAsia="zh-CN"/>
              </w:rPr>
            </w:pPr>
            <w:r>
              <w:rPr>
                <w:rFonts w:hint="eastAsia"/>
                <w:color w:val="auto"/>
                <w:szCs w:val="24"/>
                <w:highlight w:val="none"/>
                <w:lang w:eastAsia="zh-CN" w:bidi="ar"/>
              </w:rPr>
              <w:t>三、刷手池配套设施：</w:t>
            </w:r>
          </w:p>
          <w:p>
            <w:pPr>
              <w:spacing w:line="360" w:lineRule="auto"/>
              <w:rPr>
                <w:color w:val="auto"/>
                <w:szCs w:val="24"/>
                <w:highlight w:val="none"/>
                <w:lang w:eastAsia="zh-CN"/>
              </w:rPr>
            </w:pPr>
            <w:r>
              <w:rPr>
                <w:color w:val="auto"/>
                <w:szCs w:val="24"/>
                <w:highlight w:val="none"/>
                <w:lang w:eastAsia="zh-CN" w:bidi="ar"/>
              </w:rPr>
              <w:t>1.</w:t>
            </w:r>
            <w:r>
              <w:rPr>
                <w:rFonts w:hint="eastAsia"/>
                <w:color w:val="auto"/>
                <w:szCs w:val="24"/>
                <w:highlight w:val="none"/>
                <w:lang w:eastAsia="zh-CN" w:bidi="ar"/>
              </w:rPr>
              <w:t>每人位提供一套红外感应及脚踢开关水龙头；</w:t>
            </w:r>
          </w:p>
          <w:p>
            <w:pPr>
              <w:spacing w:line="360" w:lineRule="auto"/>
              <w:rPr>
                <w:color w:val="auto"/>
                <w:szCs w:val="24"/>
                <w:highlight w:val="none"/>
                <w:lang w:eastAsia="zh-CN"/>
              </w:rPr>
            </w:pPr>
            <w:r>
              <w:rPr>
                <w:color w:val="auto"/>
                <w:szCs w:val="24"/>
                <w:highlight w:val="none"/>
                <w:lang w:eastAsia="zh-CN" w:bidi="ar"/>
              </w:rPr>
              <w:t>2.</w:t>
            </w:r>
            <w:r>
              <w:rPr>
                <w:rFonts w:hint="eastAsia"/>
                <w:color w:val="auto"/>
                <w:szCs w:val="24"/>
                <w:highlight w:val="none"/>
                <w:lang w:eastAsia="zh-CN" w:bidi="ar"/>
              </w:rPr>
              <w:t>每人位提供一套皂液器，容积</w:t>
            </w:r>
            <w:r>
              <w:rPr>
                <w:color w:val="auto"/>
                <w:szCs w:val="24"/>
                <w:highlight w:val="none"/>
                <w:lang w:eastAsia="zh-CN" w:bidi="ar"/>
              </w:rPr>
              <w:t>500ML</w:t>
            </w:r>
            <w:r>
              <w:rPr>
                <w:rFonts w:hint="eastAsia"/>
                <w:color w:val="auto"/>
                <w:szCs w:val="24"/>
                <w:highlight w:val="none"/>
                <w:lang w:eastAsia="zh-CN" w:bidi="ar"/>
              </w:rPr>
              <w:t>及以上；</w:t>
            </w:r>
          </w:p>
          <w:p>
            <w:pPr>
              <w:spacing w:line="360" w:lineRule="auto"/>
              <w:rPr>
                <w:color w:val="auto"/>
                <w:szCs w:val="24"/>
                <w:highlight w:val="none"/>
                <w:lang w:eastAsia="zh-CN"/>
              </w:rPr>
            </w:pPr>
            <w:r>
              <w:rPr>
                <w:color w:val="auto"/>
                <w:szCs w:val="24"/>
                <w:highlight w:val="none"/>
                <w:lang w:eastAsia="zh-CN" w:bidi="ar"/>
              </w:rPr>
              <w:t>3.</w:t>
            </w:r>
            <w:r>
              <w:rPr>
                <w:rFonts w:hint="eastAsia"/>
                <w:color w:val="auto"/>
                <w:szCs w:val="24"/>
                <w:highlight w:val="none"/>
                <w:lang w:eastAsia="zh-CN" w:bidi="ar"/>
              </w:rPr>
              <w:t>五金件及其它配件全部采用不锈钢材质。</w:t>
            </w:r>
          </w:p>
          <w:p>
            <w:pPr>
              <w:spacing w:line="360" w:lineRule="auto"/>
              <w:rPr>
                <w:color w:val="auto"/>
                <w:szCs w:val="24"/>
                <w:highlight w:val="none"/>
                <w:lang w:eastAsia="zh-CN"/>
              </w:rPr>
            </w:pPr>
            <w:r>
              <w:rPr>
                <w:color w:val="auto"/>
                <w:szCs w:val="24"/>
                <w:highlight w:val="none"/>
                <w:lang w:eastAsia="zh-CN" w:bidi="ar"/>
              </w:rPr>
              <w:t>4</w:t>
            </w:r>
            <w:r>
              <w:rPr>
                <w:rFonts w:hint="eastAsia"/>
                <w:color w:val="auto"/>
                <w:szCs w:val="24"/>
                <w:highlight w:val="none"/>
                <w:lang w:eastAsia="zh-CN" w:bidi="ar"/>
              </w:rPr>
              <w:t>．红外线感应出水每人一组，感应器位置设计合理，能有效避免医护人员在刷手过程中水溅流到刷手池外，电控箱及线路防水处理，带漏电保护装置。</w:t>
            </w:r>
          </w:p>
          <w:p>
            <w:pPr>
              <w:spacing w:line="360" w:lineRule="auto"/>
              <w:rPr>
                <w:color w:val="auto"/>
                <w:szCs w:val="24"/>
                <w:highlight w:val="none"/>
                <w:lang w:eastAsia="zh-CN"/>
              </w:rPr>
            </w:pPr>
            <w:r>
              <w:rPr>
                <w:color w:val="auto"/>
                <w:szCs w:val="24"/>
                <w:highlight w:val="none"/>
                <w:lang w:eastAsia="zh-CN" w:bidi="ar"/>
              </w:rPr>
              <w:t>3.</w:t>
            </w:r>
            <w:r>
              <w:rPr>
                <w:rFonts w:hint="eastAsia"/>
                <w:color w:val="auto"/>
                <w:szCs w:val="24"/>
                <w:highlight w:val="none"/>
                <w:lang w:eastAsia="zh-CN" w:bidi="ar"/>
              </w:rPr>
              <w:t>脚踏气泵式出刷装置每台两套，配备</w:t>
            </w:r>
            <w:r>
              <w:rPr>
                <w:rFonts w:hint="eastAsia"/>
                <w:strike/>
                <w:color w:val="auto"/>
                <w:szCs w:val="24"/>
                <w:highlight w:val="none"/>
                <w:lang w:eastAsia="zh-CN" w:bidi="ar"/>
              </w:rPr>
              <w:t>进口</w:t>
            </w:r>
            <w:r>
              <w:rPr>
                <w:rFonts w:hint="eastAsia"/>
                <w:color w:val="auto"/>
                <w:szCs w:val="24"/>
                <w:highlight w:val="none"/>
                <w:lang w:eastAsia="zh-CN" w:bidi="ar"/>
              </w:rPr>
              <w:t>耐热刷，刷子可高温消毒</w:t>
            </w:r>
            <w:r>
              <w:rPr>
                <w:color w:val="auto"/>
                <w:szCs w:val="24"/>
                <w:highlight w:val="none"/>
                <w:lang w:eastAsia="zh-CN" w:bidi="ar"/>
              </w:rPr>
              <w:t>1000</w:t>
            </w:r>
            <w:r>
              <w:rPr>
                <w:rFonts w:hint="eastAsia"/>
                <w:color w:val="auto"/>
                <w:szCs w:val="24"/>
                <w:highlight w:val="none"/>
                <w:lang w:eastAsia="zh-CN" w:bidi="ar"/>
              </w:rPr>
              <w:t>次以上；刷子盒可视剩余刷子量，并可拆卸并带刷</w:t>
            </w:r>
            <w:r>
              <w:rPr>
                <w:color w:val="auto"/>
                <w:szCs w:val="24"/>
                <w:highlight w:val="none"/>
                <w:lang w:eastAsia="zh-CN" w:bidi="ar"/>
              </w:rPr>
              <w:t>132</w:t>
            </w:r>
            <w:r>
              <w:rPr>
                <w:rFonts w:hint="eastAsia"/>
                <w:color w:val="auto"/>
                <w:szCs w:val="24"/>
                <w:highlight w:val="none"/>
                <w:lang w:eastAsia="zh-CN" w:bidi="ar"/>
              </w:rPr>
              <w:t>℃高温消毒。</w:t>
            </w:r>
          </w:p>
          <w:p>
            <w:pPr>
              <w:spacing w:line="360" w:lineRule="auto"/>
              <w:rPr>
                <w:color w:val="auto"/>
                <w:szCs w:val="24"/>
                <w:highlight w:val="none"/>
                <w:lang w:eastAsia="zh-CN"/>
              </w:rPr>
            </w:pPr>
            <w:r>
              <w:rPr>
                <w:color w:val="auto"/>
                <w:szCs w:val="24"/>
                <w:highlight w:val="none"/>
                <w:lang w:eastAsia="zh-CN" w:bidi="ar"/>
              </w:rPr>
              <w:t>4.</w:t>
            </w:r>
            <w:r>
              <w:rPr>
                <w:rFonts w:hint="eastAsia"/>
                <w:color w:val="auto"/>
                <w:szCs w:val="24"/>
                <w:highlight w:val="none"/>
                <w:lang w:eastAsia="zh-CN" w:bidi="ar"/>
              </w:rPr>
              <w:t>自带感应龙头、红外线给皂机、红外线给药机，自带净化水过滤装置，冷热水混合器装置，水温可控制。</w:t>
            </w:r>
          </w:p>
          <w:p>
            <w:pPr>
              <w:spacing w:line="360" w:lineRule="auto"/>
              <w:rPr>
                <w:color w:val="auto"/>
                <w:szCs w:val="24"/>
                <w:highlight w:val="none"/>
                <w:lang w:eastAsia="zh-CN"/>
              </w:rPr>
            </w:pPr>
            <w:r>
              <w:rPr>
                <w:color w:val="auto"/>
                <w:szCs w:val="24"/>
                <w:highlight w:val="none"/>
                <w:lang w:eastAsia="zh-CN" w:bidi="ar"/>
              </w:rPr>
              <w:t>5.</w:t>
            </w:r>
            <w:r>
              <w:rPr>
                <w:rFonts w:hint="eastAsia"/>
                <w:color w:val="auto"/>
                <w:szCs w:val="24"/>
                <w:highlight w:val="none"/>
                <w:lang w:eastAsia="zh-CN" w:bidi="ar"/>
              </w:rPr>
              <w:t>配备独立镜、灯，附水平调整脚轮。</w:t>
            </w:r>
          </w:p>
          <w:p>
            <w:pPr>
              <w:spacing w:line="360" w:lineRule="auto"/>
              <w:rPr>
                <w:color w:val="auto"/>
                <w:szCs w:val="24"/>
                <w:highlight w:val="none"/>
                <w:lang w:eastAsia="zh-CN"/>
              </w:rPr>
            </w:pPr>
            <w:r>
              <w:rPr>
                <w:color w:val="auto"/>
                <w:szCs w:val="24"/>
                <w:highlight w:val="none"/>
                <w:lang w:eastAsia="zh-CN" w:bidi="ar"/>
              </w:rPr>
              <w:t>6.</w:t>
            </w:r>
            <w:r>
              <w:rPr>
                <w:rFonts w:hint="eastAsia"/>
                <w:color w:val="auto"/>
                <w:szCs w:val="24"/>
                <w:highlight w:val="none"/>
                <w:lang w:eastAsia="zh-CN" w:bidi="ar"/>
              </w:rPr>
              <w:t>刷手池须提供样板，确定后再使用于工程。</w:t>
            </w:r>
          </w:p>
          <w:p>
            <w:pPr>
              <w:spacing w:line="360" w:lineRule="auto"/>
              <w:rPr>
                <w:color w:val="auto"/>
                <w:szCs w:val="24"/>
                <w:highlight w:val="none"/>
                <w:lang w:eastAsia="zh-CN"/>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6222" w:hRule="atLeast"/>
        </w:trPr>
        <w:tc>
          <w:tcPr>
            <w:tcW w:w="701" w:type="dxa"/>
            <w:tcBorders>
              <w:top w:val="single" w:color="000000" w:sz="6" w:space="0"/>
              <w:left w:val="single" w:color="auto" w:sz="4" w:space="0"/>
              <w:bottom w:val="single" w:color="000000" w:sz="6" w:space="0"/>
              <w:right w:val="single" w:color="000000" w:sz="6" w:space="0"/>
            </w:tcBorders>
            <w:shd w:val="clear" w:color="auto" w:fill="auto"/>
            <w:vAlign w:val="center"/>
          </w:tcPr>
          <w:p>
            <w:pPr>
              <w:spacing w:line="360" w:lineRule="auto"/>
              <w:rPr>
                <w:color w:val="auto"/>
                <w:szCs w:val="24"/>
                <w:highlight w:val="none"/>
              </w:rPr>
            </w:pPr>
            <w:r>
              <w:rPr>
                <w:color w:val="auto"/>
                <w:szCs w:val="24"/>
                <w:highlight w:val="none"/>
                <w:lang w:bidi="ar"/>
              </w:rPr>
              <w:t>12</w:t>
            </w:r>
          </w:p>
        </w:tc>
        <w:tc>
          <w:tcPr>
            <w:tcW w:w="1418"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rPr>
                <w:color w:val="auto"/>
                <w:szCs w:val="24"/>
                <w:highlight w:val="none"/>
              </w:rPr>
            </w:pPr>
            <w:r>
              <w:rPr>
                <w:rFonts w:hint="eastAsia"/>
                <w:color w:val="auto"/>
                <w:szCs w:val="24"/>
                <w:highlight w:val="none"/>
                <w:lang w:bidi="ar"/>
              </w:rPr>
              <w:t>不锈钢污洗池</w:t>
            </w:r>
          </w:p>
        </w:tc>
        <w:tc>
          <w:tcPr>
            <w:tcW w:w="7512" w:type="dxa"/>
            <w:tcBorders>
              <w:top w:val="single" w:color="000000" w:sz="6" w:space="0"/>
              <w:left w:val="single" w:color="000000" w:sz="6" w:space="0"/>
              <w:bottom w:val="single" w:color="000000" w:sz="6" w:space="0"/>
              <w:right w:val="single" w:color="000000" w:sz="6" w:space="0"/>
            </w:tcBorders>
            <w:shd w:val="clear" w:color="auto" w:fill="auto"/>
            <w:vAlign w:val="center"/>
          </w:tcPr>
          <w:p>
            <w:pPr>
              <w:pStyle w:val="78"/>
              <w:numPr>
                <w:ilvl w:val="0"/>
                <w:numId w:val="185"/>
              </w:numPr>
              <w:spacing w:before="0" w:beforeAutospacing="0" w:after="0" w:afterAutospacing="0" w:line="360" w:lineRule="auto"/>
              <w:ind w:firstLine="210"/>
              <w:jc w:val="both"/>
              <w:rPr>
                <w:color w:val="auto"/>
                <w:kern w:val="2"/>
                <w:highlight w:val="none"/>
              </w:rPr>
            </w:pPr>
            <w:r>
              <w:rPr>
                <w:rFonts w:hint="eastAsia"/>
                <w:color w:val="auto"/>
                <w:kern w:val="2"/>
                <w:highlight w:val="none"/>
                <w:lang w:bidi="ar"/>
              </w:rPr>
              <w:t>采用</w:t>
            </w:r>
            <w:r>
              <w:rPr>
                <w:color w:val="auto"/>
                <w:kern w:val="2"/>
                <w:highlight w:val="none"/>
                <w:lang w:bidi="ar"/>
              </w:rPr>
              <w:t>1.2</w:t>
            </w:r>
            <w:r>
              <w:rPr>
                <w:rFonts w:hint="eastAsia"/>
                <w:color w:val="auto"/>
                <w:kern w:val="2"/>
                <w:highlight w:val="none"/>
                <w:lang w:bidi="ar"/>
              </w:rPr>
              <w:t>至</w:t>
            </w:r>
            <w:r>
              <w:rPr>
                <w:color w:val="auto"/>
                <w:kern w:val="2"/>
                <w:highlight w:val="none"/>
                <w:lang w:bidi="ar"/>
              </w:rPr>
              <w:t>1.5mm 304</w:t>
            </w:r>
            <w:r>
              <w:rPr>
                <w:rFonts w:hint="eastAsia"/>
                <w:color w:val="auto"/>
                <w:kern w:val="2"/>
                <w:highlight w:val="none"/>
                <w:lang w:bidi="ar"/>
              </w:rPr>
              <w:t>不锈钢制成，如有特殊科室（酸碱消毒），采用</w:t>
            </w:r>
            <w:r>
              <w:rPr>
                <w:color w:val="auto"/>
                <w:kern w:val="2"/>
                <w:highlight w:val="none"/>
                <w:lang w:bidi="ar"/>
              </w:rPr>
              <w:t>316</w:t>
            </w:r>
            <w:r>
              <w:rPr>
                <w:rFonts w:hint="eastAsia"/>
                <w:color w:val="auto"/>
                <w:kern w:val="2"/>
                <w:highlight w:val="none"/>
                <w:lang w:bidi="ar"/>
              </w:rPr>
              <w:t>不锈钢材质。</w:t>
            </w:r>
          </w:p>
          <w:p>
            <w:pPr>
              <w:pStyle w:val="78"/>
              <w:numPr>
                <w:ilvl w:val="0"/>
                <w:numId w:val="185"/>
              </w:numPr>
              <w:spacing w:before="0" w:beforeAutospacing="0" w:after="0" w:afterAutospacing="0" w:line="360" w:lineRule="auto"/>
              <w:ind w:firstLine="210"/>
              <w:jc w:val="both"/>
              <w:rPr>
                <w:color w:val="auto"/>
                <w:kern w:val="2"/>
                <w:highlight w:val="none"/>
              </w:rPr>
            </w:pPr>
            <w:r>
              <w:rPr>
                <w:rFonts w:hint="eastAsia"/>
                <w:color w:val="auto"/>
                <w:kern w:val="2"/>
                <w:highlight w:val="none"/>
                <w:lang w:bidi="ar"/>
              </w:rPr>
              <w:t>符合设计、国家有关标准、规范、规定要求。</w:t>
            </w:r>
            <w:r>
              <w:rPr>
                <w:color w:val="auto"/>
                <w:kern w:val="2"/>
                <w:highlight w:val="none"/>
                <w:lang w:bidi="ar"/>
              </w:rPr>
              <w:t xml:space="preserve"> </w:t>
            </w:r>
          </w:p>
          <w:p>
            <w:pPr>
              <w:pStyle w:val="78"/>
              <w:numPr>
                <w:ilvl w:val="0"/>
                <w:numId w:val="185"/>
              </w:numPr>
              <w:spacing w:before="0" w:beforeAutospacing="0" w:after="0" w:afterAutospacing="0" w:line="360" w:lineRule="auto"/>
              <w:ind w:firstLine="210"/>
              <w:jc w:val="both"/>
              <w:rPr>
                <w:color w:val="auto"/>
                <w:kern w:val="2"/>
                <w:highlight w:val="none"/>
              </w:rPr>
            </w:pPr>
            <w:r>
              <w:rPr>
                <w:rFonts w:hint="eastAsia"/>
                <w:color w:val="auto"/>
                <w:kern w:val="2"/>
                <w:highlight w:val="none"/>
                <w:lang w:bidi="ar"/>
              </w:rPr>
              <w:t>拉丝不锈钢</w:t>
            </w:r>
            <w:r>
              <w:rPr>
                <w:color w:val="auto"/>
                <w:kern w:val="2"/>
                <w:highlight w:val="none"/>
                <w:lang w:bidi="ar"/>
              </w:rPr>
              <w:t xml:space="preserve"> </w:t>
            </w:r>
            <w:r>
              <w:rPr>
                <w:rFonts w:hint="eastAsia"/>
                <w:color w:val="auto"/>
                <w:kern w:val="2"/>
                <w:highlight w:val="none"/>
                <w:lang w:bidi="ar"/>
              </w:rPr>
              <w:t>优质品牌，符合国家标准的相关规定及环保要求依据建筑用不锈钢钢板应遵守</w:t>
            </w:r>
            <w:r>
              <w:rPr>
                <w:color w:val="auto"/>
                <w:kern w:val="2"/>
                <w:highlight w:val="none"/>
                <w:lang w:bidi="ar"/>
              </w:rPr>
              <w:t>GB4237-84</w:t>
            </w:r>
            <w:r>
              <w:rPr>
                <w:rFonts w:hint="eastAsia"/>
                <w:color w:val="auto"/>
                <w:kern w:val="2"/>
                <w:highlight w:val="none"/>
                <w:lang w:bidi="ar"/>
              </w:rPr>
              <w:t>以及</w:t>
            </w:r>
            <w:r>
              <w:rPr>
                <w:color w:val="auto"/>
                <w:kern w:val="2"/>
                <w:highlight w:val="none"/>
                <w:lang w:bidi="ar"/>
              </w:rPr>
              <w:t>GB-3280-841</w:t>
            </w:r>
            <w:r>
              <w:rPr>
                <w:rFonts w:hint="eastAsia"/>
                <w:color w:val="auto"/>
                <w:kern w:val="2"/>
                <w:highlight w:val="none"/>
                <w:lang w:bidi="ar"/>
              </w:rPr>
              <w:t>、主要化学成分以</w:t>
            </w:r>
            <w:r>
              <w:rPr>
                <w:color w:val="auto"/>
                <w:kern w:val="2"/>
                <w:highlight w:val="none"/>
                <w:lang w:bidi="ar"/>
              </w:rPr>
              <w:t xml:space="preserve">00Cr17Mo </w:t>
            </w:r>
            <w:r>
              <w:rPr>
                <w:rFonts w:hint="eastAsia"/>
                <w:color w:val="auto"/>
                <w:kern w:val="2"/>
                <w:highlight w:val="none"/>
                <w:lang w:bidi="ar"/>
              </w:rPr>
              <w:t>铁素体型不锈钢为主，结构部件厚度</w:t>
            </w:r>
            <w:r>
              <w:rPr>
                <w:color w:val="auto"/>
                <w:kern w:val="2"/>
                <w:highlight w:val="none"/>
                <w:lang w:bidi="ar"/>
              </w:rPr>
              <w:t>10mm</w:t>
            </w:r>
            <w:r>
              <w:rPr>
                <w:rFonts w:hint="eastAsia"/>
                <w:color w:val="auto"/>
                <w:kern w:val="2"/>
                <w:highlight w:val="none"/>
                <w:lang w:bidi="ar"/>
              </w:rPr>
              <w:t>，表面装饰部件不小</w:t>
            </w:r>
            <w:r>
              <w:rPr>
                <w:color w:val="auto"/>
                <w:kern w:val="2"/>
                <w:highlight w:val="none"/>
                <w:lang w:bidi="ar"/>
              </w:rPr>
              <w:t>1.2mm</w:t>
            </w:r>
            <w:r>
              <w:rPr>
                <w:rFonts w:hint="eastAsia"/>
                <w:color w:val="auto"/>
                <w:kern w:val="2"/>
                <w:highlight w:val="none"/>
                <w:lang w:bidi="ar"/>
              </w:rPr>
              <w:t>。</w:t>
            </w:r>
          </w:p>
          <w:p>
            <w:pPr>
              <w:pStyle w:val="78"/>
              <w:numPr>
                <w:ilvl w:val="0"/>
                <w:numId w:val="185"/>
              </w:numPr>
              <w:spacing w:before="0" w:beforeAutospacing="0" w:after="0" w:afterAutospacing="0" w:line="360" w:lineRule="auto"/>
              <w:ind w:firstLine="210"/>
              <w:jc w:val="both"/>
              <w:rPr>
                <w:color w:val="auto"/>
                <w:kern w:val="2"/>
                <w:highlight w:val="none"/>
              </w:rPr>
            </w:pPr>
            <w:r>
              <w:rPr>
                <w:rFonts w:hint="eastAsia"/>
                <w:color w:val="auto"/>
                <w:kern w:val="2"/>
                <w:highlight w:val="none"/>
                <w:lang w:bidi="ar"/>
              </w:rPr>
              <w:t>物理性能要求①</w:t>
            </w:r>
            <w:r>
              <w:rPr>
                <w:color w:val="auto"/>
                <w:kern w:val="2"/>
                <w:highlight w:val="none"/>
                <w:lang w:bidi="ar"/>
              </w:rPr>
              <w:t xml:space="preserve"> </w:t>
            </w:r>
            <w:r>
              <w:rPr>
                <w:rFonts w:hint="eastAsia"/>
                <w:color w:val="auto"/>
                <w:kern w:val="2"/>
                <w:highlight w:val="none"/>
                <w:lang w:bidi="ar"/>
              </w:rPr>
              <w:t>屈服强度（</w:t>
            </w:r>
            <w:r>
              <w:rPr>
                <w:color w:val="auto"/>
                <w:kern w:val="2"/>
                <w:highlight w:val="none"/>
                <w:lang w:bidi="ar"/>
              </w:rPr>
              <w:t>MPa</w:t>
            </w:r>
            <w:r>
              <w:rPr>
                <w:rFonts w:hint="eastAsia"/>
                <w:color w:val="auto"/>
                <w:kern w:val="2"/>
                <w:highlight w:val="none"/>
                <w:lang w:bidi="ar"/>
              </w:rPr>
              <w:t>）</w:t>
            </w:r>
            <w:r>
              <w:rPr>
                <w:color w:val="auto"/>
                <w:kern w:val="2"/>
                <w:highlight w:val="none"/>
                <w:lang w:bidi="ar"/>
              </w:rPr>
              <w:t xml:space="preserve">: </w:t>
            </w:r>
            <w:r>
              <w:rPr>
                <w:rFonts w:hint="eastAsia"/>
                <w:color w:val="auto"/>
                <w:kern w:val="2"/>
                <w:highlight w:val="none"/>
                <w:lang w:bidi="ar"/>
              </w:rPr>
              <w:t>≥</w:t>
            </w:r>
            <w:r>
              <w:rPr>
                <w:color w:val="auto"/>
                <w:kern w:val="2"/>
                <w:highlight w:val="none"/>
                <w:lang w:bidi="ar"/>
              </w:rPr>
              <w:t>245;</w:t>
            </w:r>
            <w:r>
              <w:rPr>
                <w:rFonts w:hint="eastAsia"/>
                <w:color w:val="auto"/>
                <w:kern w:val="2"/>
                <w:highlight w:val="none"/>
                <w:lang w:bidi="ar"/>
              </w:rPr>
              <w:t>②</w:t>
            </w:r>
            <w:r>
              <w:rPr>
                <w:color w:val="auto"/>
                <w:kern w:val="2"/>
                <w:highlight w:val="none"/>
                <w:lang w:bidi="ar"/>
              </w:rPr>
              <w:t xml:space="preserve"> </w:t>
            </w:r>
            <w:r>
              <w:rPr>
                <w:rFonts w:hint="eastAsia"/>
                <w:color w:val="auto"/>
                <w:kern w:val="2"/>
                <w:highlight w:val="none"/>
                <w:lang w:bidi="ar"/>
              </w:rPr>
              <w:t>抗拉强度（</w:t>
            </w:r>
            <w:r>
              <w:rPr>
                <w:color w:val="auto"/>
                <w:kern w:val="2"/>
                <w:highlight w:val="none"/>
                <w:lang w:bidi="ar"/>
              </w:rPr>
              <w:t>MPa</w:t>
            </w:r>
            <w:r>
              <w:rPr>
                <w:rFonts w:hint="eastAsia"/>
                <w:color w:val="auto"/>
                <w:kern w:val="2"/>
                <w:highlight w:val="none"/>
                <w:lang w:bidi="ar"/>
              </w:rPr>
              <w:t>）</w:t>
            </w:r>
            <w:r>
              <w:rPr>
                <w:color w:val="auto"/>
                <w:kern w:val="2"/>
                <w:highlight w:val="none"/>
                <w:lang w:bidi="ar"/>
              </w:rPr>
              <w:t xml:space="preserve">: </w:t>
            </w:r>
            <w:r>
              <w:rPr>
                <w:rFonts w:hint="eastAsia"/>
                <w:color w:val="auto"/>
                <w:kern w:val="2"/>
                <w:highlight w:val="none"/>
                <w:lang w:bidi="ar"/>
              </w:rPr>
              <w:t>≥</w:t>
            </w:r>
            <w:r>
              <w:rPr>
                <w:color w:val="auto"/>
                <w:kern w:val="2"/>
                <w:highlight w:val="none"/>
                <w:lang w:bidi="ar"/>
              </w:rPr>
              <w:t>412;</w:t>
            </w:r>
            <w:r>
              <w:rPr>
                <w:rFonts w:hint="eastAsia"/>
                <w:color w:val="auto"/>
                <w:kern w:val="2"/>
                <w:highlight w:val="none"/>
                <w:lang w:bidi="ar"/>
              </w:rPr>
              <w:t>③</w:t>
            </w:r>
            <w:r>
              <w:rPr>
                <w:color w:val="auto"/>
                <w:kern w:val="2"/>
                <w:highlight w:val="none"/>
                <w:lang w:bidi="ar"/>
              </w:rPr>
              <w:t xml:space="preserve"> </w:t>
            </w:r>
            <w:r>
              <w:rPr>
                <w:rFonts w:hint="eastAsia"/>
                <w:color w:val="auto"/>
                <w:kern w:val="2"/>
                <w:highlight w:val="none"/>
                <w:lang w:bidi="ar"/>
              </w:rPr>
              <w:t>弹性模量</w:t>
            </w:r>
            <w:r>
              <w:rPr>
                <w:color w:val="auto"/>
                <w:kern w:val="2"/>
                <w:highlight w:val="none"/>
                <w:lang w:bidi="ar"/>
              </w:rPr>
              <w:t>E</w:t>
            </w:r>
            <w:r>
              <w:rPr>
                <w:rFonts w:hint="eastAsia"/>
                <w:color w:val="auto"/>
                <w:kern w:val="2"/>
                <w:highlight w:val="none"/>
                <w:lang w:bidi="ar"/>
              </w:rPr>
              <w:t>：</w:t>
            </w:r>
            <w:r>
              <w:rPr>
                <w:color w:val="auto"/>
                <w:kern w:val="2"/>
                <w:highlight w:val="none"/>
                <w:lang w:bidi="ar"/>
              </w:rPr>
              <w:t>2.10*10^5 Mpa</w:t>
            </w:r>
            <w:r>
              <w:rPr>
                <w:rFonts w:hint="eastAsia"/>
                <w:color w:val="auto"/>
                <w:kern w:val="2"/>
                <w:highlight w:val="none"/>
                <w:lang w:bidi="ar"/>
              </w:rPr>
              <w:t>④</w:t>
            </w:r>
            <w:r>
              <w:rPr>
                <w:color w:val="auto"/>
                <w:kern w:val="2"/>
                <w:highlight w:val="none"/>
                <w:lang w:bidi="ar"/>
              </w:rPr>
              <w:t xml:space="preserve"> </w:t>
            </w:r>
            <w:r>
              <w:rPr>
                <w:rFonts w:hint="eastAsia"/>
                <w:color w:val="auto"/>
                <w:kern w:val="2"/>
                <w:highlight w:val="none"/>
                <w:lang w:bidi="ar"/>
              </w:rPr>
              <w:t>抗弯强度：≥</w:t>
            </w:r>
            <w:r>
              <w:rPr>
                <w:color w:val="auto"/>
                <w:kern w:val="2"/>
                <w:highlight w:val="none"/>
                <w:lang w:bidi="ar"/>
              </w:rPr>
              <w:t>180Mpa</w:t>
            </w:r>
            <w:r>
              <w:rPr>
                <w:rFonts w:hint="eastAsia"/>
                <w:color w:val="auto"/>
                <w:kern w:val="2"/>
                <w:highlight w:val="none"/>
                <w:lang w:bidi="ar"/>
              </w:rPr>
              <w:t>⑤</w:t>
            </w:r>
            <w:r>
              <w:rPr>
                <w:color w:val="auto"/>
                <w:kern w:val="2"/>
                <w:highlight w:val="none"/>
                <w:lang w:bidi="ar"/>
              </w:rPr>
              <w:t xml:space="preserve"> </w:t>
            </w:r>
            <w:r>
              <w:rPr>
                <w:rFonts w:hint="eastAsia"/>
                <w:color w:val="auto"/>
                <w:kern w:val="2"/>
                <w:highlight w:val="none"/>
                <w:lang w:bidi="ar"/>
              </w:rPr>
              <w:t>抗剪强度：</w:t>
            </w:r>
            <w:r>
              <w:rPr>
                <w:color w:val="auto"/>
                <w:kern w:val="2"/>
                <w:highlight w:val="none"/>
                <w:lang w:bidi="ar"/>
              </w:rPr>
              <w:t>100Mpa</w:t>
            </w:r>
            <w:r>
              <w:rPr>
                <w:rFonts w:hint="eastAsia"/>
                <w:color w:val="auto"/>
                <w:kern w:val="2"/>
                <w:highlight w:val="none"/>
                <w:lang w:bidi="ar"/>
              </w:rPr>
              <w:t>⑥</w:t>
            </w:r>
            <w:r>
              <w:rPr>
                <w:color w:val="auto"/>
                <w:kern w:val="2"/>
                <w:highlight w:val="none"/>
                <w:lang w:bidi="ar"/>
              </w:rPr>
              <w:t xml:space="preserve"> </w:t>
            </w:r>
            <w:r>
              <w:rPr>
                <w:rFonts w:hint="eastAsia"/>
                <w:color w:val="auto"/>
                <w:kern w:val="2"/>
                <w:highlight w:val="none"/>
                <w:lang w:bidi="ar"/>
              </w:rPr>
              <w:t>线膨胀系统：</w:t>
            </w:r>
            <w:r>
              <w:rPr>
                <w:color w:val="auto"/>
                <w:kern w:val="2"/>
                <w:highlight w:val="none"/>
                <w:lang w:bidi="ar"/>
              </w:rPr>
              <w:t xml:space="preserve">1.2*10^-5  </w:t>
            </w:r>
            <w:r>
              <w:rPr>
                <w:rFonts w:hint="eastAsia"/>
                <w:color w:val="auto"/>
                <w:kern w:val="2"/>
                <w:highlight w:val="none"/>
                <w:lang w:bidi="ar"/>
              </w:rPr>
              <w:t>～</w:t>
            </w:r>
            <w:r>
              <w:rPr>
                <w:color w:val="auto"/>
                <w:kern w:val="2"/>
                <w:highlight w:val="none"/>
                <w:lang w:bidi="ar"/>
              </w:rPr>
              <w:t>1.8*10^-5 /</w:t>
            </w:r>
            <w:r>
              <w:rPr>
                <w:rFonts w:hint="eastAsia"/>
                <w:color w:val="auto"/>
                <w:kern w:val="2"/>
                <w:highlight w:val="none"/>
                <w:lang w:bidi="ar"/>
              </w:rPr>
              <w:t>℃⑦</w:t>
            </w:r>
            <w:r>
              <w:rPr>
                <w:color w:val="auto"/>
                <w:kern w:val="2"/>
                <w:highlight w:val="none"/>
                <w:lang w:bidi="ar"/>
              </w:rPr>
              <w:t xml:space="preserve"> </w:t>
            </w:r>
            <w:r>
              <w:rPr>
                <w:rFonts w:hint="eastAsia"/>
                <w:color w:val="auto"/>
                <w:kern w:val="2"/>
                <w:highlight w:val="none"/>
                <w:lang w:bidi="ar"/>
              </w:rPr>
              <w:t>采用亚弧焊焊接。</w:t>
            </w:r>
          </w:p>
          <w:p>
            <w:pPr>
              <w:pStyle w:val="78"/>
              <w:numPr>
                <w:ilvl w:val="0"/>
                <w:numId w:val="185"/>
              </w:numPr>
              <w:spacing w:before="0" w:beforeAutospacing="0" w:after="0" w:afterAutospacing="0" w:line="360" w:lineRule="auto"/>
              <w:ind w:firstLine="210"/>
              <w:jc w:val="both"/>
              <w:rPr>
                <w:color w:val="auto"/>
                <w:kern w:val="2"/>
                <w:highlight w:val="none"/>
              </w:rPr>
            </w:pPr>
            <w:r>
              <w:rPr>
                <w:rFonts w:hint="eastAsia"/>
                <w:color w:val="auto"/>
                <w:kern w:val="2"/>
                <w:highlight w:val="none"/>
                <w:lang w:bidi="ar"/>
              </w:rPr>
              <w:t>表面质感</w:t>
            </w:r>
            <w:r>
              <w:rPr>
                <w:color w:val="auto"/>
                <w:kern w:val="2"/>
                <w:highlight w:val="none"/>
                <w:lang w:bidi="ar"/>
              </w:rPr>
              <w:t>                                                                                   </w:t>
            </w:r>
          </w:p>
          <w:p>
            <w:pPr>
              <w:pStyle w:val="78"/>
              <w:widowControl/>
              <w:adjustRightInd w:val="0"/>
              <w:snapToGrid w:val="0"/>
              <w:spacing w:before="0" w:beforeAutospacing="0" w:after="200" w:afterAutospacing="0" w:line="360" w:lineRule="auto"/>
              <w:ind w:left="360" w:firstLine="210"/>
              <w:rPr>
                <w:color w:val="auto"/>
                <w:kern w:val="2"/>
                <w:highlight w:val="none"/>
              </w:rPr>
            </w:pPr>
            <w:r>
              <w:rPr>
                <w:color w:val="auto"/>
                <w:kern w:val="2"/>
                <w:highlight w:val="none"/>
                <w:lang w:bidi="ar"/>
              </w:rPr>
              <w:t> </w:t>
            </w:r>
            <w:r>
              <w:rPr>
                <w:rFonts w:hint="eastAsia"/>
                <w:color w:val="auto"/>
                <w:kern w:val="2"/>
                <w:highlight w:val="none"/>
                <w:lang w:bidi="ar"/>
              </w:rPr>
              <w:t>①</w:t>
            </w:r>
            <w:r>
              <w:rPr>
                <w:color w:val="auto"/>
                <w:kern w:val="2"/>
                <w:highlight w:val="none"/>
                <w:lang w:bidi="ar"/>
              </w:rPr>
              <w:t xml:space="preserve"> </w:t>
            </w:r>
            <w:r>
              <w:rPr>
                <w:rFonts w:hint="eastAsia"/>
                <w:color w:val="auto"/>
                <w:kern w:val="2"/>
                <w:highlight w:val="none"/>
                <w:lang w:bidi="ar"/>
              </w:rPr>
              <w:t>具有优异耐蚀性，优越的成型性，表面光滑，经久耐用；</w:t>
            </w:r>
          </w:p>
          <w:p>
            <w:pPr>
              <w:pStyle w:val="78"/>
              <w:widowControl/>
              <w:adjustRightInd w:val="0"/>
              <w:snapToGrid w:val="0"/>
              <w:spacing w:before="0" w:beforeAutospacing="0" w:after="200" w:afterAutospacing="0" w:line="360" w:lineRule="auto"/>
              <w:ind w:left="360" w:firstLine="210"/>
              <w:rPr>
                <w:color w:val="auto"/>
                <w:kern w:val="2"/>
                <w:highlight w:val="none"/>
              </w:rPr>
            </w:pPr>
            <w:r>
              <w:rPr>
                <w:rFonts w:hint="eastAsia"/>
                <w:color w:val="auto"/>
                <w:kern w:val="2"/>
                <w:highlight w:val="none"/>
                <w:lang w:bidi="ar"/>
              </w:rPr>
              <w:t>②</w:t>
            </w:r>
            <w:r>
              <w:rPr>
                <w:color w:val="auto"/>
                <w:kern w:val="2"/>
                <w:highlight w:val="none"/>
                <w:lang w:bidi="ar"/>
              </w:rPr>
              <w:t xml:space="preserve"> </w:t>
            </w:r>
            <w:r>
              <w:rPr>
                <w:rFonts w:hint="eastAsia"/>
                <w:color w:val="auto"/>
                <w:kern w:val="2"/>
                <w:highlight w:val="none"/>
                <w:lang w:bidi="ar"/>
              </w:rPr>
              <w:t>人工拉丝处理纹理均匀</w:t>
            </w:r>
          </w:p>
          <w:p>
            <w:pPr>
              <w:pStyle w:val="78"/>
              <w:widowControl/>
              <w:adjustRightInd w:val="0"/>
              <w:snapToGrid w:val="0"/>
              <w:spacing w:before="0" w:beforeAutospacing="0" w:after="200" w:afterAutospacing="0" w:line="360" w:lineRule="auto"/>
              <w:ind w:left="360" w:firstLine="210"/>
              <w:rPr>
                <w:color w:val="auto"/>
                <w:kern w:val="2"/>
                <w:highlight w:val="none"/>
              </w:rPr>
            </w:pPr>
            <w:r>
              <w:rPr>
                <w:rFonts w:hint="eastAsia"/>
                <w:color w:val="auto"/>
                <w:kern w:val="2"/>
                <w:highlight w:val="none"/>
                <w:lang w:bidi="ar"/>
              </w:rPr>
              <w:t>③</w:t>
            </w:r>
            <w:r>
              <w:rPr>
                <w:color w:val="auto"/>
                <w:kern w:val="2"/>
                <w:highlight w:val="none"/>
                <w:lang w:bidi="ar"/>
              </w:rPr>
              <w:t xml:space="preserve"> </w:t>
            </w:r>
            <w:r>
              <w:rPr>
                <w:rFonts w:hint="eastAsia"/>
                <w:color w:val="auto"/>
                <w:kern w:val="2"/>
                <w:highlight w:val="none"/>
                <w:lang w:bidi="ar"/>
              </w:rPr>
              <w:t>板面平滑无凹凸及划痕</w:t>
            </w:r>
          </w:p>
          <w:p>
            <w:pPr>
              <w:pStyle w:val="78"/>
              <w:widowControl/>
              <w:adjustRightInd w:val="0"/>
              <w:snapToGrid w:val="0"/>
              <w:spacing w:before="0" w:beforeAutospacing="0" w:after="200" w:afterAutospacing="0" w:line="360" w:lineRule="auto"/>
              <w:ind w:left="360" w:firstLine="210"/>
              <w:rPr>
                <w:color w:val="auto"/>
                <w:kern w:val="2"/>
                <w:highlight w:val="none"/>
              </w:rPr>
            </w:pPr>
            <w:r>
              <w:rPr>
                <w:rFonts w:hint="eastAsia"/>
                <w:color w:val="auto"/>
                <w:kern w:val="2"/>
                <w:highlight w:val="none"/>
                <w:lang w:bidi="ar"/>
              </w:rPr>
              <w:t>④</w:t>
            </w:r>
            <w:r>
              <w:rPr>
                <w:color w:val="auto"/>
                <w:kern w:val="2"/>
                <w:highlight w:val="none"/>
                <w:lang w:bidi="ar"/>
              </w:rPr>
              <w:t xml:space="preserve"> </w:t>
            </w:r>
            <w:r>
              <w:rPr>
                <w:rFonts w:hint="eastAsia"/>
                <w:color w:val="auto"/>
                <w:kern w:val="2"/>
                <w:highlight w:val="none"/>
                <w:lang w:bidi="ar"/>
              </w:rPr>
              <w:t>刨槽折边顺直平整</w:t>
            </w:r>
          </w:p>
          <w:p>
            <w:pPr>
              <w:spacing w:line="360" w:lineRule="auto"/>
              <w:rPr>
                <w:color w:val="auto"/>
                <w:szCs w:val="24"/>
                <w:highlight w:val="none"/>
              </w:rPr>
            </w:pPr>
            <w:r>
              <w:rPr>
                <w:color w:val="auto"/>
                <w:szCs w:val="24"/>
                <w:highlight w:val="none"/>
                <w:lang w:eastAsia="zh-CN"/>
              </w:rPr>
              <w:drawing>
                <wp:inline distT="0" distB="0" distL="114300" distR="114300">
                  <wp:extent cx="4629150" cy="602805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7"/>
                          <a:stretch>
                            <a:fillRect/>
                          </a:stretch>
                        </pic:blipFill>
                        <pic:spPr>
                          <a:xfrm>
                            <a:off x="0" y="0"/>
                            <a:ext cx="4640709" cy="6043183"/>
                          </a:xfrm>
                          <a:prstGeom prst="rect">
                            <a:avLst/>
                          </a:prstGeom>
                        </pic:spPr>
                      </pic:pic>
                    </a:graphicData>
                  </a:graphic>
                </wp:inline>
              </w:drawing>
            </w:r>
          </w:p>
          <w:p>
            <w:pPr>
              <w:pStyle w:val="78"/>
              <w:widowControl/>
              <w:adjustRightInd w:val="0"/>
              <w:snapToGrid w:val="0"/>
              <w:spacing w:before="0" w:beforeAutospacing="0" w:after="200" w:afterAutospacing="0" w:line="360" w:lineRule="auto"/>
              <w:ind w:left="360" w:firstLine="210"/>
              <w:rPr>
                <w:color w:val="auto"/>
                <w:kern w:val="2"/>
                <w:highlight w:val="none"/>
              </w:rPr>
            </w:pPr>
            <w:r>
              <w:rPr>
                <w:color w:val="auto"/>
                <w:kern w:val="2"/>
                <w:highlight w:val="none"/>
                <w:lang w:bidi="ar"/>
              </w:rPr>
              <w:t>6</w:t>
            </w:r>
            <w:r>
              <w:rPr>
                <w:rFonts w:hint="eastAsia"/>
                <w:color w:val="auto"/>
                <w:kern w:val="2"/>
                <w:highlight w:val="none"/>
                <w:lang w:bidi="ar"/>
              </w:rPr>
              <w:t>、实物效果图片：</w:t>
            </w:r>
          </w:p>
          <w:p>
            <w:pPr>
              <w:spacing w:line="360" w:lineRule="auto"/>
              <w:rPr>
                <w:color w:val="auto"/>
                <w:szCs w:val="24"/>
                <w:highlight w:val="none"/>
              </w:rPr>
            </w:pPr>
            <w:r>
              <w:rPr>
                <w:color w:val="auto"/>
                <w:szCs w:val="24"/>
                <w:highlight w:val="none"/>
                <w:lang w:eastAsia="zh-CN"/>
              </w:rPr>
              <w:drawing>
                <wp:inline distT="0" distB="0" distL="114300" distR="114300">
                  <wp:extent cx="4603750" cy="6986270"/>
                  <wp:effectExtent l="0" t="0" r="6350" b="508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8"/>
                          <a:stretch>
                            <a:fillRect/>
                          </a:stretch>
                        </pic:blipFill>
                        <pic:spPr>
                          <a:xfrm>
                            <a:off x="0" y="0"/>
                            <a:ext cx="4605867" cy="6990080"/>
                          </a:xfrm>
                          <a:prstGeom prst="rect">
                            <a:avLst/>
                          </a:prstGeom>
                        </pic:spPr>
                      </pic:pic>
                    </a:graphicData>
                  </a:graphic>
                </wp:inline>
              </w:drawing>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1689" w:hRule="atLeast"/>
        </w:trPr>
        <w:tc>
          <w:tcPr>
            <w:tcW w:w="701" w:type="dxa"/>
            <w:tcBorders>
              <w:top w:val="single" w:color="000000" w:sz="6" w:space="0"/>
              <w:left w:val="single" w:color="auto" w:sz="4" w:space="0"/>
              <w:bottom w:val="single" w:color="000000" w:sz="6" w:space="0"/>
              <w:right w:val="single" w:color="000000" w:sz="6" w:space="0"/>
            </w:tcBorders>
            <w:shd w:val="clear" w:color="auto" w:fill="auto"/>
            <w:vAlign w:val="center"/>
          </w:tcPr>
          <w:p>
            <w:pPr>
              <w:spacing w:line="360" w:lineRule="auto"/>
              <w:rPr>
                <w:color w:val="auto"/>
                <w:szCs w:val="24"/>
                <w:highlight w:val="none"/>
              </w:rPr>
            </w:pPr>
            <w:r>
              <w:rPr>
                <w:color w:val="auto"/>
                <w:szCs w:val="24"/>
                <w:highlight w:val="none"/>
                <w:lang w:bidi="ar"/>
              </w:rPr>
              <w:t>13</w:t>
            </w:r>
          </w:p>
        </w:tc>
        <w:tc>
          <w:tcPr>
            <w:tcW w:w="1418"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rPr>
                <w:color w:val="auto"/>
                <w:szCs w:val="24"/>
                <w:highlight w:val="none"/>
              </w:rPr>
            </w:pPr>
            <w:r>
              <w:rPr>
                <w:rFonts w:hint="eastAsia"/>
                <w:color w:val="auto"/>
                <w:szCs w:val="24"/>
                <w:highlight w:val="none"/>
                <w:lang w:bidi="ar"/>
              </w:rPr>
              <w:t>薄壁不锈钢管及管件</w:t>
            </w:r>
          </w:p>
        </w:tc>
        <w:tc>
          <w:tcPr>
            <w:tcW w:w="7512"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rPr>
                <w:color w:val="auto"/>
                <w:szCs w:val="24"/>
                <w:highlight w:val="none"/>
                <w:lang w:eastAsia="zh-CN"/>
              </w:rPr>
            </w:pPr>
            <w:r>
              <w:rPr>
                <w:rFonts w:hint="eastAsia"/>
                <w:color w:val="auto"/>
                <w:szCs w:val="24"/>
                <w:highlight w:val="none"/>
                <w:lang w:eastAsia="zh-CN" w:bidi="ar"/>
              </w:rPr>
              <w:t>技术要求：</w:t>
            </w:r>
          </w:p>
          <w:p>
            <w:pPr>
              <w:spacing w:line="360" w:lineRule="auto"/>
              <w:rPr>
                <w:color w:val="auto"/>
                <w:szCs w:val="24"/>
                <w:highlight w:val="none"/>
                <w:lang w:eastAsia="zh-CN"/>
              </w:rPr>
            </w:pPr>
            <w:r>
              <w:rPr>
                <w:color w:val="auto"/>
                <w:szCs w:val="24"/>
                <w:highlight w:val="none"/>
                <w:lang w:eastAsia="zh-CN" w:bidi="ar"/>
              </w:rPr>
              <w:t>1</w:t>
            </w:r>
            <w:r>
              <w:rPr>
                <w:rFonts w:hint="eastAsia"/>
                <w:color w:val="auto"/>
                <w:szCs w:val="24"/>
                <w:highlight w:val="none"/>
                <w:lang w:eastAsia="zh-CN" w:bidi="ar"/>
              </w:rPr>
              <w:t>）管材规格、压力等级、加工质量等，应符合</w:t>
            </w:r>
            <w:r>
              <w:rPr>
                <w:color w:val="auto"/>
                <w:szCs w:val="24"/>
                <w:highlight w:val="none"/>
                <w:lang w:eastAsia="zh-CN" w:bidi="ar"/>
              </w:rPr>
              <w:t>GB/T19228-2011</w:t>
            </w:r>
            <w:r>
              <w:rPr>
                <w:rFonts w:hint="eastAsia"/>
                <w:color w:val="auto"/>
                <w:szCs w:val="24"/>
                <w:highlight w:val="none"/>
                <w:lang w:eastAsia="zh-CN" w:bidi="ar"/>
              </w:rPr>
              <w:t>国家标准，并应符合设计要求。</w:t>
            </w:r>
          </w:p>
          <w:p>
            <w:pPr>
              <w:spacing w:line="360" w:lineRule="auto"/>
              <w:rPr>
                <w:color w:val="auto"/>
                <w:szCs w:val="24"/>
                <w:highlight w:val="none"/>
                <w:lang w:eastAsia="zh-CN"/>
              </w:rPr>
            </w:pPr>
            <w:r>
              <w:rPr>
                <w:color w:val="auto"/>
                <w:szCs w:val="24"/>
                <w:highlight w:val="none"/>
                <w:lang w:eastAsia="zh-CN" w:bidi="ar"/>
              </w:rPr>
              <w:t>2</w:t>
            </w:r>
            <w:r>
              <w:rPr>
                <w:rFonts w:hint="eastAsia"/>
                <w:color w:val="auto"/>
                <w:szCs w:val="24"/>
                <w:highlight w:val="none"/>
                <w:lang w:eastAsia="zh-CN" w:bidi="ar"/>
              </w:rPr>
              <w:t>）管材及管件材质最低要求为</w:t>
            </w:r>
            <w:r>
              <w:rPr>
                <w:color w:val="auto"/>
                <w:szCs w:val="24"/>
                <w:highlight w:val="none"/>
                <w:lang w:eastAsia="zh-CN" w:bidi="ar"/>
              </w:rPr>
              <w:t>SUS304</w:t>
            </w:r>
            <w:r>
              <w:rPr>
                <w:rFonts w:hint="eastAsia"/>
                <w:color w:val="auto"/>
                <w:szCs w:val="24"/>
                <w:highlight w:val="none"/>
                <w:lang w:eastAsia="zh-CN" w:bidi="ar"/>
              </w:rPr>
              <w:t>。</w:t>
            </w:r>
          </w:p>
          <w:p>
            <w:pPr>
              <w:spacing w:line="360" w:lineRule="auto"/>
              <w:rPr>
                <w:color w:val="auto"/>
                <w:szCs w:val="24"/>
                <w:highlight w:val="none"/>
                <w:lang w:eastAsia="zh-CN"/>
              </w:rPr>
            </w:pPr>
            <w:r>
              <w:rPr>
                <w:color w:val="auto"/>
                <w:szCs w:val="24"/>
                <w:highlight w:val="none"/>
                <w:lang w:eastAsia="zh-CN" w:bidi="ar"/>
              </w:rPr>
              <w:t>4</w:t>
            </w:r>
            <w:r>
              <w:rPr>
                <w:rFonts w:hint="eastAsia"/>
                <w:color w:val="auto"/>
                <w:szCs w:val="24"/>
                <w:highlight w:val="none"/>
                <w:lang w:eastAsia="zh-CN" w:bidi="ar"/>
              </w:rPr>
              <w:t>）管道壁厚应符合国家标准要求。</w:t>
            </w:r>
          </w:p>
          <w:p>
            <w:pPr>
              <w:spacing w:line="360" w:lineRule="auto"/>
              <w:rPr>
                <w:color w:val="auto"/>
                <w:szCs w:val="24"/>
                <w:highlight w:val="none"/>
                <w:lang w:eastAsia="zh-CN"/>
              </w:rPr>
            </w:pPr>
            <w:r>
              <w:rPr>
                <w:color w:val="auto"/>
                <w:szCs w:val="24"/>
                <w:highlight w:val="none"/>
                <w:lang w:eastAsia="zh-CN" w:bidi="ar"/>
              </w:rPr>
              <w:t>5</w:t>
            </w:r>
            <w:r>
              <w:rPr>
                <w:rFonts w:hint="eastAsia"/>
                <w:color w:val="auto"/>
                <w:szCs w:val="24"/>
                <w:highlight w:val="none"/>
                <w:lang w:eastAsia="zh-CN" w:bidi="ar"/>
              </w:rPr>
              <w:t>）采用卡压</w:t>
            </w:r>
            <w:r>
              <w:rPr>
                <w:color w:val="auto"/>
                <w:szCs w:val="24"/>
                <w:highlight w:val="none"/>
                <w:lang w:eastAsia="zh-CN" w:bidi="ar"/>
              </w:rPr>
              <w:t>/</w:t>
            </w:r>
            <w:r>
              <w:rPr>
                <w:rFonts w:hint="eastAsia"/>
                <w:color w:val="auto"/>
                <w:szCs w:val="24"/>
                <w:highlight w:val="none"/>
                <w:lang w:eastAsia="zh-CN" w:bidi="ar"/>
              </w:rPr>
              <w:t>环压连接。暗装管道采用外覆塑薄壁不锈钢管，埋地管须按设计要求采取防腐措施。</w:t>
            </w:r>
          </w:p>
          <w:p>
            <w:pPr>
              <w:spacing w:line="360" w:lineRule="auto"/>
              <w:rPr>
                <w:b/>
                <w:color w:val="auto"/>
                <w:szCs w:val="24"/>
                <w:highlight w:val="none"/>
                <w:lang w:eastAsia="zh-CN"/>
              </w:rPr>
            </w:pPr>
            <w:r>
              <w:rPr>
                <w:color w:val="auto"/>
                <w:szCs w:val="24"/>
                <w:highlight w:val="none"/>
                <w:lang w:eastAsia="zh-CN" w:bidi="ar"/>
              </w:rPr>
              <w:t>7</w:t>
            </w:r>
            <w:r>
              <w:rPr>
                <w:rFonts w:hint="eastAsia"/>
                <w:color w:val="auto"/>
                <w:szCs w:val="24"/>
                <w:highlight w:val="none"/>
                <w:lang w:eastAsia="zh-CN" w:bidi="ar"/>
              </w:rPr>
              <w:t>）管卡为原厂配套不锈钢管卡或包胶管卡。</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6222" w:hRule="atLeast"/>
        </w:trPr>
        <w:tc>
          <w:tcPr>
            <w:tcW w:w="701" w:type="dxa"/>
            <w:tcBorders>
              <w:top w:val="single" w:color="000000" w:sz="6" w:space="0"/>
              <w:left w:val="single" w:color="auto" w:sz="4" w:space="0"/>
              <w:bottom w:val="single" w:color="000000" w:sz="6" w:space="0"/>
              <w:right w:val="single" w:color="000000" w:sz="6" w:space="0"/>
            </w:tcBorders>
            <w:shd w:val="clear" w:color="auto" w:fill="auto"/>
            <w:vAlign w:val="center"/>
          </w:tcPr>
          <w:p>
            <w:pPr>
              <w:spacing w:line="360" w:lineRule="auto"/>
              <w:rPr>
                <w:color w:val="auto"/>
                <w:szCs w:val="24"/>
                <w:highlight w:val="none"/>
              </w:rPr>
            </w:pPr>
            <w:r>
              <w:rPr>
                <w:color w:val="auto"/>
                <w:szCs w:val="24"/>
                <w:highlight w:val="none"/>
                <w:lang w:bidi="ar"/>
              </w:rPr>
              <w:t>14</w:t>
            </w:r>
          </w:p>
        </w:tc>
        <w:tc>
          <w:tcPr>
            <w:tcW w:w="1418"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jc w:val="center"/>
              <w:rPr>
                <w:b/>
                <w:color w:val="auto"/>
                <w:szCs w:val="24"/>
                <w:highlight w:val="none"/>
              </w:rPr>
            </w:pPr>
            <w:r>
              <w:rPr>
                <w:color w:val="auto"/>
                <w:szCs w:val="24"/>
                <w:highlight w:val="none"/>
                <w:lang w:bidi="ar"/>
              </w:rPr>
              <w:t>PVC-U</w:t>
            </w:r>
            <w:r>
              <w:rPr>
                <w:rFonts w:hint="eastAsia"/>
                <w:color w:val="auto"/>
                <w:szCs w:val="24"/>
                <w:highlight w:val="none"/>
                <w:lang w:bidi="ar"/>
              </w:rPr>
              <w:t>排水管</w:t>
            </w:r>
          </w:p>
        </w:tc>
        <w:tc>
          <w:tcPr>
            <w:tcW w:w="7512"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rPr>
                <w:color w:val="auto"/>
                <w:szCs w:val="24"/>
                <w:highlight w:val="none"/>
                <w:lang w:eastAsia="zh-CN"/>
              </w:rPr>
            </w:pPr>
            <w:r>
              <w:rPr>
                <w:rFonts w:hint="eastAsia"/>
                <w:color w:val="auto"/>
                <w:szCs w:val="24"/>
                <w:highlight w:val="none"/>
                <w:lang w:eastAsia="zh-CN" w:bidi="ar"/>
              </w:rPr>
              <w:t>技术要求：</w:t>
            </w:r>
          </w:p>
          <w:p>
            <w:pPr>
              <w:spacing w:line="360" w:lineRule="auto"/>
              <w:rPr>
                <w:color w:val="auto"/>
                <w:szCs w:val="24"/>
                <w:highlight w:val="none"/>
                <w:lang w:eastAsia="zh-CN"/>
              </w:rPr>
            </w:pPr>
            <w:r>
              <w:rPr>
                <w:color w:val="auto"/>
                <w:szCs w:val="24"/>
                <w:highlight w:val="none"/>
                <w:lang w:eastAsia="zh-CN" w:bidi="ar"/>
              </w:rPr>
              <w:t>1</w:t>
            </w:r>
            <w:r>
              <w:rPr>
                <w:rFonts w:hint="eastAsia"/>
                <w:color w:val="auto"/>
                <w:szCs w:val="24"/>
                <w:highlight w:val="none"/>
                <w:lang w:eastAsia="zh-CN" w:bidi="ar"/>
              </w:rPr>
              <w:t>）管材和管件规格、压力等级、加工质量等，应符合现行的国家或行业生产技术标准和设计要求。</w:t>
            </w:r>
          </w:p>
          <w:p>
            <w:pPr>
              <w:spacing w:line="360" w:lineRule="auto"/>
              <w:rPr>
                <w:color w:val="auto"/>
                <w:szCs w:val="24"/>
                <w:highlight w:val="none"/>
                <w:lang w:eastAsia="zh-CN"/>
              </w:rPr>
            </w:pPr>
            <w:r>
              <w:rPr>
                <w:color w:val="auto"/>
                <w:szCs w:val="24"/>
                <w:highlight w:val="none"/>
                <w:lang w:eastAsia="zh-CN" w:bidi="ar"/>
              </w:rPr>
              <w:t>2)</w:t>
            </w:r>
            <w:r>
              <w:rPr>
                <w:rFonts w:hint="eastAsia"/>
                <w:color w:val="auto"/>
                <w:szCs w:val="24"/>
                <w:highlight w:val="none"/>
                <w:lang w:eastAsia="zh-CN" w:bidi="ar"/>
              </w:rPr>
              <w:t>符合</w:t>
            </w:r>
            <w:r>
              <w:rPr>
                <w:color w:val="auto"/>
                <w:szCs w:val="24"/>
                <w:highlight w:val="none"/>
                <w:lang w:eastAsia="zh-CN" w:bidi="ar"/>
              </w:rPr>
              <w:t xml:space="preserve">CJJ/T29-2010 </w:t>
            </w:r>
            <w:r>
              <w:rPr>
                <w:rFonts w:hint="eastAsia"/>
                <w:color w:val="auto"/>
                <w:szCs w:val="24"/>
                <w:highlight w:val="none"/>
                <w:lang w:eastAsia="zh-CN" w:bidi="ar"/>
              </w:rPr>
              <w:t>《建筑排水硬聚氯乙烯管道工程技术规程》要求。</w:t>
            </w:r>
          </w:p>
          <w:p>
            <w:pPr>
              <w:spacing w:line="360" w:lineRule="auto"/>
              <w:rPr>
                <w:color w:val="auto"/>
                <w:szCs w:val="24"/>
                <w:highlight w:val="none"/>
                <w:lang w:eastAsia="zh-CN"/>
              </w:rPr>
            </w:pPr>
            <w:r>
              <w:rPr>
                <w:color w:val="auto"/>
                <w:szCs w:val="24"/>
                <w:highlight w:val="none"/>
                <w:lang w:eastAsia="zh-CN" w:bidi="ar"/>
              </w:rPr>
              <w:t>3</w:t>
            </w:r>
            <w:r>
              <w:rPr>
                <w:rFonts w:hint="eastAsia"/>
                <w:color w:val="auto"/>
                <w:szCs w:val="24"/>
                <w:highlight w:val="none"/>
                <w:lang w:eastAsia="zh-CN" w:bidi="ar"/>
              </w:rPr>
              <w:t>）管材和管件的内外表面应光滑平整，壁厚均匀，无划痕，外壁颜色均匀，管材外壁应标注供应厂名称，产品型号，尺寸，生产日期，原材料型号，产品标准等。管材端口整齐，且端面应垂直于管材的轴线。</w:t>
            </w:r>
          </w:p>
          <w:p>
            <w:pPr>
              <w:spacing w:line="360" w:lineRule="auto"/>
              <w:rPr>
                <w:color w:val="auto"/>
                <w:szCs w:val="24"/>
                <w:highlight w:val="none"/>
                <w:lang w:eastAsia="zh-CN"/>
              </w:rPr>
            </w:pPr>
            <w:r>
              <w:rPr>
                <w:color w:val="auto"/>
                <w:szCs w:val="24"/>
                <w:highlight w:val="none"/>
                <w:lang w:eastAsia="zh-CN" w:bidi="ar"/>
              </w:rPr>
              <w:t>4)</w:t>
            </w:r>
            <w:r>
              <w:rPr>
                <w:rFonts w:hint="eastAsia"/>
                <w:color w:val="auto"/>
                <w:szCs w:val="24"/>
                <w:highlight w:val="none"/>
                <w:lang w:eastAsia="zh-CN" w:bidi="ar"/>
              </w:rPr>
              <w:t>不允许使用再生料。</w:t>
            </w:r>
          </w:p>
          <w:p>
            <w:pPr>
              <w:spacing w:line="360" w:lineRule="auto"/>
              <w:rPr>
                <w:color w:val="auto"/>
                <w:szCs w:val="24"/>
                <w:highlight w:val="none"/>
                <w:lang w:eastAsia="zh-CN"/>
              </w:rPr>
            </w:pPr>
            <w:r>
              <w:rPr>
                <w:color w:val="auto"/>
                <w:szCs w:val="24"/>
                <w:highlight w:val="none"/>
                <w:lang w:eastAsia="zh-CN" w:bidi="ar"/>
              </w:rPr>
              <w:t>4</w:t>
            </w:r>
            <w:r>
              <w:rPr>
                <w:rFonts w:hint="eastAsia"/>
                <w:color w:val="auto"/>
                <w:szCs w:val="24"/>
                <w:highlight w:val="none"/>
                <w:lang w:eastAsia="zh-CN" w:bidi="ar"/>
              </w:rPr>
              <w:t>）应由管材供应商配套提供管材、管件，专用机具和辅料。</w:t>
            </w:r>
          </w:p>
          <w:p>
            <w:pPr>
              <w:spacing w:line="360" w:lineRule="auto"/>
              <w:rPr>
                <w:color w:val="auto"/>
                <w:szCs w:val="24"/>
                <w:highlight w:val="none"/>
                <w:lang w:eastAsia="zh-CN"/>
              </w:rPr>
            </w:pPr>
            <w:r>
              <w:rPr>
                <w:color w:val="auto"/>
                <w:szCs w:val="24"/>
                <w:highlight w:val="none"/>
                <w:lang w:eastAsia="zh-CN" w:bidi="ar"/>
              </w:rPr>
              <w:t>5</w:t>
            </w:r>
            <w:r>
              <w:rPr>
                <w:rFonts w:hint="eastAsia"/>
                <w:color w:val="auto"/>
                <w:szCs w:val="24"/>
                <w:highlight w:val="none"/>
                <w:lang w:eastAsia="zh-CN" w:bidi="ar"/>
              </w:rPr>
              <w:t>）伸缩节、阻火圈、止水环、检查口等应按规范设置。</w:t>
            </w:r>
          </w:p>
          <w:p>
            <w:pPr>
              <w:spacing w:line="360" w:lineRule="auto"/>
              <w:rPr>
                <w:color w:val="auto"/>
                <w:szCs w:val="24"/>
                <w:highlight w:val="none"/>
                <w:lang w:eastAsia="zh-CN"/>
              </w:rPr>
            </w:pPr>
            <w:r>
              <w:rPr>
                <w:color w:val="auto"/>
                <w:szCs w:val="24"/>
                <w:highlight w:val="none"/>
                <w:lang w:bidi="ar"/>
              </w:rPr>
              <w:t>6)</w:t>
            </w:r>
            <w:r>
              <w:rPr>
                <w:rFonts w:hint="eastAsia"/>
                <w:color w:val="auto"/>
                <w:szCs w:val="24"/>
                <w:highlight w:val="none"/>
                <w:lang w:bidi="ar"/>
              </w:rPr>
              <w:t>地漏水封深度不得小于</w:t>
            </w:r>
            <w:r>
              <w:rPr>
                <w:color w:val="auto"/>
                <w:szCs w:val="24"/>
                <w:highlight w:val="none"/>
                <w:lang w:bidi="ar"/>
              </w:rPr>
              <w:t>50</w:t>
            </w:r>
            <w:r>
              <w:rPr>
                <w:rFonts w:hint="eastAsia"/>
                <w:color w:val="auto"/>
                <w:szCs w:val="24"/>
                <w:highlight w:val="none"/>
                <w:lang w:bidi="ar"/>
              </w:rPr>
              <w:t>毫米。</w:t>
            </w:r>
            <w:r>
              <w:rPr>
                <w:rFonts w:hint="eastAsia"/>
                <w:color w:val="auto"/>
                <w:szCs w:val="24"/>
                <w:highlight w:val="none"/>
                <w:lang w:eastAsia="zh-CN" w:bidi="ar"/>
              </w:rPr>
              <w:t>厨房、茶水间内地漏采用带网筐式塑料地漏。</w:t>
            </w:r>
          </w:p>
          <w:p>
            <w:pPr>
              <w:spacing w:line="360" w:lineRule="auto"/>
              <w:rPr>
                <w:color w:val="auto"/>
                <w:szCs w:val="24"/>
                <w:highlight w:val="none"/>
                <w:lang w:eastAsia="zh-CN"/>
              </w:rPr>
            </w:pPr>
            <w:r>
              <w:rPr>
                <w:color w:val="auto"/>
                <w:szCs w:val="24"/>
                <w:highlight w:val="none"/>
                <w:lang w:eastAsia="zh-CN" w:bidi="ar"/>
              </w:rPr>
              <w:t>7</w:t>
            </w:r>
            <w:r>
              <w:rPr>
                <w:rFonts w:hint="eastAsia"/>
                <w:color w:val="auto"/>
                <w:szCs w:val="24"/>
                <w:highlight w:val="none"/>
                <w:lang w:eastAsia="zh-CN" w:bidi="ar"/>
              </w:rPr>
              <w:t>）连接方式采用承插粘接。</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5" w:hRule="atLeast"/>
        </w:trPr>
        <w:tc>
          <w:tcPr>
            <w:tcW w:w="701" w:type="dxa"/>
            <w:tcBorders>
              <w:top w:val="single" w:color="000000" w:sz="6" w:space="0"/>
              <w:left w:val="single" w:color="auto" w:sz="4" w:space="0"/>
              <w:bottom w:val="single" w:color="000000" w:sz="6" w:space="0"/>
              <w:right w:val="single" w:color="000000" w:sz="6" w:space="0"/>
            </w:tcBorders>
            <w:shd w:val="clear" w:color="auto" w:fill="auto"/>
            <w:vAlign w:val="center"/>
          </w:tcPr>
          <w:p>
            <w:pPr>
              <w:spacing w:line="360" w:lineRule="auto"/>
              <w:rPr>
                <w:color w:val="auto"/>
                <w:szCs w:val="24"/>
                <w:highlight w:val="none"/>
              </w:rPr>
            </w:pPr>
            <w:r>
              <w:rPr>
                <w:color w:val="auto"/>
                <w:szCs w:val="24"/>
                <w:highlight w:val="none"/>
                <w:lang w:bidi="ar"/>
              </w:rPr>
              <w:t>15</w:t>
            </w:r>
          </w:p>
        </w:tc>
        <w:tc>
          <w:tcPr>
            <w:tcW w:w="1418"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jc w:val="center"/>
              <w:rPr>
                <w:color w:val="auto"/>
                <w:szCs w:val="24"/>
                <w:highlight w:val="none"/>
              </w:rPr>
            </w:pPr>
            <w:r>
              <w:rPr>
                <w:rFonts w:hint="eastAsia"/>
                <w:color w:val="auto"/>
                <w:szCs w:val="24"/>
                <w:highlight w:val="none"/>
                <w:lang w:bidi="ar"/>
              </w:rPr>
              <w:t>热镀锌</w:t>
            </w:r>
          </w:p>
          <w:p>
            <w:pPr>
              <w:spacing w:line="360" w:lineRule="auto"/>
              <w:jc w:val="center"/>
              <w:rPr>
                <w:color w:val="auto"/>
                <w:szCs w:val="24"/>
                <w:highlight w:val="none"/>
              </w:rPr>
            </w:pPr>
            <w:r>
              <w:rPr>
                <w:rFonts w:hint="eastAsia"/>
                <w:color w:val="auto"/>
                <w:szCs w:val="24"/>
                <w:highlight w:val="none"/>
                <w:lang w:bidi="ar"/>
              </w:rPr>
              <w:t>钢管</w:t>
            </w:r>
          </w:p>
        </w:tc>
        <w:tc>
          <w:tcPr>
            <w:tcW w:w="7512"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ind w:left="-113" w:leftChars="-47" w:firstLine="120" w:firstLineChars="50"/>
              <w:rPr>
                <w:color w:val="auto"/>
                <w:szCs w:val="24"/>
                <w:highlight w:val="none"/>
                <w:lang w:eastAsia="zh-CN"/>
              </w:rPr>
            </w:pPr>
            <w:r>
              <w:rPr>
                <w:rFonts w:hint="eastAsia"/>
                <w:color w:val="auto"/>
                <w:szCs w:val="24"/>
                <w:highlight w:val="none"/>
                <w:lang w:eastAsia="zh-CN" w:bidi="ar"/>
              </w:rPr>
              <w:t>技术要求：</w:t>
            </w:r>
          </w:p>
          <w:p>
            <w:pPr>
              <w:spacing w:line="360" w:lineRule="auto"/>
              <w:ind w:left="-113" w:leftChars="-47" w:firstLine="120" w:firstLineChars="50"/>
              <w:rPr>
                <w:color w:val="auto"/>
                <w:szCs w:val="24"/>
                <w:highlight w:val="none"/>
                <w:lang w:eastAsia="zh-CN"/>
              </w:rPr>
            </w:pPr>
            <w:r>
              <w:rPr>
                <w:color w:val="auto"/>
                <w:szCs w:val="24"/>
                <w:highlight w:val="none"/>
                <w:lang w:eastAsia="zh-CN" w:bidi="ar"/>
              </w:rPr>
              <w:t>1</w:t>
            </w:r>
            <w:r>
              <w:rPr>
                <w:rFonts w:hint="eastAsia"/>
                <w:color w:val="auto"/>
                <w:szCs w:val="24"/>
                <w:highlight w:val="none"/>
                <w:lang w:eastAsia="zh-CN" w:bidi="ar"/>
              </w:rPr>
              <w:t>）管材应符合</w:t>
            </w:r>
            <w:r>
              <w:rPr>
                <w:color w:val="auto"/>
                <w:szCs w:val="24"/>
                <w:highlight w:val="none"/>
                <w:lang w:eastAsia="zh-CN" w:bidi="ar"/>
              </w:rPr>
              <w:t>GB/T3091—2008</w:t>
            </w:r>
            <w:r>
              <w:rPr>
                <w:rFonts w:hint="eastAsia"/>
                <w:color w:val="auto"/>
                <w:szCs w:val="24"/>
                <w:highlight w:val="none"/>
                <w:lang w:eastAsia="zh-CN" w:bidi="ar"/>
              </w:rPr>
              <w:t>《低压流体输送用镀锌焊接钢管》的要求。</w:t>
            </w:r>
          </w:p>
          <w:p>
            <w:pPr>
              <w:spacing w:line="360" w:lineRule="auto"/>
              <w:rPr>
                <w:color w:val="auto"/>
                <w:szCs w:val="24"/>
                <w:highlight w:val="none"/>
                <w:lang w:eastAsia="zh-CN"/>
              </w:rPr>
            </w:pPr>
            <w:r>
              <w:rPr>
                <w:color w:val="auto"/>
                <w:szCs w:val="24"/>
                <w:highlight w:val="none"/>
                <w:lang w:eastAsia="zh-CN" w:bidi="ar"/>
              </w:rPr>
              <w:t>2</w:t>
            </w:r>
            <w:r>
              <w:rPr>
                <w:rFonts w:hint="eastAsia"/>
                <w:color w:val="auto"/>
                <w:szCs w:val="24"/>
                <w:highlight w:val="none"/>
                <w:lang w:eastAsia="zh-CN" w:bidi="ar"/>
              </w:rPr>
              <w:t>）管材的压力等级应符合设计要求。</w:t>
            </w:r>
          </w:p>
          <w:p>
            <w:pPr>
              <w:spacing w:line="360" w:lineRule="auto"/>
              <w:ind w:left="247" w:leftChars="3" w:hanging="240" w:hangingChars="100"/>
              <w:rPr>
                <w:color w:val="auto"/>
                <w:szCs w:val="24"/>
                <w:highlight w:val="none"/>
                <w:lang w:eastAsia="zh-CN"/>
              </w:rPr>
            </w:pPr>
            <w:r>
              <w:rPr>
                <w:color w:val="auto"/>
                <w:szCs w:val="24"/>
                <w:highlight w:val="none"/>
                <w:lang w:eastAsia="zh-CN" w:bidi="ar"/>
              </w:rPr>
              <w:t>3</w:t>
            </w:r>
            <w:r>
              <w:rPr>
                <w:rFonts w:hint="eastAsia"/>
                <w:color w:val="auto"/>
                <w:szCs w:val="24"/>
                <w:highlight w:val="none"/>
                <w:lang w:eastAsia="zh-CN" w:bidi="ar"/>
              </w:rPr>
              <w:t>）管材经热浸镀锌方式在钢管内外表面镀上完整的镀锌层。</w:t>
            </w:r>
          </w:p>
          <w:p>
            <w:pPr>
              <w:spacing w:line="360" w:lineRule="auto"/>
              <w:ind w:left="247" w:leftChars="3" w:hanging="240" w:hangingChars="100"/>
              <w:rPr>
                <w:color w:val="auto"/>
                <w:szCs w:val="24"/>
                <w:highlight w:val="none"/>
                <w:lang w:eastAsia="zh-CN"/>
              </w:rPr>
            </w:pPr>
            <w:r>
              <w:rPr>
                <w:color w:val="auto"/>
                <w:szCs w:val="24"/>
                <w:highlight w:val="none"/>
                <w:lang w:eastAsia="zh-CN" w:bidi="ar"/>
              </w:rPr>
              <w:t xml:space="preserve">4) </w:t>
            </w:r>
            <w:r>
              <w:rPr>
                <w:rFonts w:hint="eastAsia"/>
                <w:color w:val="auto"/>
                <w:szCs w:val="24"/>
                <w:highlight w:val="none"/>
                <w:lang w:eastAsia="zh-CN" w:bidi="ar"/>
              </w:rPr>
              <w:t>连接方式：</w:t>
            </w:r>
          </w:p>
          <w:p>
            <w:pPr>
              <w:spacing w:line="360" w:lineRule="auto"/>
              <w:ind w:firstLine="480" w:firstLineChars="200"/>
              <w:rPr>
                <w:color w:val="auto"/>
                <w:szCs w:val="24"/>
                <w:highlight w:val="none"/>
                <w:lang w:eastAsia="zh-CN"/>
              </w:rPr>
            </w:pPr>
            <w:r>
              <w:rPr>
                <w:color w:val="auto"/>
                <w:szCs w:val="24"/>
                <w:highlight w:val="none"/>
                <w:lang w:eastAsia="zh-CN" w:bidi="ar"/>
              </w:rPr>
              <w:t xml:space="preserve">① </w:t>
            </w:r>
            <w:r>
              <w:rPr>
                <w:rFonts w:hint="eastAsia"/>
                <w:color w:val="auto"/>
                <w:szCs w:val="24"/>
                <w:highlight w:val="none"/>
                <w:lang w:eastAsia="zh-CN" w:bidi="ar"/>
              </w:rPr>
              <w:t>管径</w:t>
            </w:r>
            <w:r>
              <w:rPr>
                <w:color w:val="auto"/>
                <w:szCs w:val="24"/>
                <w:highlight w:val="none"/>
                <w:lang w:eastAsia="zh-CN" w:bidi="ar"/>
              </w:rPr>
              <w:t>&lt;DN100</w:t>
            </w:r>
            <w:r>
              <w:rPr>
                <w:rFonts w:hint="eastAsia"/>
                <w:color w:val="auto"/>
                <w:szCs w:val="24"/>
                <w:highlight w:val="none"/>
                <w:lang w:eastAsia="zh-CN" w:bidi="ar"/>
              </w:rPr>
              <w:t>采用螺纹连接，</w:t>
            </w:r>
          </w:p>
          <w:p>
            <w:pPr>
              <w:spacing w:line="360" w:lineRule="auto"/>
              <w:ind w:firstLine="480" w:firstLineChars="200"/>
              <w:rPr>
                <w:color w:val="auto"/>
                <w:szCs w:val="24"/>
                <w:highlight w:val="none"/>
                <w:lang w:eastAsia="zh-CN"/>
              </w:rPr>
            </w:pPr>
            <w:r>
              <w:rPr>
                <w:rFonts w:hint="eastAsia"/>
                <w:color w:val="auto"/>
                <w:szCs w:val="24"/>
                <w:highlight w:val="none"/>
                <w:lang w:eastAsia="zh-CN" w:bidi="ar"/>
              </w:rPr>
              <w:t>②</w:t>
            </w:r>
            <w:r>
              <w:rPr>
                <w:color w:val="auto"/>
                <w:szCs w:val="24"/>
                <w:highlight w:val="none"/>
                <w:lang w:eastAsia="zh-CN" w:bidi="ar"/>
              </w:rPr>
              <w:t xml:space="preserve"> </w:t>
            </w:r>
            <w:r>
              <w:rPr>
                <w:rFonts w:hint="eastAsia"/>
                <w:color w:val="auto"/>
                <w:szCs w:val="24"/>
                <w:highlight w:val="none"/>
                <w:lang w:eastAsia="zh-CN" w:bidi="ar"/>
              </w:rPr>
              <w:t>管径≥</w:t>
            </w:r>
            <w:r>
              <w:rPr>
                <w:color w:val="auto"/>
                <w:szCs w:val="24"/>
                <w:highlight w:val="none"/>
                <w:lang w:eastAsia="zh-CN" w:bidi="ar"/>
              </w:rPr>
              <w:t>DN100</w:t>
            </w:r>
            <w:r>
              <w:rPr>
                <w:rFonts w:hint="eastAsia"/>
                <w:color w:val="auto"/>
                <w:szCs w:val="24"/>
                <w:highlight w:val="none"/>
                <w:lang w:eastAsia="zh-CN" w:bidi="ar"/>
              </w:rPr>
              <w:t>采用卡箍连接。</w:t>
            </w:r>
          </w:p>
          <w:p>
            <w:pPr>
              <w:spacing w:line="360" w:lineRule="auto"/>
              <w:ind w:left="-480" w:leftChars="-200" w:firstLine="480" w:firstLineChars="200"/>
              <w:rPr>
                <w:color w:val="auto"/>
                <w:szCs w:val="24"/>
                <w:highlight w:val="none"/>
                <w:lang w:eastAsia="zh-CN"/>
              </w:rPr>
            </w:pPr>
            <w:r>
              <w:rPr>
                <w:color w:val="auto"/>
                <w:szCs w:val="24"/>
                <w:highlight w:val="none"/>
                <w:lang w:eastAsia="zh-CN" w:bidi="ar"/>
              </w:rPr>
              <w:t>5</w:t>
            </w:r>
            <w:r>
              <w:rPr>
                <w:rFonts w:hint="eastAsia"/>
                <w:color w:val="auto"/>
                <w:szCs w:val="24"/>
                <w:highlight w:val="none"/>
                <w:lang w:eastAsia="zh-CN" w:bidi="ar"/>
              </w:rPr>
              <w:t>）管件根据设计压力要求选用热镀锌的可锻铸铁、球墨铸铁或无缝钢管件。</w:t>
            </w:r>
          </w:p>
          <w:p>
            <w:pPr>
              <w:spacing w:line="360" w:lineRule="auto"/>
              <w:rPr>
                <w:color w:val="auto"/>
                <w:szCs w:val="24"/>
                <w:highlight w:val="none"/>
                <w:lang w:eastAsia="zh-CN"/>
              </w:rPr>
            </w:pPr>
            <w:r>
              <w:rPr>
                <w:color w:val="auto"/>
                <w:szCs w:val="24"/>
                <w:highlight w:val="none"/>
                <w:lang w:eastAsia="zh-CN" w:bidi="ar"/>
              </w:rPr>
              <w:t>6</w:t>
            </w:r>
            <w:r>
              <w:rPr>
                <w:rFonts w:hint="eastAsia"/>
                <w:color w:val="auto"/>
                <w:szCs w:val="24"/>
                <w:highlight w:val="none"/>
                <w:lang w:eastAsia="zh-CN" w:bidi="ar"/>
              </w:rPr>
              <w:t>）镀锌层重量应达到国标（</w:t>
            </w:r>
            <w:r>
              <w:rPr>
                <w:color w:val="auto"/>
                <w:szCs w:val="24"/>
                <w:highlight w:val="none"/>
                <w:lang w:eastAsia="zh-CN" w:bidi="ar"/>
              </w:rPr>
              <w:t>500g / m2</w:t>
            </w:r>
            <w:r>
              <w:rPr>
                <w:rFonts w:hint="eastAsia"/>
                <w:color w:val="auto"/>
                <w:szCs w:val="24"/>
                <w:highlight w:val="none"/>
                <w:lang w:eastAsia="zh-CN" w:bidi="ar"/>
              </w:rPr>
              <w:t>）的要求，并要求送检时进行检测。（镀锌层重量在重大项目上要求）。</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6222" w:hRule="atLeast"/>
        </w:trPr>
        <w:tc>
          <w:tcPr>
            <w:tcW w:w="701" w:type="dxa"/>
            <w:tcBorders>
              <w:top w:val="single" w:color="000000" w:sz="6" w:space="0"/>
              <w:left w:val="single" w:color="auto" w:sz="4" w:space="0"/>
              <w:bottom w:val="single" w:color="000000" w:sz="6" w:space="0"/>
              <w:right w:val="single" w:color="000000" w:sz="6" w:space="0"/>
            </w:tcBorders>
            <w:shd w:val="clear" w:color="auto" w:fill="auto"/>
            <w:vAlign w:val="center"/>
          </w:tcPr>
          <w:p>
            <w:pPr>
              <w:spacing w:line="360" w:lineRule="auto"/>
              <w:rPr>
                <w:color w:val="auto"/>
                <w:szCs w:val="24"/>
                <w:highlight w:val="none"/>
              </w:rPr>
            </w:pPr>
            <w:r>
              <w:rPr>
                <w:color w:val="auto"/>
                <w:szCs w:val="24"/>
                <w:highlight w:val="none"/>
                <w:lang w:bidi="ar"/>
              </w:rPr>
              <w:t>16</w:t>
            </w:r>
          </w:p>
        </w:tc>
        <w:tc>
          <w:tcPr>
            <w:tcW w:w="1418"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rPr>
                <w:color w:val="auto"/>
                <w:szCs w:val="24"/>
                <w:highlight w:val="none"/>
              </w:rPr>
            </w:pPr>
            <w:r>
              <w:rPr>
                <w:rFonts w:hint="eastAsia"/>
                <w:color w:val="auto"/>
                <w:szCs w:val="24"/>
                <w:highlight w:val="none"/>
                <w:lang w:bidi="ar"/>
              </w:rPr>
              <w:t>卡箍式排水铸铁管</w:t>
            </w:r>
          </w:p>
        </w:tc>
        <w:tc>
          <w:tcPr>
            <w:tcW w:w="7512"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rPr>
                <w:color w:val="auto"/>
                <w:szCs w:val="24"/>
                <w:highlight w:val="none"/>
                <w:lang w:eastAsia="zh-CN"/>
              </w:rPr>
            </w:pPr>
            <w:r>
              <w:rPr>
                <w:rFonts w:hint="eastAsia"/>
                <w:color w:val="auto"/>
                <w:szCs w:val="24"/>
                <w:highlight w:val="none"/>
                <w:lang w:eastAsia="zh-CN" w:bidi="ar"/>
              </w:rPr>
              <w:t>技术要求：</w:t>
            </w:r>
          </w:p>
          <w:p>
            <w:pPr>
              <w:spacing w:line="360" w:lineRule="auto"/>
              <w:rPr>
                <w:color w:val="auto"/>
                <w:szCs w:val="24"/>
                <w:highlight w:val="none"/>
                <w:lang w:eastAsia="zh-CN"/>
              </w:rPr>
            </w:pPr>
            <w:r>
              <w:rPr>
                <w:color w:val="auto"/>
                <w:szCs w:val="24"/>
                <w:highlight w:val="none"/>
                <w:lang w:eastAsia="zh-CN" w:bidi="ar"/>
              </w:rPr>
              <w:t>1</w:t>
            </w:r>
            <w:r>
              <w:rPr>
                <w:rFonts w:hint="eastAsia"/>
                <w:color w:val="auto"/>
                <w:szCs w:val="24"/>
                <w:highlight w:val="none"/>
                <w:lang w:eastAsia="zh-CN" w:bidi="ar"/>
              </w:rPr>
              <w:t>）</w:t>
            </w:r>
            <w:r>
              <w:rPr>
                <w:color w:val="auto"/>
                <w:szCs w:val="24"/>
                <w:highlight w:val="none"/>
                <w:lang w:eastAsia="zh-CN" w:bidi="ar"/>
              </w:rPr>
              <w:tab/>
            </w:r>
            <w:r>
              <w:rPr>
                <w:rFonts w:hint="eastAsia"/>
                <w:color w:val="auto"/>
                <w:szCs w:val="24"/>
                <w:highlight w:val="none"/>
                <w:lang w:eastAsia="zh-CN" w:bidi="ar"/>
              </w:rPr>
              <w:t>管材和管件规格、加工质量等，应符合现行的国家或行业生产技术标准。</w:t>
            </w:r>
          </w:p>
          <w:p>
            <w:pPr>
              <w:spacing w:line="360" w:lineRule="auto"/>
              <w:rPr>
                <w:color w:val="auto"/>
                <w:szCs w:val="24"/>
                <w:highlight w:val="none"/>
                <w:lang w:eastAsia="zh-CN"/>
              </w:rPr>
            </w:pPr>
            <w:r>
              <w:rPr>
                <w:color w:val="auto"/>
                <w:szCs w:val="24"/>
                <w:highlight w:val="none"/>
                <w:lang w:eastAsia="zh-CN" w:bidi="ar"/>
              </w:rPr>
              <w:t>2</w:t>
            </w:r>
            <w:r>
              <w:rPr>
                <w:rFonts w:hint="eastAsia"/>
                <w:color w:val="auto"/>
                <w:szCs w:val="24"/>
                <w:highlight w:val="none"/>
                <w:lang w:eastAsia="zh-CN" w:bidi="ar"/>
              </w:rPr>
              <w:t>）</w:t>
            </w:r>
            <w:r>
              <w:rPr>
                <w:color w:val="auto"/>
                <w:szCs w:val="24"/>
                <w:highlight w:val="none"/>
                <w:lang w:eastAsia="zh-CN" w:bidi="ar"/>
              </w:rPr>
              <w:tab/>
            </w:r>
            <w:r>
              <w:rPr>
                <w:rFonts w:hint="eastAsia"/>
                <w:color w:val="auto"/>
                <w:szCs w:val="24"/>
                <w:highlight w:val="none"/>
                <w:lang w:eastAsia="zh-CN" w:bidi="ar"/>
              </w:rPr>
              <w:t>采用不锈钢管卡箍连接方式。</w:t>
            </w:r>
          </w:p>
          <w:p>
            <w:pPr>
              <w:spacing w:line="360" w:lineRule="auto"/>
              <w:rPr>
                <w:color w:val="auto"/>
                <w:szCs w:val="24"/>
                <w:highlight w:val="none"/>
                <w:lang w:eastAsia="zh-CN"/>
              </w:rPr>
            </w:pPr>
            <w:r>
              <w:rPr>
                <w:color w:val="auto"/>
                <w:szCs w:val="24"/>
                <w:highlight w:val="none"/>
                <w:lang w:eastAsia="zh-CN" w:bidi="ar"/>
              </w:rPr>
              <w:t>3</w:t>
            </w:r>
            <w:r>
              <w:rPr>
                <w:rFonts w:hint="eastAsia"/>
                <w:color w:val="auto"/>
                <w:szCs w:val="24"/>
                <w:highlight w:val="none"/>
                <w:lang w:eastAsia="zh-CN" w:bidi="ar"/>
              </w:rPr>
              <w:t>）耐磨性好；内外壁光滑；有较好的抗冲击性。</w:t>
            </w:r>
          </w:p>
          <w:p>
            <w:pPr>
              <w:spacing w:line="360" w:lineRule="auto"/>
              <w:rPr>
                <w:color w:val="auto"/>
                <w:szCs w:val="24"/>
                <w:highlight w:val="none"/>
                <w:lang w:eastAsia="zh-CN"/>
              </w:rPr>
            </w:pPr>
            <w:r>
              <w:rPr>
                <w:color w:val="auto"/>
                <w:szCs w:val="24"/>
                <w:highlight w:val="none"/>
                <w:lang w:eastAsia="zh-CN" w:bidi="ar"/>
              </w:rPr>
              <w:t>4</w:t>
            </w:r>
            <w:r>
              <w:rPr>
                <w:rFonts w:hint="eastAsia"/>
                <w:color w:val="auto"/>
                <w:szCs w:val="24"/>
                <w:highlight w:val="none"/>
                <w:lang w:eastAsia="zh-CN" w:bidi="ar"/>
              </w:rPr>
              <w:t>）</w:t>
            </w:r>
            <w:r>
              <w:rPr>
                <w:color w:val="auto"/>
                <w:szCs w:val="24"/>
                <w:highlight w:val="none"/>
                <w:lang w:eastAsia="zh-CN" w:bidi="ar"/>
              </w:rPr>
              <w:tab/>
            </w:r>
            <w:r>
              <w:rPr>
                <w:rFonts w:hint="eastAsia"/>
                <w:color w:val="auto"/>
                <w:szCs w:val="24"/>
                <w:highlight w:val="none"/>
                <w:lang w:eastAsia="zh-CN" w:bidi="ar"/>
              </w:rPr>
              <w:t>应由管材供应商配套提供管材、管件，专用机具和辅料。</w:t>
            </w:r>
          </w:p>
          <w:p>
            <w:pPr>
              <w:spacing w:line="360" w:lineRule="auto"/>
              <w:rPr>
                <w:color w:val="auto"/>
                <w:szCs w:val="24"/>
                <w:highlight w:val="none"/>
                <w:lang w:eastAsia="zh-CN"/>
              </w:rPr>
            </w:pPr>
            <w:r>
              <w:rPr>
                <w:color w:val="auto"/>
                <w:szCs w:val="24"/>
                <w:highlight w:val="none"/>
                <w:lang w:eastAsia="zh-CN" w:bidi="ar"/>
              </w:rPr>
              <w:t>5</w:t>
            </w:r>
            <w:r>
              <w:rPr>
                <w:rFonts w:hint="eastAsia"/>
                <w:color w:val="auto"/>
                <w:szCs w:val="24"/>
                <w:highlight w:val="none"/>
                <w:lang w:eastAsia="zh-CN" w:bidi="ar"/>
              </w:rPr>
              <w:t>）管材端口整齐，且端面应垂直于管材的轴线。</w:t>
            </w:r>
          </w:p>
          <w:p>
            <w:pPr>
              <w:spacing w:line="360" w:lineRule="auto"/>
              <w:rPr>
                <w:color w:val="auto"/>
                <w:szCs w:val="24"/>
                <w:highlight w:val="none"/>
                <w:lang w:eastAsia="zh-CN"/>
              </w:rPr>
            </w:pPr>
            <w:r>
              <w:rPr>
                <w:color w:val="auto"/>
                <w:szCs w:val="24"/>
                <w:highlight w:val="none"/>
                <w:lang w:eastAsia="zh-CN" w:bidi="ar"/>
              </w:rPr>
              <w:t xml:space="preserve">6) </w:t>
            </w:r>
            <w:r>
              <w:rPr>
                <w:rFonts w:hint="eastAsia"/>
                <w:color w:val="auto"/>
                <w:szCs w:val="24"/>
                <w:highlight w:val="none"/>
                <w:lang w:eastAsia="zh-CN" w:bidi="ar"/>
              </w:rPr>
              <w:t>管材外壁应标注品牌名称。</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6222" w:hRule="atLeast"/>
        </w:trPr>
        <w:tc>
          <w:tcPr>
            <w:tcW w:w="701" w:type="dxa"/>
            <w:tcBorders>
              <w:top w:val="single" w:color="000000" w:sz="6" w:space="0"/>
              <w:left w:val="single" w:color="auto" w:sz="4" w:space="0"/>
              <w:bottom w:val="single" w:color="000000" w:sz="6" w:space="0"/>
              <w:right w:val="single" w:color="000000" w:sz="6" w:space="0"/>
            </w:tcBorders>
            <w:shd w:val="clear" w:color="auto" w:fill="auto"/>
            <w:vAlign w:val="center"/>
          </w:tcPr>
          <w:p>
            <w:pPr>
              <w:spacing w:line="360" w:lineRule="auto"/>
              <w:rPr>
                <w:color w:val="auto"/>
                <w:szCs w:val="24"/>
                <w:highlight w:val="none"/>
              </w:rPr>
            </w:pPr>
            <w:r>
              <w:rPr>
                <w:color w:val="auto"/>
                <w:szCs w:val="24"/>
                <w:highlight w:val="none"/>
                <w:lang w:bidi="ar"/>
              </w:rPr>
              <w:t>17</w:t>
            </w:r>
          </w:p>
        </w:tc>
        <w:tc>
          <w:tcPr>
            <w:tcW w:w="1418"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jc w:val="center"/>
              <w:rPr>
                <w:color w:val="auto"/>
                <w:szCs w:val="24"/>
                <w:highlight w:val="none"/>
                <w:lang w:eastAsia="zh-CN"/>
              </w:rPr>
            </w:pPr>
            <w:r>
              <w:rPr>
                <w:rFonts w:hint="eastAsia"/>
                <w:color w:val="auto"/>
                <w:szCs w:val="24"/>
                <w:highlight w:val="none"/>
                <w:lang w:eastAsia="zh-CN" w:bidi="ar"/>
              </w:rPr>
              <w:t>阀门</w:t>
            </w:r>
          </w:p>
          <w:p>
            <w:pPr>
              <w:spacing w:line="360" w:lineRule="auto"/>
              <w:rPr>
                <w:color w:val="auto"/>
                <w:szCs w:val="24"/>
                <w:highlight w:val="none"/>
                <w:lang w:eastAsia="zh-CN"/>
              </w:rPr>
            </w:pPr>
            <w:r>
              <w:rPr>
                <w:rFonts w:hint="eastAsia"/>
                <w:color w:val="auto"/>
                <w:szCs w:val="24"/>
                <w:highlight w:val="none"/>
                <w:lang w:eastAsia="zh-CN" w:bidi="ar"/>
              </w:rPr>
              <w:t>（闸阀、蝶阀、截止阀、（消声）止回阀、减压阀、自动排气阀、多动能水力控制阀、</w:t>
            </w:r>
            <w:r>
              <w:rPr>
                <w:color w:val="auto"/>
                <w:szCs w:val="24"/>
                <w:highlight w:val="none"/>
                <w:lang w:eastAsia="zh-CN" w:bidi="ar"/>
              </w:rPr>
              <w:t>Y</w:t>
            </w:r>
            <w:r>
              <w:rPr>
                <w:rFonts w:hint="eastAsia"/>
                <w:color w:val="auto"/>
                <w:szCs w:val="24"/>
                <w:highlight w:val="none"/>
                <w:lang w:eastAsia="zh-CN" w:bidi="ar"/>
              </w:rPr>
              <w:t>型管道过滤器、倒流防止器等）</w:t>
            </w:r>
          </w:p>
        </w:tc>
        <w:tc>
          <w:tcPr>
            <w:tcW w:w="7512"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rPr>
                <w:color w:val="auto"/>
                <w:szCs w:val="24"/>
                <w:highlight w:val="none"/>
              </w:rPr>
            </w:pPr>
            <w:r>
              <w:rPr>
                <w:rFonts w:hint="eastAsia"/>
                <w:color w:val="auto"/>
                <w:szCs w:val="24"/>
                <w:highlight w:val="none"/>
                <w:lang w:bidi="ar"/>
              </w:rPr>
              <w:t>技术要求：</w:t>
            </w:r>
          </w:p>
          <w:p>
            <w:pPr>
              <w:keepLines w:val="0"/>
              <w:numPr>
                <w:ilvl w:val="0"/>
                <w:numId w:val="186"/>
              </w:numPr>
              <w:spacing w:line="360" w:lineRule="auto"/>
              <w:jc w:val="both"/>
              <w:rPr>
                <w:color w:val="auto"/>
                <w:szCs w:val="24"/>
                <w:highlight w:val="none"/>
                <w:lang w:eastAsia="zh-CN"/>
              </w:rPr>
            </w:pPr>
            <w:r>
              <w:rPr>
                <w:rFonts w:hint="eastAsia"/>
                <w:color w:val="auto"/>
                <w:szCs w:val="24"/>
                <w:highlight w:val="none"/>
                <w:lang w:eastAsia="zh-CN" w:bidi="ar"/>
              </w:rPr>
              <w:t>用于生活给水、热水管路上，阀门选型、压力等级应符合国家有关规范及设计要求。</w:t>
            </w:r>
          </w:p>
          <w:p>
            <w:pPr>
              <w:keepLines w:val="0"/>
              <w:numPr>
                <w:ilvl w:val="0"/>
                <w:numId w:val="186"/>
              </w:numPr>
              <w:spacing w:line="360" w:lineRule="auto"/>
              <w:jc w:val="both"/>
              <w:rPr>
                <w:color w:val="auto"/>
                <w:szCs w:val="24"/>
                <w:highlight w:val="none"/>
                <w:lang w:eastAsia="zh-CN"/>
              </w:rPr>
            </w:pPr>
            <w:r>
              <w:rPr>
                <w:rFonts w:hint="eastAsia"/>
                <w:color w:val="auto"/>
                <w:szCs w:val="24"/>
                <w:highlight w:val="none"/>
                <w:lang w:eastAsia="zh-CN" w:bidi="ar"/>
              </w:rPr>
              <w:t>符合现行的国家或行业的生产技术标准。</w:t>
            </w:r>
          </w:p>
          <w:p>
            <w:pPr>
              <w:keepLines w:val="0"/>
              <w:numPr>
                <w:ilvl w:val="0"/>
                <w:numId w:val="186"/>
              </w:numPr>
              <w:spacing w:line="360" w:lineRule="auto"/>
              <w:jc w:val="both"/>
              <w:rPr>
                <w:color w:val="auto"/>
                <w:szCs w:val="24"/>
                <w:highlight w:val="none"/>
                <w:lang w:eastAsia="zh-CN"/>
              </w:rPr>
            </w:pPr>
            <w:r>
              <w:rPr>
                <w:rFonts w:hint="eastAsia"/>
                <w:color w:val="auto"/>
                <w:szCs w:val="24"/>
                <w:highlight w:val="none"/>
                <w:lang w:eastAsia="zh-CN" w:bidi="ar"/>
              </w:rPr>
              <w:t>一般情况下，口径</w:t>
            </w:r>
            <w:r>
              <w:rPr>
                <w:color w:val="auto"/>
                <w:szCs w:val="24"/>
                <w:highlight w:val="none"/>
                <w:lang w:eastAsia="zh-CN" w:bidi="ar"/>
              </w:rPr>
              <w:t>≤50</w:t>
            </w:r>
            <w:r>
              <w:rPr>
                <w:rFonts w:hint="eastAsia"/>
                <w:color w:val="auto"/>
                <w:szCs w:val="24"/>
                <w:highlight w:val="none"/>
                <w:lang w:eastAsia="zh-CN" w:bidi="ar"/>
              </w:rPr>
              <w:t>毫米的阀门采用铜阀；口径</w:t>
            </w:r>
            <w:r>
              <w:rPr>
                <w:color w:val="auto"/>
                <w:szCs w:val="24"/>
                <w:highlight w:val="none"/>
                <w:lang w:eastAsia="zh-CN" w:bidi="ar"/>
              </w:rPr>
              <w:t>&gt;50</w:t>
            </w:r>
            <w:r>
              <w:rPr>
                <w:rFonts w:hint="eastAsia"/>
                <w:color w:val="auto"/>
                <w:szCs w:val="24"/>
                <w:highlight w:val="none"/>
                <w:lang w:eastAsia="zh-CN" w:bidi="ar"/>
              </w:rPr>
              <w:t>毫米的阀门采用球墨铸铁阀。</w:t>
            </w:r>
          </w:p>
          <w:p>
            <w:pPr>
              <w:keepLines w:val="0"/>
              <w:numPr>
                <w:ilvl w:val="0"/>
                <w:numId w:val="186"/>
              </w:numPr>
              <w:spacing w:line="360" w:lineRule="auto"/>
              <w:jc w:val="both"/>
              <w:rPr>
                <w:color w:val="auto"/>
                <w:szCs w:val="24"/>
                <w:highlight w:val="none"/>
                <w:lang w:eastAsia="zh-CN"/>
              </w:rPr>
            </w:pPr>
            <w:r>
              <w:rPr>
                <w:rFonts w:hint="eastAsia"/>
                <w:color w:val="auto"/>
                <w:szCs w:val="24"/>
                <w:highlight w:val="none"/>
                <w:lang w:eastAsia="zh-CN" w:bidi="ar"/>
              </w:rPr>
              <w:t>弹性座封闸阀材质要求：</w:t>
            </w:r>
          </w:p>
          <w:p>
            <w:pPr>
              <w:spacing w:line="360" w:lineRule="auto"/>
              <w:ind w:left="420"/>
              <w:rPr>
                <w:color w:val="auto"/>
                <w:szCs w:val="24"/>
                <w:highlight w:val="none"/>
                <w:lang w:eastAsia="zh-CN"/>
              </w:rPr>
            </w:pPr>
            <w:r>
              <w:rPr>
                <w:rFonts w:hint="eastAsia"/>
                <w:color w:val="auto"/>
                <w:szCs w:val="24"/>
                <w:highlight w:val="none"/>
                <w:lang w:eastAsia="zh-CN" w:bidi="ar"/>
              </w:rPr>
              <w:t>①阀体、阀盖采用球墨铸铁，表面采用无毒环保的食品级环氧树脂喷涂。</w:t>
            </w:r>
          </w:p>
          <w:p>
            <w:pPr>
              <w:spacing w:line="360" w:lineRule="auto"/>
              <w:ind w:left="420"/>
              <w:rPr>
                <w:color w:val="auto"/>
                <w:szCs w:val="24"/>
                <w:highlight w:val="none"/>
                <w:lang w:eastAsia="zh-CN"/>
              </w:rPr>
            </w:pPr>
            <w:r>
              <w:rPr>
                <w:rFonts w:hint="eastAsia"/>
                <w:color w:val="auto"/>
                <w:szCs w:val="24"/>
                <w:highlight w:val="none"/>
                <w:lang w:eastAsia="zh-CN" w:bidi="ar"/>
              </w:rPr>
              <w:t>②闸板骨架为球墨铸铁整体铸造，骨架内外表面整体包胶，包胶材质应为无毒环保的食品级橡胶，用于热水系统的阀门包胶材质采用三元乙丙橡胶。</w:t>
            </w:r>
          </w:p>
          <w:p>
            <w:pPr>
              <w:spacing w:line="360" w:lineRule="auto"/>
              <w:ind w:left="720" w:leftChars="200" w:hanging="240" w:hangingChars="100"/>
              <w:rPr>
                <w:color w:val="auto"/>
                <w:szCs w:val="24"/>
                <w:highlight w:val="none"/>
                <w:lang w:eastAsia="zh-CN"/>
              </w:rPr>
            </w:pPr>
            <w:r>
              <w:rPr>
                <w:rFonts w:hint="eastAsia"/>
                <w:color w:val="auto"/>
                <w:szCs w:val="24"/>
                <w:highlight w:val="none"/>
                <w:lang w:eastAsia="zh-CN" w:bidi="ar"/>
              </w:rPr>
              <w:t>③阀杆采用不锈钢材料。阀杆螺母采用铜合金，其硬度和强度均大于阀杆。</w:t>
            </w:r>
          </w:p>
          <w:p>
            <w:pPr>
              <w:spacing w:line="360" w:lineRule="auto"/>
              <w:ind w:left="720" w:leftChars="200" w:hanging="240" w:hangingChars="100"/>
              <w:rPr>
                <w:color w:val="auto"/>
                <w:szCs w:val="24"/>
                <w:highlight w:val="none"/>
                <w:lang w:eastAsia="zh-CN"/>
              </w:rPr>
            </w:pPr>
            <w:r>
              <w:rPr>
                <w:rFonts w:hint="eastAsia"/>
                <w:color w:val="auto"/>
                <w:szCs w:val="24"/>
                <w:highlight w:val="none"/>
                <w:lang w:eastAsia="zh-CN" w:bidi="ar"/>
              </w:rPr>
              <w:t>④密封材料采用无毒环保的食品级橡胶，热水系统阀门密封采用三元乙丙。</w:t>
            </w:r>
          </w:p>
          <w:p>
            <w:pPr>
              <w:keepLines w:val="0"/>
              <w:numPr>
                <w:ilvl w:val="0"/>
                <w:numId w:val="186"/>
              </w:numPr>
              <w:spacing w:line="360" w:lineRule="auto"/>
              <w:jc w:val="both"/>
              <w:rPr>
                <w:color w:val="auto"/>
                <w:szCs w:val="24"/>
                <w:highlight w:val="none"/>
              </w:rPr>
            </w:pPr>
            <w:r>
              <w:rPr>
                <w:rFonts w:hint="eastAsia"/>
                <w:color w:val="auto"/>
                <w:szCs w:val="24"/>
                <w:highlight w:val="none"/>
                <w:lang w:bidi="ar"/>
              </w:rPr>
              <w:t>蝶阀材质及型式要求：</w:t>
            </w:r>
          </w:p>
          <w:p>
            <w:pPr>
              <w:keepLines w:val="0"/>
              <w:numPr>
                <w:ilvl w:val="0"/>
                <w:numId w:val="187"/>
              </w:numPr>
              <w:tabs>
                <w:tab w:val="left" w:pos="780"/>
              </w:tabs>
              <w:spacing w:line="360" w:lineRule="auto"/>
              <w:ind w:left="780"/>
              <w:jc w:val="both"/>
              <w:rPr>
                <w:color w:val="auto"/>
                <w:szCs w:val="24"/>
                <w:highlight w:val="none"/>
                <w:lang w:eastAsia="zh-CN"/>
              </w:rPr>
            </w:pPr>
            <w:r>
              <w:rPr>
                <w:rFonts w:hint="eastAsia"/>
                <w:color w:val="auto"/>
                <w:szCs w:val="24"/>
                <w:highlight w:val="none"/>
                <w:lang w:eastAsia="zh-CN" w:bidi="ar"/>
              </w:rPr>
              <w:t>阀体采用球墨铸铁，表面采用无毒环保的食品级环氧树脂喷涂。</w:t>
            </w:r>
          </w:p>
          <w:p>
            <w:pPr>
              <w:keepLines w:val="0"/>
              <w:numPr>
                <w:ilvl w:val="0"/>
                <w:numId w:val="187"/>
              </w:numPr>
              <w:tabs>
                <w:tab w:val="left" w:pos="780"/>
              </w:tabs>
              <w:spacing w:line="360" w:lineRule="auto"/>
              <w:ind w:left="780"/>
              <w:jc w:val="both"/>
              <w:rPr>
                <w:color w:val="auto"/>
                <w:szCs w:val="24"/>
                <w:highlight w:val="none"/>
                <w:lang w:eastAsia="zh-CN"/>
              </w:rPr>
            </w:pPr>
            <w:r>
              <w:rPr>
                <w:rFonts w:hint="eastAsia"/>
                <w:color w:val="auto"/>
                <w:szCs w:val="24"/>
                <w:highlight w:val="none"/>
                <w:lang w:eastAsia="zh-CN" w:bidi="ar"/>
              </w:rPr>
              <w:t>蝶板采用不锈钢材料或球墨铸铁整体包胶。</w:t>
            </w:r>
          </w:p>
          <w:p>
            <w:pPr>
              <w:spacing w:line="360" w:lineRule="auto"/>
              <w:ind w:firstLine="480" w:firstLineChars="200"/>
              <w:rPr>
                <w:color w:val="auto"/>
                <w:szCs w:val="24"/>
                <w:highlight w:val="none"/>
                <w:lang w:eastAsia="zh-CN"/>
              </w:rPr>
            </w:pPr>
            <w:r>
              <w:rPr>
                <w:rFonts w:hint="eastAsia"/>
                <w:color w:val="auto"/>
                <w:szCs w:val="24"/>
                <w:highlight w:val="none"/>
                <w:lang w:eastAsia="zh-CN" w:bidi="ar"/>
              </w:rPr>
              <w:t>③阀轴采用不锈钢材料。</w:t>
            </w:r>
          </w:p>
          <w:p>
            <w:pPr>
              <w:spacing w:line="360" w:lineRule="auto"/>
              <w:ind w:firstLine="480" w:firstLineChars="200"/>
              <w:rPr>
                <w:color w:val="auto"/>
                <w:szCs w:val="24"/>
                <w:highlight w:val="none"/>
                <w:lang w:eastAsia="zh-CN"/>
              </w:rPr>
            </w:pPr>
            <w:r>
              <w:rPr>
                <w:rFonts w:hint="eastAsia"/>
                <w:color w:val="auto"/>
                <w:szCs w:val="24"/>
                <w:highlight w:val="none"/>
                <w:lang w:eastAsia="zh-CN" w:bidi="ar"/>
              </w:rPr>
              <w:t>④密封材料采用丁晴橡胶或三元乙丙橡胶。</w:t>
            </w:r>
          </w:p>
          <w:p>
            <w:pPr>
              <w:spacing w:line="360" w:lineRule="auto"/>
              <w:ind w:firstLine="480" w:firstLineChars="200"/>
              <w:rPr>
                <w:color w:val="auto"/>
                <w:szCs w:val="24"/>
                <w:highlight w:val="none"/>
                <w:lang w:eastAsia="zh-CN"/>
              </w:rPr>
            </w:pPr>
            <w:r>
              <w:rPr>
                <w:rFonts w:hint="eastAsia"/>
                <w:color w:val="auto"/>
                <w:szCs w:val="24"/>
                <w:highlight w:val="none"/>
                <w:lang w:eastAsia="zh-CN" w:bidi="ar"/>
              </w:rPr>
              <w:t>⑤</w:t>
            </w:r>
            <w:r>
              <w:rPr>
                <w:color w:val="auto"/>
                <w:szCs w:val="24"/>
                <w:highlight w:val="none"/>
                <w:lang w:eastAsia="zh-CN" w:bidi="ar"/>
              </w:rPr>
              <w:t>DNl00</w:t>
            </w:r>
            <w:r>
              <w:rPr>
                <w:rFonts w:hint="eastAsia"/>
                <w:color w:val="auto"/>
                <w:szCs w:val="24"/>
                <w:highlight w:val="none"/>
                <w:lang w:eastAsia="zh-CN" w:bidi="ar"/>
              </w:rPr>
              <w:t>以下采用手柄式，≥</w:t>
            </w:r>
            <w:r>
              <w:rPr>
                <w:color w:val="auto"/>
                <w:szCs w:val="24"/>
                <w:highlight w:val="none"/>
                <w:lang w:eastAsia="zh-CN" w:bidi="ar"/>
              </w:rPr>
              <w:t>DNl00</w:t>
            </w:r>
            <w:r>
              <w:rPr>
                <w:rFonts w:hint="eastAsia"/>
                <w:color w:val="auto"/>
                <w:szCs w:val="24"/>
                <w:highlight w:val="none"/>
                <w:lang w:eastAsia="zh-CN" w:bidi="ar"/>
              </w:rPr>
              <w:t>采用涡轮式。</w:t>
            </w:r>
          </w:p>
          <w:p>
            <w:pPr>
              <w:spacing w:line="360" w:lineRule="auto"/>
              <w:rPr>
                <w:color w:val="auto"/>
                <w:szCs w:val="24"/>
                <w:highlight w:val="none"/>
                <w:lang w:eastAsia="zh-CN"/>
              </w:rPr>
            </w:pPr>
            <w:r>
              <w:rPr>
                <w:color w:val="auto"/>
                <w:szCs w:val="24"/>
                <w:highlight w:val="none"/>
                <w:lang w:eastAsia="zh-CN" w:bidi="ar"/>
              </w:rPr>
              <w:t>6</w:t>
            </w:r>
            <w:r>
              <w:rPr>
                <w:rFonts w:hint="eastAsia"/>
                <w:color w:val="auto"/>
                <w:szCs w:val="24"/>
                <w:highlight w:val="none"/>
                <w:lang w:eastAsia="zh-CN" w:bidi="ar"/>
              </w:rPr>
              <w:t>）橡胶板止回阀材质要求：</w:t>
            </w:r>
          </w:p>
          <w:p>
            <w:pPr>
              <w:spacing w:line="360" w:lineRule="auto"/>
              <w:ind w:left="420"/>
              <w:rPr>
                <w:color w:val="auto"/>
                <w:szCs w:val="24"/>
                <w:highlight w:val="none"/>
                <w:lang w:eastAsia="zh-CN"/>
              </w:rPr>
            </w:pPr>
            <w:r>
              <w:rPr>
                <w:rFonts w:hint="eastAsia"/>
                <w:color w:val="auto"/>
                <w:szCs w:val="24"/>
                <w:highlight w:val="none"/>
                <w:lang w:eastAsia="zh-CN" w:bidi="ar"/>
              </w:rPr>
              <w:t>①阀体、阀盖采用球墨铸铁，表面采用无毒环保的食品级环氧树脂喷涂。</w:t>
            </w:r>
          </w:p>
          <w:p>
            <w:pPr>
              <w:spacing w:line="360" w:lineRule="auto"/>
              <w:ind w:firstLine="480" w:firstLineChars="200"/>
              <w:rPr>
                <w:color w:val="auto"/>
                <w:szCs w:val="24"/>
                <w:highlight w:val="none"/>
                <w:lang w:eastAsia="zh-CN"/>
              </w:rPr>
            </w:pPr>
            <w:r>
              <w:rPr>
                <w:rFonts w:hint="eastAsia"/>
                <w:color w:val="auto"/>
                <w:szCs w:val="24"/>
                <w:highlight w:val="none"/>
                <w:lang w:eastAsia="zh-CN" w:bidi="ar"/>
              </w:rPr>
              <w:t>②阀瓣采用碳钢</w:t>
            </w:r>
            <w:r>
              <w:rPr>
                <w:color w:val="auto"/>
                <w:szCs w:val="24"/>
                <w:highlight w:val="none"/>
                <w:lang w:eastAsia="zh-CN" w:bidi="ar"/>
              </w:rPr>
              <w:t>+</w:t>
            </w:r>
            <w:r>
              <w:rPr>
                <w:rFonts w:hint="eastAsia"/>
                <w:color w:val="auto"/>
                <w:szCs w:val="24"/>
                <w:highlight w:val="none"/>
                <w:lang w:eastAsia="zh-CN" w:bidi="ar"/>
              </w:rPr>
              <w:t>强化尼龙纤维</w:t>
            </w:r>
            <w:r>
              <w:rPr>
                <w:color w:val="auto"/>
                <w:szCs w:val="24"/>
                <w:highlight w:val="none"/>
                <w:lang w:eastAsia="zh-CN" w:bidi="ar"/>
              </w:rPr>
              <w:t>+</w:t>
            </w:r>
            <w:r>
              <w:rPr>
                <w:rFonts w:hint="eastAsia"/>
                <w:color w:val="auto"/>
                <w:szCs w:val="24"/>
                <w:highlight w:val="none"/>
                <w:lang w:eastAsia="zh-CN" w:bidi="ar"/>
              </w:rPr>
              <w:t>丁晴橡胶一体成型，全被覆式包胶。</w:t>
            </w:r>
          </w:p>
          <w:p>
            <w:pPr>
              <w:spacing w:line="360" w:lineRule="auto"/>
              <w:rPr>
                <w:color w:val="auto"/>
                <w:szCs w:val="24"/>
                <w:highlight w:val="none"/>
                <w:lang w:eastAsia="zh-CN"/>
              </w:rPr>
            </w:pPr>
            <w:r>
              <w:rPr>
                <w:color w:val="auto"/>
                <w:szCs w:val="24"/>
                <w:highlight w:val="none"/>
                <w:lang w:eastAsia="zh-CN" w:bidi="ar"/>
              </w:rPr>
              <w:t>7</w:t>
            </w:r>
            <w:r>
              <w:rPr>
                <w:rFonts w:hint="eastAsia"/>
                <w:color w:val="auto"/>
                <w:szCs w:val="24"/>
                <w:highlight w:val="none"/>
                <w:lang w:eastAsia="zh-CN" w:bidi="ar"/>
              </w:rPr>
              <w:t>）水力控制阀材质要求：</w:t>
            </w:r>
          </w:p>
          <w:p>
            <w:pPr>
              <w:spacing w:line="360" w:lineRule="auto"/>
              <w:ind w:firstLine="480" w:firstLineChars="200"/>
              <w:rPr>
                <w:color w:val="auto"/>
                <w:szCs w:val="24"/>
                <w:highlight w:val="none"/>
                <w:lang w:eastAsia="zh-CN"/>
              </w:rPr>
            </w:pPr>
            <w:r>
              <w:rPr>
                <w:rFonts w:hint="eastAsia"/>
                <w:color w:val="auto"/>
                <w:szCs w:val="24"/>
                <w:highlight w:val="none"/>
                <w:lang w:eastAsia="zh-CN" w:bidi="ar"/>
              </w:rPr>
              <w:t>①阀体、阀盖采用球墨铸铁，表面采用无毒环保的食品级环氧树脂喷涂。</w:t>
            </w:r>
          </w:p>
          <w:p>
            <w:pPr>
              <w:spacing w:line="360" w:lineRule="auto"/>
              <w:ind w:firstLine="480" w:firstLineChars="200"/>
              <w:rPr>
                <w:color w:val="auto"/>
                <w:szCs w:val="24"/>
                <w:highlight w:val="none"/>
                <w:lang w:eastAsia="zh-CN"/>
              </w:rPr>
            </w:pPr>
            <w:r>
              <w:rPr>
                <w:rFonts w:hint="eastAsia"/>
                <w:color w:val="auto"/>
                <w:szCs w:val="24"/>
                <w:highlight w:val="none"/>
                <w:lang w:eastAsia="zh-CN" w:bidi="ar"/>
              </w:rPr>
              <w:t>②阀杆采用不锈钢材料。</w:t>
            </w:r>
          </w:p>
          <w:p>
            <w:pPr>
              <w:spacing w:line="360" w:lineRule="auto"/>
              <w:ind w:firstLine="480" w:firstLineChars="200"/>
              <w:rPr>
                <w:color w:val="auto"/>
                <w:szCs w:val="24"/>
                <w:highlight w:val="none"/>
                <w:lang w:eastAsia="zh-CN"/>
              </w:rPr>
            </w:pPr>
            <w:r>
              <w:rPr>
                <w:rFonts w:hint="eastAsia"/>
                <w:color w:val="auto"/>
                <w:szCs w:val="24"/>
                <w:highlight w:val="none"/>
                <w:lang w:eastAsia="zh-CN" w:bidi="ar"/>
              </w:rPr>
              <w:t>③膜片采用丁晴尼龙强化橡胶或三元乙丙尼龙强化橡胶。</w:t>
            </w:r>
          </w:p>
          <w:p>
            <w:pPr>
              <w:spacing w:line="360" w:lineRule="auto"/>
              <w:ind w:left="480" w:leftChars="200"/>
              <w:rPr>
                <w:color w:val="auto"/>
                <w:szCs w:val="24"/>
                <w:highlight w:val="none"/>
                <w:lang w:eastAsia="zh-CN"/>
              </w:rPr>
            </w:pPr>
            <w:r>
              <w:rPr>
                <w:rFonts w:hint="eastAsia"/>
                <w:color w:val="auto"/>
                <w:szCs w:val="24"/>
                <w:highlight w:val="none"/>
                <w:lang w:eastAsia="zh-CN" w:bidi="ar"/>
              </w:rPr>
              <w:t>④密封材料采用无毒环保的食品级橡胶，用于热水系统采用三元乙丙。</w:t>
            </w:r>
          </w:p>
          <w:p>
            <w:pPr>
              <w:spacing w:line="360" w:lineRule="auto"/>
              <w:ind w:left="480" w:leftChars="200"/>
              <w:rPr>
                <w:color w:val="auto"/>
                <w:szCs w:val="24"/>
                <w:highlight w:val="none"/>
                <w:lang w:eastAsia="zh-CN"/>
              </w:rPr>
            </w:pPr>
            <w:r>
              <w:rPr>
                <w:rFonts w:hint="eastAsia"/>
                <w:color w:val="auto"/>
                <w:szCs w:val="24"/>
                <w:highlight w:val="none"/>
                <w:lang w:eastAsia="zh-CN" w:bidi="ar"/>
              </w:rPr>
              <w:t>⑤弹簧、阀座、压板、阀盘采用铜合金或不锈钢。</w:t>
            </w:r>
          </w:p>
          <w:p>
            <w:pPr>
              <w:spacing w:line="360" w:lineRule="auto"/>
              <w:rPr>
                <w:color w:val="auto"/>
                <w:szCs w:val="24"/>
                <w:highlight w:val="none"/>
                <w:lang w:eastAsia="zh-CN"/>
              </w:rPr>
            </w:pPr>
            <w:r>
              <w:rPr>
                <w:color w:val="auto"/>
                <w:szCs w:val="24"/>
                <w:highlight w:val="none"/>
                <w:lang w:eastAsia="zh-CN" w:bidi="ar"/>
              </w:rPr>
              <w:t xml:space="preserve">8) </w:t>
            </w:r>
            <w:r>
              <w:rPr>
                <w:rFonts w:hint="eastAsia"/>
                <w:color w:val="auto"/>
                <w:szCs w:val="24"/>
                <w:highlight w:val="none"/>
                <w:lang w:eastAsia="zh-CN" w:bidi="ar"/>
              </w:rPr>
              <w:t>倒流防止器材质及型式要求：</w:t>
            </w:r>
          </w:p>
          <w:p>
            <w:pPr>
              <w:spacing w:line="360" w:lineRule="auto"/>
              <w:ind w:firstLine="480" w:firstLineChars="200"/>
              <w:rPr>
                <w:color w:val="auto"/>
                <w:szCs w:val="24"/>
                <w:highlight w:val="none"/>
                <w:lang w:eastAsia="zh-CN"/>
              </w:rPr>
            </w:pPr>
            <w:r>
              <w:rPr>
                <w:rFonts w:hint="eastAsia"/>
                <w:color w:val="auto"/>
                <w:szCs w:val="24"/>
                <w:highlight w:val="none"/>
                <w:lang w:eastAsia="zh-CN" w:bidi="ar"/>
              </w:rPr>
              <w:t>①由双止回阀加泄水阀组成，彻底防止任何工况下的倒流污染。</w:t>
            </w:r>
          </w:p>
          <w:p>
            <w:pPr>
              <w:spacing w:line="360" w:lineRule="auto"/>
              <w:ind w:firstLine="480" w:firstLineChars="200"/>
              <w:rPr>
                <w:color w:val="auto"/>
                <w:szCs w:val="24"/>
                <w:highlight w:val="none"/>
                <w:lang w:eastAsia="zh-CN"/>
              </w:rPr>
            </w:pPr>
            <w:r>
              <w:rPr>
                <w:rFonts w:hint="eastAsia"/>
                <w:color w:val="auto"/>
                <w:szCs w:val="24"/>
                <w:highlight w:val="none"/>
                <w:lang w:eastAsia="zh-CN" w:bidi="ar"/>
              </w:rPr>
              <w:t>②阀体、阀盖采用球墨铸铁，表面采用无毒环保的食品级环氧树脂喷涂。阀杆采用不锈钢材料。</w:t>
            </w:r>
          </w:p>
          <w:p>
            <w:pPr>
              <w:spacing w:line="360" w:lineRule="auto"/>
              <w:ind w:firstLine="480" w:firstLineChars="200"/>
              <w:rPr>
                <w:color w:val="auto"/>
                <w:szCs w:val="24"/>
                <w:highlight w:val="none"/>
                <w:lang w:eastAsia="zh-CN"/>
              </w:rPr>
            </w:pPr>
            <w:r>
              <w:rPr>
                <w:rFonts w:hint="eastAsia"/>
                <w:color w:val="auto"/>
                <w:szCs w:val="24"/>
                <w:highlight w:val="none"/>
                <w:lang w:eastAsia="zh-CN" w:bidi="ar"/>
              </w:rPr>
              <w:t>③膜片采用丁晴尼龙强化橡胶或三元乙丙尼龙强化橡胶。</w:t>
            </w:r>
          </w:p>
          <w:p>
            <w:pPr>
              <w:spacing w:line="360" w:lineRule="auto"/>
              <w:ind w:left="480" w:leftChars="200"/>
              <w:rPr>
                <w:color w:val="auto"/>
                <w:szCs w:val="24"/>
                <w:highlight w:val="none"/>
                <w:lang w:eastAsia="zh-CN"/>
              </w:rPr>
            </w:pPr>
            <w:r>
              <w:rPr>
                <w:rFonts w:hint="eastAsia"/>
                <w:color w:val="auto"/>
                <w:szCs w:val="24"/>
                <w:highlight w:val="none"/>
                <w:lang w:eastAsia="zh-CN" w:bidi="ar"/>
              </w:rPr>
              <w:t>④密封材料采用无毒环保的食品级橡胶，用于热水系统采用三元乙丙。</w:t>
            </w:r>
          </w:p>
          <w:p>
            <w:pPr>
              <w:spacing w:line="360" w:lineRule="auto"/>
              <w:rPr>
                <w:color w:val="auto"/>
                <w:szCs w:val="24"/>
                <w:highlight w:val="none"/>
                <w:lang w:eastAsia="zh-CN"/>
              </w:rPr>
            </w:pPr>
            <w:r>
              <w:rPr>
                <w:color w:val="auto"/>
                <w:szCs w:val="24"/>
                <w:highlight w:val="none"/>
                <w:lang w:eastAsia="zh-CN" w:bidi="ar"/>
              </w:rPr>
              <w:t>9</w:t>
            </w:r>
            <w:r>
              <w:rPr>
                <w:rFonts w:hint="eastAsia"/>
                <w:color w:val="auto"/>
                <w:szCs w:val="24"/>
                <w:highlight w:val="none"/>
                <w:lang w:eastAsia="zh-CN" w:bidi="ar"/>
              </w:rPr>
              <w:t>）铜阀材质要求：</w:t>
            </w:r>
          </w:p>
          <w:p>
            <w:pPr>
              <w:spacing w:line="360" w:lineRule="auto"/>
              <w:ind w:left="420"/>
              <w:rPr>
                <w:color w:val="auto"/>
                <w:szCs w:val="24"/>
                <w:highlight w:val="none"/>
                <w:lang w:eastAsia="zh-CN"/>
              </w:rPr>
            </w:pPr>
            <w:r>
              <w:rPr>
                <w:rFonts w:hint="eastAsia"/>
                <w:color w:val="auto"/>
                <w:szCs w:val="24"/>
                <w:highlight w:val="none"/>
                <w:lang w:eastAsia="zh-CN" w:bidi="ar"/>
              </w:rPr>
              <w:t>①阀体、阀盖、阀杆、阀瓣全部采用黄铜材质。</w:t>
            </w:r>
          </w:p>
          <w:p>
            <w:pPr>
              <w:spacing w:line="360" w:lineRule="auto"/>
              <w:ind w:left="420"/>
              <w:rPr>
                <w:color w:val="auto"/>
                <w:szCs w:val="24"/>
                <w:highlight w:val="none"/>
              </w:rPr>
            </w:pPr>
            <w:r>
              <w:rPr>
                <w:rFonts w:hint="eastAsia"/>
                <w:color w:val="auto"/>
                <w:szCs w:val="24"/>
                <w:highlight w:val="none"/>
                <w:lang w:bidi="ar"/>
              </w:rPr>
              <w:t>②填料采用聚四氟乙烯。</w:t>
            </w:r>
          </w:p>
          <w:p>
            <w:pPr>
              <w:spacing w:line="360" w:lineRule="auto"/>
              <w:rPr>
                <w:color w:val="auto"/>
                <w:szCs w:val="24"/>
                <w:highlight w:val="none"/>
                <w:lang w:eastAsia="zh-CN"/>
              </w:rPr>
            </w:pPr>
            <w:r>
              <w:rPr>
                <w:color w:val="auto"/>
                <w:szCs w:val="24"/>
                <w:highlight w:val="none"/>
                <w:lang w:eastAsia="zh-CN" w:bidi="ar"/>
              </w:rPr>
              <w:t>10</w:t>
            </w:r>
            <w:r>
              <w:rPr>
                <w:rFonts w:hint="eastAsia"/>
                <w:color w:val="auto"/>
                <w:szCs w:val="24"/>
                <w:highlight w:val="none"/>
                <w:lang w:eastAsia="zh-CN" w:bidi="ar"/>
              </w:rPr>
              <w:t>）对阀门标牌的要求：</w:t>
            </w:r>
          </w:p>
          <w:p>
            <w:pPr>
              <w:spacing w:line="360" w:lineRule="auto"/>
              <w:rPr>
                <w:color w:val="auto"/>
                <w:szCs w:val="24"/>
                <w:highlight w:val="none"/>
                <w:lang w:eastAsia="zh-CN"/>
              </w:rPr>
            </w:pPr>
            <w:r>
              <w:rPr>
                <w:rFonts w:hint="eastAsia"/>
                <w:color w:val="auto"/>
                <w:szCs w:val="24"/>
                <w:highlight w:val="none"/>
                <w:lang w:eastAsia="zh-CN" w:bidi="ar"/>
              </w:rPr>
              <w:t>阀门厂应给每个阀门一个固定的编号，其编号和阀门型号、口径、公称压力、厂名、生产日期等阀门标牌内容一起固定在阀体上。</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5" w:hRule="atLeast"/>
        </w:trPr>
        <w:tc>
          <w:tcPr>
            <w:tcW w:w="701" w:type="dxa"/>
            <w:tcBorders>
              <w:top w:val="single" w:color="000000" w:sz="6" w:space="0"/>
              <w:left w:val="single" w:color="auto" w:sz="4" w:space="0"/>
              <w:bottom w:val="single" w:color="000000" w:sz="6" w:space="0"/>
              <w:right w:val="single" w:color="000000" w:sz="6" w:space="0"/>
            </w:tcBorders>
            <w:shd w:val="clear" w:color="auto" w:fill="auto"/>
            <w:vAlign w:val="center"/>
          </w:tcPr>
          <w:p>
            <w:pPr>
              <w:spacing w:line="360" w:lineRule="auto"/>
              <w:rPr>
                <w:color w:val="auto"/>
                <w:szCs w:val="24"/>
                <w:highlight w:val="none"/>
              </w:rPr>
            </w:pPr>
            <w:r>
              <w:rPr>
                <w:color w:val="auto"/>
                <w:szCs w:val="24"/>
                <w:highlight w:val="none"/>
                <w:lang w:bidi="ar"/>
              </w:rPr>
              <w:t>18</w:t>
            </w:r>
          </w:p>
        </w:tc>
        <w:tc>
          <w:tcPr>
            <w:tcW w:w="1418"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rPr>
                <w:rFonts w:cs="Arial"/>
                <w:color w:val="auto"/>
                <w:szCs w:val="24"/>
                <w:highlight w:val="none"/>
                <w:lang w:eastAsia="zh-CN"/>
              </w:rPr>
            </w:pPr>
            <w:r>
              <w:rPr>
                <w:rFonts w:hint="eastAsia"/>
                <w:color w:val="auto"/>
                <w:szCs w:val="24"/>
                <w:highlight w:val="none"/>
                <w:lang w:eastAsia="zh-CN" w:bidi="ar"/>
              </w:rPr>
              <w:t>可曲挠橡胶接头、不锈钢软接头、不锈钢波纹补偿器、柔性防水套管、减震支吊架、减震器</w:t>
            </w:r>
          </w:p>
        </w:tc>
        <w:tc>
          <w:tcPr>
            <w:tcW w:w="7512"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rPr>
                <w:color w:val="auto"/>
                <w:szCs w:val="24"/>
                <w:highlight w:val="none"/>
                <w:lang w:eastAsia="zh-CN"/>
              </w:rPr>
            </w:pPr>
            <w:r>
              <w:rPr>
                <w:rFonts w:hint="eastAsia"/>
                <w:color w:val="auto"/>
                <w:szCs w:val="24"/>
                <w:highlight w:val="none"/>
                <w:lang w:eastAsia="zh-CN" w:bidi="ar"/>
              </w:rPr>
              <w:t>技术要求：</w:t>
            </w:r>
          </w:p>
          <w:p>
            <w:pPr>
              <w:spacing w:line="360" w:lineRule="auto"/>
              <w:rPr>
                <w:color w:val="auto"/>
                <w:szCs w:val="24"/>
                <w:highlight w:val="none"/>
                <w:lang w:eastAsia="zh-CN"/>
              </w:rPr>
            </w:pPr>
            <w:r>
              <w:rPr>
                <w:color w:val="auto"/>
                <w:szCs w:val="24"/>
                <w:highlight w:val="none"/>
                <w:lang w:eastAsia="zh-CN" w:bidi="ar"/>
              </w:rPr>
              <w:t>1</w:t>
            </w:r>
            <w:r>
              <w:rPr>
                <w:rFonts w:hint="eastAsia"/>
                <w:color w:val="auto"/>
                <w:szCs w:val="24"/>
                <w:highlight w:val="none"/>
                <w:lang w:eastAsia="zh-CN" w:bidi="ar"/>
              </w:rPr>
              <w:t>）符合设计及有关规范要求。</w:t>
            </w:r>
          </w:p>
          <w:p>
            <w:pPr>
              <w:spacing w:line="360" w:lineRule="auto"/>
              <w:rPr>
                <w:color w:val="auto"/>
                <w:szCs w:val="24"/>
                <w:highlight w:val="none"/>
                <w:lang w:eastAsia="zh-CN"/>
              </w:rPr>
            </w:pPr>
            <w:r>
              <w:rPr>
                <w:color w:val="auto"/>
                <w:szCs w:val="24"/>
                <w:highlight w:val="none"/>
                <w:lang w:eastAsia="zh-CN" w:bidi="ar"/>
              </w:rPr>
              <w:t>2</w:t>
            </w:r>
            <w:r>
              <w:rPr>
                <w:rFonts w:hint="eastAsia"/>
                <w:color w:val="auto"/>
                <w:szCs w:val="24"/>
                <w:highlight w:val="none"/>
                <w:lang w:eastAsia="zh-CN" w:bidi="ar"/>
              </w:rPr>
              <w:t>）公称压力大于各系统设计要求的试验压力。</w:t>
            </w:r>
          </w:p>
          <w:p>
            <w:pPr>
              <w:spacing w:line="360" w:lineRule="auto"/>
              <w:rPr>
                <w:color w:val="auto"/>
                <w:szCs w:val="24"/>
                <w:highlight w:val="none"/>
                <w:lang w:eastAsia="zh-CN"/>
              </w:rPr>
            </w:pPr>
            <w:r>
              <w:rPr>
                <w:color w:val="auto"/>
                <w:szCs w:val="24"/>
                <w:highlight w:val="none"/>
                <w:lang w:eastAsia="zh-CN" w:bidi="ar"/>
              </w:rPr>
              <w:t>3</w:t>
            </w:r>
            <w:r>
              <w:rPr>
                <w:rFonts w:hint="eastAsia"/>
                <w:color w:val="auto"/>
                <w:szCs w:val="24"/>
                <w:highlight w:val="none"/>
                <w:lang w:eastAsia="zh-CN" w:bidi="ar"/>
              </w:rPr>
              <w:t>）不锈钢软接应符合</w:t>
            </w:r>
            <w:r>
              <w:rPr>
                <w:color w:val="auto"/>
                <w:szCs w:val="24"/>
                <w:highlight w:val="none"/>
                <w:lang w:eastAsia="zh-CN" w:bidi="ar"/>
              </w:rPr>
              <w:t>GB/T12777</w:t>
            </w:r>
            <w:r>
              <w:rPr>
                <w:rFonts w:hint="eastAsia"/>
                <w:color w:val="auto"/>
                <w:szCs w:val="24"/>
                <w:highlight w:val="none"/>
                <w:lang w:eastAsia="zh-CN" w:bidi="ar"/>
              </w:rPr>
              <w:t>－</w:t>
            </w:r>
            <w:r>
              <w:rPr>
                <w:color w:val="auto"/>
                <w:szCs w:val="24"/>
                <w:highlight w:val="none"/>
                <w:lang w:eastAsia="zh-CN" w:bidi="ar"/>
              </w:rPr>
              <w:t>2008</w:t>
            </w:r>
            <w:r>
              <w:rPr>
                <w:rFonts w:hint="eastAsia"/>
                <w:color w:val="auto"/>
                <w:szCs w:val="24"/>
                <w:highlight w:val="none"/>
                <w:lang w:eastAsia="zh-CN" w:bidi="ar"/>
              </w:rPr>
              <w:t>的规定</w:t>
            </w:r>
            <w:r>
              <w:rPr>
                <w:color w:val="auto"/>
                <w:szCs w:val="24"/>
                <w:highlight w:val="none"/>
                <w:lang w:eastAsia="zh-CN" w:bidi="ar"/>
              </w:rPr>
              <w:t>,</w:t>
            </w:r>
            <w:r>
              <w:rPr>
                <w:rFonts w:hint="eastAsia"/>
                <w:color w:val="auto"/>
                <w:szCs w:val="24"/>
                <w:highlight w:val="none"/>
                <w:lang w:eastAsia="zh-CN" w:bidi="ar"/>
              </w:rPr>
              <w:t>金属软管应符合</w:t>
            </w:r>
            <w:r>
              <w:rPr>
                <w:color w:val="auto"/>
                <w:szCs w:val="24"/>
                <w:highlight w:val="none"/>
                <w:lang w:eastAsia="zh-CN" w:bidi="ar"/>
              </w:rPr>
              <w:t>GB/T14525</w:t>
            </w:r>
            <w:r>
              <w:rPr>
                <w:rFonts w:hint="eastAsia"/>
                <w:color w:val="auto"/>
                <w:szCs w:val="24"/>
                <w:highlight w:val="none"/>
                <w:lang w:eastAsia="zh-CN" w:bidi="ar"/>
              </w:rPr>
              <w:t>－</w:t>
            </w:r>
            <w:r>
              <w:rPr>
                <w:color w:val="auto"/>
                <w:szCs w:val="24"/>
                <w:highlight w:val="none"/>
                <w:lang w:eastAsia="zh-CN" w:bidi="ar"/>
              </w:rPr>
              <w:t>2010</w:t>
            </w:r>
            <w:r>
              <w:rPr>
                <w:rFonts w:hint="eastAsia"/>
                <w:color w:val="auto"/>
                <w:szCs w:val="24"/>
                <w:highlight w:val="none"/>
                <w:lang w:eastAsia="zh-CN" w:bidi="ar"/>
              </w:rPr>
              <w:t>的规定。不锈钢软接的材料采用</w:t>
            </w:r>
            <w:r>
              <w:rPr>
                <w:color w:val="auto"/>
                <w:szCs w:val="24"/>
                <w:highlight w:val="none"/>
                <w:lang w:eastAsia="zh-CN" w:bidi="ar"/>
              </w:rPr>
              <w:t>304</w:t>
            </w:r>
            <w:r>
              <w:rPr>
                <w:rFonts w:hint="eastAsia"/>
                <w:color w:val="auto"/>
                <w:szCs w:val="24"/>
                <w:highlight w:val="none"/>
                <w:lang w:eastAsia="zh-CN" w:bidi="ar"/>
              </w:rPr>
              <w:t>不锈钢，两端接管或法兰采用低碳钢或不锈钢。</w:t>
            </w:r>
          </w:p>
          <w:p>
            <w:pPr>
              <w:spacing w:line="360" w:lineRule="auto"/>
              <w:rPr>
                <w:color w:val="auto"/>
                <w:szCs w:val="24"/>
                <w:highlight w:val="none"/>
                <w:lang w:eastAsia="zh-CN"/>
              </w:rPr>
            </w:pPr>
            <w:r>
              <w:rPr>
                <w:color w:val="auto"/>
                <w:szCs w:val="24"/>
                <w:highlight w:val="none"/>
                <w:lang w:eastAsia="zh-CN" w:bidi="ar"/>
              </w:rPr>
              <w:t>4</w:t>
            </w:r>
            <w:r>
              <w:rPr>
                <w:rFonts w:hint="eastAsia"/>
                <w:color w:val="auto"/>
                <w:szCs w:val="24"/>
                <w:highlight w:val="none"/>
                <w:lang w:eastAsia="zh-CN" w:bidi="ar"/>
              </w:rPr>
              <w:t>）不锈钢柔性接头使用温度－</w:t>
            </w:r>
            <w:r>
              <w:rPr>
                <w:color w:val="auto"/>
                <w:szCs w:val="24"/>
                <w:highlight w:val="none"/>
                <w:lang w:eastAsia="zh-CN" w:bidi="ar"/>
              </w:rPr>
              <w:t>20℃</w:t>
            </w:r>
            <w:r>
              <w:rPr>
                <w:rFonts w:hint="eastAsia"/>
                <w:color w:val="auto"/>
                <w:szCs w:val="24"/>
                <w:highlight w:val="none"/>
                <w:lang w:eastAsia="zh-CN" w:bidi="ar"/>
              </w:rPr>
              <w:t>～</w:t>
            </w:r>
            <w:r>
              <w:rPr>
                <w:color w:val="auto"/>
                <w:szCs w:val="24"/>
                <w:highlight w:val="none"/>
                <w:lang w:eastAsia="zh-CN" w:bidi="ar"/>
              </w:rPr>
              <w:t>250℃</w:t>
            </w:r>
            <w:r>
              <w:rPr>
                <w:rFonts w:hint="eastAsia"/>
                <w:color w:val="auto"/>
                <w:szCs w:val="24"/>
                <w:highlight w:val="none"/>
                <w:lang w:eastAsia="zh-CN" w:bidi="ar"/>
              </w:rPr>
              <w:t>。</w:t>
            </w:r>
          </w:p>
          <w:p>
            <w:pPr>
              <w:spacing w:line="360" w:lineRule="auto"/>
              <w:rPr>
                <w:color w:val="auto"/>
                <w:szCs w:val="24"/>
                <w:highlight w:val="none"/>
                <w:lang w:eastAsia="zh-CN"/>
              </w:rPr>
            </w:pPr>
            <w:r>
              <w:rPr>
                <w:color w:val="auto"/>
                <w:szCs w:val="24"/>
                <w:highlight w:val="none"/>
                <w:lang w:eastAsia="zh-CN" w:bidi="ar"/>
              </w:rPr>
              <w:t>5</w:t>
            </w:r>
            <w:r>
              <w:rPr>
                <w:rFonts w:hint="eastAsia"/>
                <w:color w:val="auto"/>
                <w:szCs w:val="24"/>
                <w:highlight w:val="none"/>
                <w:lang w:eastAsia="zh-CN" w:bidi="ar"/>
              </w:rPr>
              <w:t>）橡胶接头应符合</w:t>
            </w:r>
            <w:r>
              <w:rPr>
                <w:color w:val="auto"/>
                <w:szCs w:val="24"/>
                <w:highlight w:val="none"/>
                <w:lang w:eastAsia="zh-CN" w:bidi="ar"/>
              </w:rPr>
              <w:t>HG/T2289</w:t>
            </w:r>
            <w:r>
              <w:rPr>
                <w:rFonts w:hint="eastAsia"/>
                <w:color w:val="auto"/>
                <w:szCs w:val="24"/>
                <w:highlight w:val="none"/>
                <w:lang w:eastAsia="zh-CN" w:bidi="ar"/>
              </w:rPr>
              <w:t>－</w:t>
            </w:r>
            <w:r>
              <w:rPr>
                <w:color w:val="auto"/>
                <w:szCs w:val="24"/>
                <w:highlight w:val="none"/>
                <w:lang w:eastAsia="zh-CN" w:bidi="ar"/>
              </w:rPr>
              <w:t>2001</w:t>
            </w:r>
            <w:r>
              <w:rPr>
                <w:rFonts w:hint="eastAsia"/>
                <w:color w:val="auto"/>
                <w:szCs w:val="24"/>
                <w:highlight w:val="none"/>
                <w:lang w:eastAsia="zh-CN" w:bidi="ar"/>
              </w:rPr>
              <w:t>的规定，材料须为多层尼龙线质织物与纯天然橡胶混合经压铸定型而成。</w:t>
            </w:r>
          </w:p>
          <w:p>
            <w:pPr>
              <w:spacing w:line="360" w:lineRule="auto"/>
              <w:rPr>
                <w:color w:val="auto"/>
                <w:szCs w:val="24"/>
                <w:highlight w:val="none"/>
                <w:lang w:eastAsia="zh-CN"/>
              </w:rPr>
            </w:pPr>
            <w:r>
              <w:rPr>
                <w:color w:val="auto"/>
                <w:szCs w:val="24"/>
                <w:highlight w:val="none"/>
                <w:lang w:eastAsia="zh-CN" w:bidi="ar"/>
              </w:rPr>
              <w:t>6</w:t>
            </w:r>
            <w:r>
              <w:rPr>
                <w:rFonts w:hint="eastAsia"/>
                <w:color w:val="auto"/>
                <w:szCs w:val="24"/>
                <w:highlight w:val="none"/>
                <w:lang w:eastAsia="zh-CN" w:bidi="ar"/>
              </w:rPr>
              <w:t>）橡胶接头连接用的法兰需为锻造法兰并经过双层烤漆防腐处理。</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615" w:hRule="atLeast"/>
        </w:trPr>
        <w:tc>
          <w:tcPr>
            <w:tcW w:w="701" w:type="dxa"/>
            <w:tcBorders>
              <w:top w:val="single" w:color="000000" w:sz="6" w:space="0"/>
              <w:left w:val="single" w:color="auto" w:sz="4" w:space="0"/>
              <w:bottom w:val="single" w:color="000000" w:sz="6" w:space="0"/>
              <w:right w:val="single" w:color="000000" w:sz="6" w:space="0"/>
            </w:tcBorders>
            <w:shd w:val="clear" w:color="auto" w:fill="auto"/>
            <w:vAlign w:val="center"/>
          </w:tcPr>
          <w:p>
            <w:pPr>
              <w:spacing w:line="360" w:lineRule="auto"/>
              <w:rPr>
                <w:color w:val="auto"/>
                <w:szCs w:val="24"/>
                <w:highlight w:val="none"/>
              </w:rPr>
            </w:pPr>
            <w:r>
              <w:rPr>
                <w:color w:val="auto"/>
                <w:szCs w:val="24"/>
                <w:highlight w:val="none"/>
                <w:lang w:bidi="ar"/>
              </w:rPr>
              <w:t>19</w:t>
            </w:r>
          </w:p>
        </w:tc>
        <w:tc>
          <w:tcPr>
            <w:tcW w:w="1418"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rPr>
                <w:color w:val="auto"/>
                <w:szCs w:val="24"/>
                <w:highlight w:val="none"/>
                <w:lang w:eastAsia="zh-CN"/>
              </w:rPr>
            </w:pPr>
            <w:r>
              <w:rPr>
                <w:rFonts w:hint="eastAsia"/>
                <w:color w:val="auto"/>
                <w:szCs w:val="24"/>
                <w:highlight w:val="none"/>
                <w:lang w:eastAsia="zh-CN" w:bidi="ar"/>
              </w:rPr>
              <w:t>橡塑保温材料（热水管）</w:t>
            </w:r>
          </w:p>
        </w:tc>
        <w:tc>
          <w:tcPr>
            <w:tcW w:w="7512"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rPr>
                <w:color w:val="auto"/>
                <w:szCs w:val="24"/>
                <w:highlight w:val="none"/>
                <w:lang w:eastAsia="zh-CN"/>
              </w:rPr>
            </w:pPr>
            <w:r>
              <w:rPr>
                <w:rFonts w:hint="eastAsia"/>
                <w:color w:val="auto"/>
                <w:szCs w:val="24"/>
                <w:highlight w:val="none"/>
                <w:lang w:eastAsia="zh-CN" w:bidi="ar"/>
              </w:rPr>
              <w:t>技术要求：</w:t>
            </w:r>
          </w:p>
          <w:p>
            <w:pPr>
              <w:spacing w:line="360" w:lineRule="auto"/>
              <w:rPr>
                <w:color w:val="auto"/>
                <w:szCs w:val="24"/>
                <w:highlight w:val="none"/>
                <w:lang w:eastAsia="zh-CN"/>
              </w:rPr>
            </w:pPr>
            <w:r>
              <w:rPr>
                <w:color w:val="auto"/>
                <w:szCs w:val="24"/>
                <w:highlight w:val="none"/>
                <w:lang w:eastAsia="zh-CN" w:bidi="ar"/>
              </w:rPr>
              <w:t>1</w:t>
            </w:r>
            <w:r>
              <w:rPr>
                <w:rFonts w:hint="eastAsia"/>
                <w:color w:val="auto"/>
                <w:szCs w:val="24"/>
                <w:highlight w:val="none"/>
                <w:lang w:eastAsia="zh-CN" w:bidi="ar"/>
              </w:rPr>
              <w:t>）应提供所供产品的国家防火建筑材料质量监督检测中心的型式检验合格报告。</w:t>
            </w:r>
          </w:p>
          <w:p>
            <w:pPr>
              <w:spacing w:line="360" w:lineRule="auto"/>
              <w:rPr>
                <w:color w:val="auto"/>
                <w:szCs w:val="24"/>
                <w:highlight w:val="none"/>
                <w:lang w:eastAsia="zh-CN"/>
              </w:rPr>
            </w:pPr>
            <w:r>
              <w:rPr>
                <w:color w:val="auto"/>
                <w:szCs w:val="24"/>
                <w:highlight w:val="none"/>
                <w:lang w:eastAsia="zh-CN" w:bidi="ar"/>
              </w:rPr>
              <w:t>2</w:t>
            </w:r>
            <w:r>
              <w:rPr>
                <w:rFonts w:hint="eastAsia"/>
                <w:color w:val="auto"/>
                <w:szCs w:val="24"/>
                <w:highlight w:val="none"/>
                <w:lang w:eastAsia="zh-CN" w:bidi="ar"/>
              </w:rPr>
              <w:t>）橡塑表面自带铝箔，发泡材料必须不含石棉物质，为非燃材料；应具有高倍率、闭孔型独立微气泡结构；柔性好、不吸水、高弹性、耐老化、耐高温、防水，化学性能稳定，粘接、热合、分切等加工性能尤为优良，并应符合</w:t>
            </w:r>
            <w:r>
              <w:rPr>
                <w:color w:val="auto"/>
                <w:szCs w:val="24"/>
                <w:highlight w:val="none"/>
                <w:lang w:eastAsia="zh-CN" w:bidi="ar"/>
              </w:rPr>
              <w:t>GB/T 17794-2008</w:t>
            </w:r>
            <w:r>
              <w:rPr>
                <w:rFonts w:hint="eastAsia"/>
                <w:color w:val="auto"/>
                <w:szCs w:val="24"/>
                <w:highlight w:val="none"/>
                <w:lang w:eastAsia="zh-CN" w:bidi="ar"/>
              </w:rPr>
              <w:t>《柔性泡沫橡塑绝热制品》的相关规定。</w:t>
            </w:r>
          </w:p>
          <w:p>
            <w:pPr>
              <w:spacing w:line="360" w:lineRule="auto"/>
              <w:rPr>
                <w:color w:val="auto"/>
                <w:szCs w:val="24"/>
                <w:highlight w:val="none"/>
                <w:lang w:eastAsia="zh-CN"/>
              </w:rPr>
            </w:pPr>
            <w:r>
              <w:rPr>
                <w:color w:val="auto"/>
                <w:szCs w:val="24"/>
                <w:highlight w:val="none"/>
                <w:lang w:eastAsia="zh-CN" w:bidi="ar"/>
              </w:rPr>
              <w:t>3</w:t>
            </w:r>
            <w:r>
              <w:rPr>
                <w:rFonts w:hint="eastAsia"/>
                <w:color w:val="auto"/>
                <w:szCs w:val="24"/>
                <w:highlight w:val="none"/>
                <w:lang w:eastAsia="zh-CN" w:bidi="ar"/>
              </w:rPr>
              <w:t>）燃烧性能达到</w:t>
            </w:r>
            <w:r>
              <w:rPr>
                <w:color w:val="auto"/>
                <w:szCs w:val="24"/>
                <w:highlight w:val="none"/>
                <w:lang w:eastAsia="zh-CN" w:bidi="ar"/>
              </w:rPr>
              <w:t>GB8624-2006</w:t>
            </w:r>
            <w:r>
              <w:rPr>
                <w:rFonts w:hint="eastAsia"/>
                <w:color w:val="auto"/>
                <w:szCs w:val="24"/>
                <w:highlight w:val="none"/>
                <w:lang w:eastAsia="zh-CN" w:bidi="ar"/>
              </w:rPr>
              <w:t>规定的</w:t>
            </w:r>
            <w:r>
              <w:rPr>
                <w:color w:val="auto"/>
                <w:szCs w:val="24"/>
                <w:highlight w:val="none"/>
                <w:lang w:eastAsia="zh-CN" w:bidi="ar"/>
              </w:rPr>
              <w:t>B</w:t>
            </w:r>
            <w:r>
              <w:rPr>
                <w:rFonts w:hint="eastAsia"/>
                <w:color w:val="auto"/>
                <w:szCs w:val="24"/>
                <w:highlight w:val="none"/>
                <w:lang w:eastAsia="zh-CN" w:bidi="ar"/>
              </w:rPr>
              <w:t>级防火标准，具有国家防火中心的</w:t>
            </w:r>
            <w:r>
              <w:rPr>
                <w:color w:val="auto"/>
                <w:szCs w:val="24"/>
                <w:highlight w:val="none"/>
                <w:lang w:eastAsia="zh-CN" w:bidi="ar"/>
              </w:rPr>
              <w:t>NFTC</w:t>
            </w:r>
            <w:r>
              <w:rPr>
                <w:rFonts w:hint="eastAsia"/>
                <w:color w:val="auto"/>
                <w:szCs w:val="24"/>
                <w:highlight w:val="none"/>
                <w:lang w:eastAsia="zh-CN" w:bidi="ar"/>
              </w:rPr>
              <w:t>认证，并且应符合建筑设计防火规范</w:t>
            </w:r>
            <w:r>
              <w:rPr>
                <w:color w:val="auto"/>
                <w:szCs w:val="24"/>
                <w:highlight w:val="none"/>
                <w:lang w:eastAsia="zh-CN" w:bidi="ar"/>
              </w:rPr>
              <w:t>GB50016—2006</w:t>
            </w:r>
            <w:r>
              <w:rPr>
                <w:rFonts w:hint="eastAsia"/>
                <w:color w:val="auto"/>
                <w:szCs w:val="24"/>
                <w:highlight w:val="none"/>
                <w:lang w:eastAsia="zh-CN" w:bidi="ar"/>
              </w:rPr>
              <w:t>相关条文的要求。</w:t>
            </w:r>
          </w:p>
          <w:p>
            <w:pPr>
              <w:spacing w:line="360" w:lineRule="auto"/>
              <w:rPr>
                <w:color w:val="auto"/>
                <w:szCs w:val="24"/>
                <w:highlight w:val="none"/>
                <w:lang w:eastAsia="zh-CN"/>
              </w:rPr>
            </w:pPr>
            <w:r>
              <w:rPr>
                <w:color w:val="auto"/>
                <w:szCs w:val="24"/>
                <w:highlight w:val="none"/>
                <w:lang w:eastAsia="zh-CN" w:bidi="ar"/>
              </w:rPr>
              <w:t>4</w:t>
            </w:r>
            <w:r>
              <w:rPr>
                <w:rFonts w:hint="eastAsia"/>
                <w:color w:val="auto"/>
                <w:szCs w:val="24"/>
                <w:highlight w:val="none"/>
                <w:lang w:eastAsia="zh-CN" w:bidi="ar"/>
              </w:rPr>
              <w:t>）所用胶水、胶带为原厂配置的不燃性环保胶水、胶带。</w:t>
            </w:r>
          </w:p>
          <w:p>
            <w:pPr>
              <w:spacing w:line="360" w:lineRule="auto"/>
              <w:rPr>
                <w:color w:val="auto"/>
                <w:szCs w:val="24"/>
                <w:highlight w:val="none"/>
                <w:lang w:eastAsia="zh-CN"/>
              </w:rPr>
            </w:pPr>
            <w:r>
              <w:rPr>
                <w:color w:val="auto"/>
                <w:szCs w:val="24"/>
                <w:highlight w:val="none"/>
                <w:lang w:eastAsia="zh-CN" w:bidi="ar"/>
              </w:rPr>
              <w:t>5</w:t>
            </w:r>
            <w:r>
              <w:rPr>
                <w:rFonts w:hint="eastAsia"/>
                <w:color w:val="auto"/>
                <w:szCs w:val="24"/>
                <w:highlight w:val="none"/>
                <w:lang w:eastAsia="zh-CN" w:bidi="ar"/>
              </w:rPr>
              <w:t>）不生霉、对管道无腐蚀性。</w:t>
            </w:r>
          </w:p>
          <w:p>
            <w:pPr>
              <w:spacing w:line="360" w:lineRule="auto"/>
              <w:rPr>
                <w:color w:val="auto"/>
                <w:szCs w:val="24"/>
                <w:highlight w:val="none"/>
                <w:lang w:eastAsia="zh-CN"/>
              </w:rPr>
            </w:pPr>
            <w:r>
              <w:rPr>
                <w:color w:val="auto"/>
                <w:szCs w:val="24"/>
                <w:highlight w:val="none"/>
                <w:lang w:eastAsia="zh-CN" w:bidi="ar"/>
              </w:rPr>
              <w:t>6</w:t>
            </w:r>
            <w:r>
              <w:rPr>
                <w:rFonts w:hint="eastAsia"/>
                <w:color w:val="auto"/>
                <w:szCs w:val="24"/>
                <w:highlight w:val="none"/>
                <w:lang w:eastAsia="zh-CN" w:bidi="ar"/>
              </w:rPr>
              <w:t>）保温厚度符合</w:t>
            </w:r>
            <w:r>
              <w:rPr>
                <w:color w:val="auto"/>
                <w:szCs w:val="24"/>
                <w:highlight w:val="none"/>
                <w:lang w:eastAsia="zh-CN" w:bidi="ar"/>
              </w:rPr>
              <w:t>GB50243-2002</w:t>
            </w:r>
            <w:r>
              <w:rPr>
                <w:rFonts w:hint="eastAsia"/>
                <w:color w:val="auto"/>
                <w:szCs w:val="24"/>
                <w:highlight w:val="none"/>
                <w:lang w:eastAsia="zh-CN" w:bidi="ar"/>
              </w:rPr>
              <w:t>规范和设计文件要求。</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6222" w:hRule="atLeast"/>
        </w:trPr>
        <w:tc>
          <w:tcPr>
            <w:tcW w:w="701" w:type="dxa"/>
            <w:tcBorders>
              <w:top w:val="single" w:color="000000" w:sz="6" w:space="0"/>
              <w:left w:val="single" w:color="auto" w:sz="4" w:space="0"/>
              <w:bottom w:val="single" w:color="000000" w:sz="6" w:space="0"/>
              <w:right w:val="single" w:color="000000" w:sz="6" w:space="0"/>
            </w:tcBorders>
            <w:shd w:val="clear" w:color="auto" w:fill="auto"/>
            <w:vAlign w:val="center"/>
          </w:tcPr>
          <w:p>
            <w:pPr>
              <w:spacing w:line="360" w:lineRule="auto"/>
              <w:rPr>
                <w:color w:val="auto"/>
                <w:szCs w:val="24"/>
                <w:highlight w:val="none"/>
              </w:rPr>
            </w:pPr>
            <w:r>
              <w:rPr>
                <w:color w:val="auto"/>
                <w:szCs w:val="24"/>
                <w:highlight w:val="none"/>
                <w:lang w:bidi="ar"/>
              </w:rPr>
              <w:t>20</w:t>
            </w:r>
          </w:p>
        </w:tc>
        <w:tc>
          <w:tcPr>
            <w:tcW w:w="1418"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rPr>
                <w:color w:val="auto"/>
                <w:szCs w:val="24"/>
                <w:highlight w:val="none"/>
              </w:rPr>
            </w:pPr>
            <w:r>
              <w:rPr>
                <w:rFonts w:hint="eastAsia"/>
                <w:color w:val="auto"/>
                <w:szCs w:val="24"/>
                <w:highlight w:val="none"/>
                <w:lang w:bidi="ar"/>
              </w:rPr>
              <w:t>电热水器</w:t>
            </w:r>
          </w:p>
        </w:tc>
        <w:tc>
          <w:tcPr>
            <w:tcW w:w="7512"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ind w:firstLine="480" w:firstLineChars="200"/>
              <w:rPr>
                <w:color w:val="auto"/>
                <w:szCs w:val="24"/>
                <w:highlight w:val="none"/>
                <w:lang w:eastAsia="zh-CN"/>
              </w:rPr>
            </w:pPr>
            <w:r>
              <w:rPr>
                <w:rFonts w:hint="eastAsia"/>
                <w:color w:val="auto"/>
                <w:szCs w:val="24"/>
                <w:highlight w:val="none"/>
                <w:lang w:eastAsia="zh-CN" w:bidi="ar"/>
              </w:rPr>
              <w:t>产品技术要求：</w:t>
            </w:r>
          </w:p>
          <w:p>
            <w:pPr>
              <w:spacing w:line="360" w:lineRule="auto"/>
              <w:ind w:firstLine="480" w:firstLineChars="200"/>
              <w:rPr>
                <w:color w:val="auto"/>
                <w:szCs w:val="24"/>
                <w:highlight w:val="none"/>
                <w:lang w:eastAsia="zh-CN"/>
              </w:rPr>
            </w:pPr>
            <w:r>
              <w:rPr>
                <w:color w:val="auto"/>
                <w:szCs w:val="24"/>
                <w:highlight w:val="none"/>
                <w:lang w:eastAsia="zh-CN" w:bidi="ar"/>
              </w:rPr>
              <w:t>1</w:t>
            </w:r>
            <w:r>
              <w:rPr>
                <w:rFonts w:hint="eastAsia"/>
                <w:color w:val="auto"/>
                <w:szCs w:val="24"/>
                <w:highlight w:val="none"/>
                <w:lang w:eastAsia="zh-CN" w:bidi="ar"/>
              </w:rPr>
              <w:t>、产品为厂家主流成品。保温材料选用聚氨脂发泡保温，安装方式卧挂，容积式电加热水器，容量为</w:t>
            </w:r>
            <w:r>
              <w:rPr>
                <w:color w:val="auto"/>
                <w:szCs w:val="24"/>
                <w:highlight w:val="none"/>
                <w:lang w:eastAsia="zh-CN" w:bidi="ar"/>
              </w:rPr>
              <w:t>50L</w:t>
            </w:r>
            <w:r>
              <w:rPr>
                <w:rFonts w:hint="eastAsia"/>
                <w:color w:val="auto"/>
                <w:szCs w:val="24"/>
                <w:highlight w:val="none"/>
                <w:lang w:eastAsia="zh-CN" w:bidi="ar"/>
              </w:rPr>
              <w:t>（以设计容量为准），热转换率高，节能效果好。</w:t>
            </w:r>
          </w:p>
          <w:p>
            <w:pPr>
              <w:spacing w:line="360" w:lineRule="auto"/>
              <w:ind w:firstLine="480" w:firstLineChars="200"/>
              <w:rPr>
                <w:color w:val="auto"/>
                <w:szCs w:val="24"/>
                <w:highlight w:val="none"/>
                <w:lang w:eastAsia="zh-CN"/>
              </w:rPr>
            </w:pPr>
            <w:r>
              <w:rPr>
                <w:color w:val="auto"/>
                <w:szCs w:val="24"/>
                <w:highlight w:val="none"/>
                <w:lang w:eastAsia="zh-CN" w:bidi="ar"/>
              </w:rPr>
              <w:t>2</w:t>
            </w:r>
            <w:r>
              <w:rPr>
                <w:rFonts w:hint="eastAsia"/>
                <w:color w:val="auto"/>
                <w:szCs w:val="24"/>
                <w:highlight w:val="none"/>
                <w:lang w:eastAsia="zh-CN" w:bidi="ar"/>
              </w:rPr>
              <w:t>、产品能有效解决结垢的问题。</w:t>
            </w:r>
          </w:p>
          <w:p>
            <w:pPr>
              <w:spacing w:line="360" w:lineRule="auto"/>
              <w:ind w:firstLine="480" w:firstLineChars="200"/>
              <w:rPr>
                <w:color w:val="auto"/>
                <w:szCs w:val="24"/>
                <w:highlight w:val="none"/>
                <w:lang w:eastAsia="zh-CN"/>
              </w:rPr>
            </w:pPr>
            <w:r>
              <w:rPr>
                <w:color w:val="auto"/>
                <w:szCs w:val="24"/>
                <w:highlight w:val="none"/>
                <w:lang w:eastAsia="zh-CN" w:bidi="ar"/>
              </w:rPr>
              <w:t>3</w:t>
            </w:r>
            <w:r>
              <w:rPr>
                <w:rFonts w:hint="eastAsia"/>
                <w:color w:val="auto"/>
                <w:szCs w:val="24"/>
                <w:highlight w:val="none"/>
                <w:lang w:eastAsia="zh-CN" w:bidi="ar"/>
              </w:rPr>
              <w:t>、设有安全保障程序，具备自动报警功能。在停水等非正常情况下</w:t>
            </w:r>
            <w:r>
              <w:rPr>
                <w:color w:val="auto"/>
                <w:szCs w:val="24"/>
                <w:highlight w:val="none"/>
                <w:lang w:eastAsia="zh-CN" w:bidi="ar"/>
              </w:rPr>
              <w:t>,</w:t>
            </w:r>
            <w:r>
              <w:rPr>
                <w:rFonts w:hint="eastAsia"/>
                <w:color w:val="auto"/>
                <w:szCs w:val="24"/>
                <w:highlight w:val="none"/>
                <w:lang w:eastAsia="zh-CN" w:bidi="ar"/>
              </w:rPr>
              <w:t>加热器自动停止工作。漏电、超温、超压保护采用智能化漏电、超温保护开关和压力排放阀，具有防环境漏电功能。</w:t>
            </w:r>
          </w:p>
          <w:p>
            <w:pPr>
              <w:spacing w:line="360" w:lineRule="auto"/>
              <w:rPr>
                <w:color w:val="auto"/>
                <w:szCs w:val="24"/>
                <w:highlight w:val="none"/>
              </w:rPr>
            </w:pPr>
            <w:r>
              <w:rPr>
                <w:color w:val="auto"/>
                <w:szCs w:val="24"/>
                <w:highlight w:val="none"/>
                <w:lang w:bidi="ar"/>
              </w:rPr>
              <w:t>5</w:t>
            </w:r>
            <w:r>
              <w:rPr>
                <w:rFonts w:hint="eastAsia"/>
                <w:color w:val="auto"/>
                <w:szCs w:val="24"/>
                <w:highlight w:val="none"/>
                <w:lang w:bidi="ar"/>
              </w:rPr>
              <w:t>、满足设计要求。</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703" w:hRule="atLeast"/>
        </w:trPr>
        <w:tc>
          <w:tcPr>
            <w:tcW w:w="701" w:type="dxa"/>
            <w:tcBorders>
              <w:top w:val="single" w:color="000000" w:sz="6" w:space="0"/>
              <w:left w:val="single" w:color="auto" w:sz="4" w:space="0"/>
              <w:bottom w:val="single" w:color="000000" w:sz="6" w:space="0"/>
              <w:right w:val="single" w:color="000000" w:sz="6" w:space="0"/>
            </w:tcBorders>
            <w:shd w:val="clear" w:color="auto" w:fill="auto"/>
            <w:vAlign w:val="center"/>
          </w:tcPr>
          <w:p>
            <w:pPr>
              <w:spacing w:line="360" w:lineRule="auto"/>
              <w:rPr>
                <w:color w:val="auto"/>
                <w:szCs w:val="24"/>
                <w:highlight w:val="none"/>
              </w:rPr>
            </w:pPr>
            <w:r>
              <w:rPr>
                <w:color w:val="auto"/>
                <w:szCs w:val="24"/>
                <w:highlight w:val="none"/>
                <w:lang w:bidi="ar"/>
              </w:rPr>
              <w:t>21</w:t>
            </w:r>
          </w:p>
        </w:tc>
        <w:tc>
          <w:tcPr>
            <w:tcW w:w="1418"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rPr>
                <w:color w:val="auto"/>
                <w:szCs w:val="24"/>
                <w:highlight w:val="none"/>
                <w:lang w:val="zh-CN"/>
              </w:rPr>
            </w:pPr>
          </w:p>
          <w:p>
            <w:pPr>
              <w:spacing w:line="360" w:lineRule="auto"/>
              <w:rPr>
                <w:color w:val="auto"/>
                <w:szCs w:val="24"/>
                <w:highlight w:val="none"/>
                <w:lang w:val="zh-CN"/>
              </w:rPr>
            </w:pPr>
            <w:r>
              <w:rPr>
                <w:rFonts w:hint="eastAsia"/>
                <w:color w:val="auto"/>
                <w:szCs w:val="24"/>
                <w:highlight w:val="none"/>
                <w:lang w:val="zh-CN" w:bidi="ar"/>
              </w:rPr>
              <w:t>玻璃棉保温材料</w:t>
            </w:r>
          </w:p>
        </w:tc>
        <w:tc>
          <w:tcPr>
            <w:tcW w:w="7512"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rPr>
                <w:color w:val="auto"/>
                <w:szCs w:val="24"/>
                <w:highlight w:val="none"/>
              </w:rPr>
            </w:pPr>
            <w:r>
              <w:rPr>
                <w:rFonts w:hint="eastAsia"/>
                <w:color w:val="auto"/>
                <w:szCs w:val="24"/>
                <w:highlight w:val="none"/>
                <w:lang w:bidi="ar"/>
              </w:rPr>
              <w:t>技术要求：</w:t>
            </w:r>
          </w:p>
          <w:p>
            <w:pPr>
              <w:keepLines w:val="0"/>
              <w:numPr>
                <w:ilvl w:val="0"/>
                <w:numId w:val="188"/>
              </w:numPr>
              <w:spacing w:line="360" w:lineRule="auto"/>
              <w:ind w:left="875"/>
              <w:jc w:val="both"/>
              <w:rPr>
                <w:color w:val="auto"/>
                <w:szCs w:val="24"/>
                <w:highlight w:val="none"/>
                <w:lang w:eastAsia="zh-CN"/>
              </w:rPr>
            </w:pPr>
            <w:r>
              <w:rPr>
                <w:rFonts w:hint="eastAsia"/>
                <w:color w:val="auto"/>
                <w:szCs w:val="24"/>
                <w:highlight w:val="none"/>
                <w:lang w:eastAsia="zh-CN" w:bidi="ar"/>
              </w:rPr>
              <w:t>符合设计要求及有关规范、标准要求。</w:t>
            </w:r>
          </w:p>
          <w:p>
            <w:pPr>
              <w:keepLines w:val="0"/>
              <w:numPr>
                <w:ilvl w:val="0"/>
                <w:numId w:val="188"/>
              </w:numPr>
              <w:spacing w:line="360" w:lineRule="auto"/>
              <w:ind w:left="875"/>
              <w:jc w:val="both"/>
              <w:rPr>
                <w:color w:val="auto"/>
                <w:szCs w:val="24"/>
                <w:highlight w:val="none"/>
                <w:lang w:eastAsia="zh-CN"/>
              </w:rPr>
            </w:pPr>
            <w:r>
              <w:rPr>
                <w:rFonts w:hint="eastAsia"/>
                <w:color w:val="auto"/>
                <w:szCs w:val="24"/>
                <w:highlight w:val="none"/>
                <w:lang w:eastAsia="zh-CN" w:bidi="ar"/>
              </w:rPr>
              <w:t>产品采用不含甲醛、不含丙烯酸的环保玻璃纤维棉板</w:t>
            </w:r>
            <w:r>
              <w:rPr>
                <w:color w:val="auto"/>
                <w:szCs w:val="24"/>
                <w:highlight w:val="none"/>
                <w:lang w:eastAsia="zh-CN" w:bidi="ar"/>
              </w:rPr>
              <w:t>,</w:t>
            </w:r>
            <w:r>
              <w:rPr>
                <w:color w:val="auto"/>
                <w:szCs w:val="24"/>
                <w:highlight w:val="none"/>
                <w:lang w:eastAsia="zh-CN" w:bidi="ar"/>
              </w:rPr>
              <w:tab/>
            </w:r>
            <w:r>
              <w:rPr>
                <w:rFonts w:hint="eastAsia"/>
                <w:color w:val="auto"/>
                <w:szCs w:val="24"/>
                <w:highlight w:val="none"/>
                <w:lang w:eastAsia="zh-CN" w:bidi="ar"/>
              </w:rPr>
              <w:t>表面贴防火、耐腐蚀、防潮、高强度铝箔贴面。贴面保护层后产品的燃烧性能须达到</w:t>
            </w:r>
            <w:r>
              <w:rPr>
                <w:color w:val="auto"/>
                <w:szCs w:val="24"/>
                <w:highlight w:val="none"/>
                <w:lang w:eastAsia="zh-CN" w:bidi="ar"/>
              </w:rPr>
              <w:t xml:space="preserve">GB8624 </w:t>
            </w:r>
            <w:r>
              <w:rPr>
                <w:rFonts w:hint="eastAsia"/>
                <w:color w:val="auto"/>
                <w:szCs w:val="24"/>
                <w:highlight w:val="none"/>
                <w:lang w:eastAsia="zh-CN" w:bidi="ar"/>
              </w:rPr>
              <w:t>不燃</w:t>
            </w:r>
            <w:r>
              <w:rPr>
                <w:color w:val="auto"/>
                <w:szCs w:val="24"/>
                <w:highlight w:val="none"/>
                <w:lang w:eastAsia="zh-CN" w:bidi="ar"/>
              </w:rPr>
              <w:t>A2</w:t>
            </w:r>
            <w:r>
              <w:rPr>
                <w:rFonts w:hint="eastAsia"/>
                <w:color w:val="auto"/>
                <w:szCs w:val="24"/>
                <w:highlight w:val="none"/>
                <w:lang w:eastAsia="zh-CN" w:bidi="ar"/>
              </w:rPr>
              <w:t>级，且满足</w:t>
            </w:r>
            <w:r>
              <w:rPr>
                <w:color w:val="auto"/>
                <w:szCs w:val="24"/>
                <w:highlight w:val="none"/>
                <w:lang w:eastAsia="zh-CN" w:bidi="ar"/>
              </w:rPr>
              <w:t>JC/T 2028-2018</w:t>
            </w:r>
            <w:r>
              <w:rPr>
                <w:rFonts w:hint="eastAsia"/>
                <w:color w:val="auto"/>
                <w:szCs w:val="24"/>
                <w:highlight w:val="none"/>
                <w:lang w:eastAsia="zh-CN" w:bidi="ar"/>
              </w:rPr>
              <w:t>的耐水性长效阻燃。需有国家防火建筑材料质量监督检验中心出具的安全性能型式检验报告。</w:t>
            </w:r>
          </w:p>
          <w:p>
            <w:pPr>
              <w:keepLines w:val="0"/>
              <w:numPr>
                <w:ilvl w:val="0"/>
                <w:numId w:val="188"/>
              </w:numPr>
              <w:spacing w:line="360" w:lineRule="auto"/>
              <w:ind w:left="875"/>
              <w:jc w:val="both"/>
              <w:rPr>
                <w:color w:val="auto"/>
                <w:szCs w:val="24"/>
                <w:highlight w:val="none"/>
                <w:lang w:eastAsia="zh-CN"/>
              </w:rPr>
            </w:pPr>
            <w:r>
              <w:rPr>
                <w:rFonts w:hint="eastAsia"/>
                <w:color w:val="auto"/>
                <w:szCs w:val="24"/>
                <w:highlight w:val="none"/>
                <w:lang w:eastAsia="zh-CN" w:bidi="ar"/>
              </w:rPr>
              <w:t>玻璃纤维棉板的导热系数</w:t>
            </w:r>
            <w:r>
              <w:rPr>
                <w:color w:val="auto"/>
                <w:szCs w:val="24"/>
                <w:highlight w:val="none"/>
                <w:lang w:eastAsia="zh-CN" w:bidi="ar"/>
              </w:rPr>
              <w:t>≤0.034W/m ℃</w:t>
            </w:r>
            <w:r>
              <w:rPr>
                <w:rFonts w:hint="eastAsia"/>
                <w:color w:val="auto"/>
                <w:szCs w:val="24"/>
                <w:highlight w:val="none"/>
                <w:lang w:eastAsia="zh-CN" w:bidi="ar"/>
              </w:rPr>
              <w:t>（平均</w:t>
            </w:r>
            <w:r>
              <w:rPr>
                <w:color w:val="auto"/>
                <w:szCs w:val="24"/>
                <w:highlight w:val="none"/>
                <w:lang w:eastAsia="zh-CN" w:bidi="ar"/>
              </w:rPr>
              <w:t>25℃</w:t>
            </w:r>
            <w:r>
              <w:rPr>
                <w:rFonts w:hint="eastAsia"/>
                <w:color w:val="auto"/>
                <w:szCs w:val="24"/>
                <w:highlight w:val="none"/>
                <w:lang w:eastAsia="zh-CN" w:bidi="ar"/>
              </w:rPr>
              <w:t>时），</w:t>
            </w:r>
            <w:r>
              <w:rPr>
                <w:color w:val="auto"/>
                <w:szCs w:val="24"/>
                <w:highlight w:val="none"/>
                <w:lang w:eastAsia="zh-CN" w:bidi="ar"/>
              </w:rPr>
              <w:t xml:space="preserve">r≥48kg/m3 </w:t>
            </w:r>
            <w:r>
              <w:rPr>
                <w:rFonts w:hint="eastAsia"/>
                <w:color w:val="auto"/>
                <w:szCs w:val="24"/>
                <w:highlight w:val="none"/>
                <w:lang w:eastAsia="zh-CN" w:bidi="ar"/>
              </w:rPr>
              <w:t>，含水率</w:t>
            </w:r>
            <w:r>
              <w:rPr>
                <w:color w:val="auto"/>
                <w:szCs w:val="24"/>
                <w:highlight w:val="none"/>
                <w:lang w:eastAsia="zh-CN" w:bidi="ar"/>
              </w:rPr>
              <w:t>≤0.5%</w:t>
            </w:r>
            <w:r>
              <w:rPr>
                <w:rFonts w:hint="eastAsia"/>
                <w:color w:val="auto"/>
                <w:szCs w:val="24"/>
                <w:highlight w:val="none"/>
                <w:lang w:eastAsia="zh-CN" w:bidi="ar"/>
              </w:rPr>
              <w:t>，憎水率</w:t>
            </w:r>
            <w:r>
              <w:rPr>
                <w:color w:val="auto"/>
                <w:szCs w:val="24"/>
                <w:highlight w:val="none"/>
                <w:lang w:eastAsia="zh-CN" w:bidi="ar"/>
              </w:rPr>
              <w:t>≥98%</w:t>
            </w:r>
            <w:r>
              <w:rPr>
                <w:rFonts w:hint="eastAsia"/>
                <w:color w:val="auto"/>
                <w:szCs w:val="24"/>
                <w:highlight w:val="none"/>
                <w:lang w:eastAsia="zh-CN" w:bidi="ar"/>
              </w:rPr>
              <w:t>，吸湿率</w:t>
            </w:r>
            <w:r>
              <w:rPr>
                <w:color w:val="auto"/>
                <w:szCs w:val="24"/>
                <w:highlight w:val="none"/>
                <w:lang w:eastAsia="zh-CN" w:bidi="ar"/>
              </w:rPr>
              <w:t>≤5%</w:t>
            </w:r>
            <w:r>
              <w:rPr>
                <w:rFonts w:hint="eastAsia"/>
                <w:color w:val="auto"/>
                <w:szCs w:val="24"/>
                <w:highlight w:val="none"/>
                <w:lang w:eastAsia="zh-CN" w:bidi="ar"/>
              </w:rPr>
              <w:t>，贴铝箔面后防潮水汽渗透率</w:t>
            </w:r>
            <w:r>
              <w:rPr>
                <w:color w:val="auto"/>
                <w:szCs w:val="24"/>
                <w:highlight w:val="none"/>
                <w:lang w:eastAsia="zh-CN" w:bidi="ar"/>
              </w:rPr>
              <w:t>≤1.15mg(n*s)</w:t>
            </w:r>
            <w:r>
              <w:rPr>
                <w:rFonts w:hint="eastAsia"/>
                <w:color w:val="auto"/>
                <w:szCs w:val="24"/>
                <w:highlight w:val="none"/>
                <w:lang w:eastAsia="zh-CN" w:bidi="ar"/>
              </w:rPr>
              <w:t>。</w:t>
            </w:r>
          </w:p>
          <w:p>
            <w:pPr>
              <w:keepLines w:val="0"/>
              <w:numPr>
                <w:ilvl w:val="0"/>
                <w:numId w:val="188"/>
              </w:numPr>
              <w:spacing w:line="360" w:lineRule="auto"/>
              <w:ind w:left="875"/>
              <w:jc w:val="both"/>
              <w:rPr>
                <w:color w:val="auto"/>
                <w:szCs w:val="24"/>
                <w:highlight w:val="none"/>
                <w:lang w:eastAsia="zh-CN"/>
              </w:rPr>
            </w:pPr>
            <w:r>
              <w:rPr>
                <w:rFonts w:hint="eastAsia"/>
                <w:color w:val="auto"/>
                <w:szCs w:val="24"/>
                <w:highlight w:val="none"/>
                <w:lang w:eastAsia="zh-CN" w:bidi="ar"/>
              </w:rPr>
              <w:t>贴面应有良好的机械性和抗冲击性能，保证不易破裂。贴面耐破强度</w:t>
            </w:r>
            <w:r>
              <w:rPr>
                <w:color w:val="auto"/>
                <w:szCs w:val="24"/>
                <w:highlight w:val="none"/>
                <w:lang w:eastAsia="zh-CN" w:bidi="ar"/>
              </w:rPr>
              <w:t>≥2.8KG/CM2</w:t>
            </w:r>
            <w:r>
              <w:rPr>
                <w:rFonts w:hint="eastAsia"/>
                <w:color w:val="auto"/>
                <w:szCs w:val="24"/>
                <w:highlight w:val="none"/>
                <w:lang w:eastAsia="zh-CN" w:bidi="ar"/>
              </w:rPr>
              <w:t>，纵向抗拉强度</w:t>
            </w:r>
            <w:r>
              <w:rPr>
                <w:color w:val="auto"/>
                <w:szCs w:val="24"/>
                <w:highlight w:val="none"/>
                <w:lang w:eastAsia="zh-CN" w:bidi="ar"/>
              </w:rPr>
              <w:t>≥7.0kN/m</w:t>
            </w:r>
            <w:r>
              <w:rPr>
                <w:rFonts w:hint="eastAsia"/>
                <w:color w:val="auto"/>
                <w:szCs w:val="24"/>
                <w:highlight w:val="none"/>
                <w:lang w:eastAsia="zh-CN" w:bidi="ar"/>
              </w:rPr>
              <w:t>，横向抗拉强度为</w:t>
            </w:r>
            <w:r>
              <w:rPr>
                <w:color w:val="auto"/>
                <w:szCs w:val="24"/>
                <w:highlight w:val="none"/>
                <w:lang w:eastAsia="zh-CN" w:bidi="ar"/>
              </w:rPr>
              <w:t>≥4.4 kN /m</w:t>
            </w:r>
            <w:r>
              <w:rPr>
                <w:rFonts w:hint="eastAsia"/>
                <w:color w:val="auto"/>
                <w:szCs w:val="24"/>
                <w:highlight w:val="none"/>
                <w:lang w:eastAsia="zh-CN" w:bidi="ar"/>
              </w:rPr>
              <w:t>。需有国家玻璃纤维产品质量监督检验中心出具的综合性能检验报告。</w:t>
            </w:r>
          </w:p>
          <w:p>
            <w:pPr>
              <w:keepLines w:val="0"/>
              <w:numPr>
                <w:ilvl w:val="0"/>
                <w:numId w:val="188"/>
              </w:numPr>
              <w:spacing w:line="360" w:lineRule="auto"/>
              <w:ind w:left="875"/>
              <w:jc w:val="both"/>
              <w:rPr>
                <w:color w:val="auto"/>
                <w:szCs w:val="24"/>
                <w:highlight w:val="none"/>
                <w:lang w:eastAsia="zh-CN"/>
              </w:rPr>
            </w:pPr>
            <w:r>
              <w:rPr>
                <w:rFonts w:hint="eastAsia"/>
                <w:color w:val="auto"/>
                <w:szCs w:val="24"/>
                <w:highlight w:val="none"/>
                <w:lang w:eastAsia="zh-CN" w:bidi="ar"/>
              </w:rPr>
              <w:t>玻璃棉板接缝所用胶带为原厂配置的不燃性环保铝箔粘胶，宽度为</w:t>
            </w:r>
            <w:r>
              <w:rPr>
                <w:color w:val="auto"/>
                <w:szCs w:val="24"/>
                <w:highlight w:val="none"/>
                <w:lang w:eastAsia="zh-CN" w:bidi="ar"/>
              </w:rPr>
              <w:t>50mm</w:t>
            </w:r>
            <w:r>
              <w:rPr>
                <w:rFonts w:hint="eastAsia"/>
                <w:color w:val="auto"/>
                <w:szCs w:val="24"/>
                <w:highlight w:val="none"/>
                <w:lang w:eastAsia="zh-CN" w:bidi="ar"/>
              </w:rPr>
              <w:t>。</w:t>
            </w:r>
          </w:p>
          <w:p>
            <w:pPr>
              <w:keepLines w:val="0"/>
              <w:numPr>
                <w:ilvl w:val="0"/>
                <w:numId w:val="188"/>
              </w:numPr>
              <w:spacing w:line="360" w:lineRule="auto"/>
              <w:ind w:left="875"/>
              <w:jc w:val="both"/>
              <w:rPr>
                <w:color w:val="auto"/>
                <w:szCs w:val="24"/>
                <w:highlight w:val="none"/>
                <w:lang w:eastAsia="zh-CN"/>
              </w:rPr>
            </w:pPr>
            <w:r>
              <w:rPr>
                <w:rFonts w:hint="eastAsia"/>
                <w:color w:val="auto"/>
                <w:szCs w:val="24"/>
                <w:highlight w:val="none"/>
                <w:lang w:eastAsia="zh-CN" w:bidi="ar"/>
              </w:rPr>
              <w:t>玻璃棉板与风管壁间用塑料钉（或铝钉）固定，钉子的间距约</w:t>
            </w:r>
            <w:r>
              <w:rPr>
                <w:color w:val="auto"/>
                <w:szCs w:val="24"/>
                <w:highlight w:val="none"/>
                <w:lang w:eastAsia="zh-CN" w:bidi="ar"/>
              </w:rPr>
              <w:t>250mm</w:t>
            </w:r>
            <w:r>
              <w:rPr>
                <w:rFonts w:hint="eastAsia"/>
                <w:color w:val="auto"/>
                <w:szCs w:val="24"/>
                <w:highlight w:val="none"/>
                <w:lang w:eastAsia="zh-CN" w:bidi="ar"/>
              </w:rPr>
              <w:t>为宜，玻璃棉板的搭接口处用铝箔带封贴密实，不得有泄漏空气的隐患，最后用难燃打包塑料带捆扎，间距约</w:t>
            </w:r>
            <w:r>
              <w:rPr>
                <w:color w:val="auto"/>
                <w:szCs w:val="24"/>
                <w:highlight w:val="none"/>
                <w:lang w:eastAsia="zh-CN" w:bidi="ar"/>
              </w:rPr>
              <w:t>1m</w:t>
            </w:r>
            <w:r>
              <w:rPr>
                <w:rFonts w:hint="eastAsia"/>
                <w:color w:val="auto"/>
                <w:szCs w:val="24"/>
                <w:highlight w:val="none"/>
                <w:lang w:eastAsia="zh-CN" w:bidi="ar"/>
              </w:rPr>
              <w:t>左右。</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681" w:hRule="atLeast"/>
        </w:trPr>
        <w:tc>
          <w:tcPr>
            <w:tcW w:w="701" w:type="dxa"/>
            <w:tcBorders>
              <w:top w:val="single" w:color="000000" w:sz="6" w:space="0"/>
              <w:left w:val="single" w:color="auto" w:sz="4" w:space="0"/>
              <w:bottom w:val="single" w:color="000000" w:sz="6" w:space="0"/>
              <w:right w:val="single" w:color="000000" w:sz="6" w:space="0"/>
            </w:tcBorders>
            <w:shd w:val="clear" w:color="auto" w:fill="auto"/>
            <w:vAlign w:val="center"/>
          </w:tcPr>
          <w:p>
            <w:pPr>
              <w:spacing w:line="360" w:lineRule="auto"/>
              <w:rPr>
                <w:color w:val="auto"/>
                <w:szCs w:val="24"/>
                <w:highlight w:val="none"/>
              </w:rPr>
            </w:pPr>
            <w:r>
              <w:rPr>
                <w:color w:val="auto"/>
                <w:szCs w:val="24"/>
                <w:highlight w:val="none"/>
                <w:lang w:bidi="ar"/>
              </w:rPr>
              <w:t>22</w:t>
            </w:r>
          </w:p>
        </w:tc>
        <w:tc>
          <w:tcPr>
            <w:tcW w:w="1418"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rPr>
                <w:color w:val="auto"/>
                <w:szCs w:val="24"/>
                <w:highlight w:val="none"/>
                <w:lang w:val="zh-CN" w:eastAsia="zh-CN"/>
              </w:rPr>
            </w:pPr>
            <w:r>
              <w:rPr>
                <w:rFonts w:hint="eastAsia"/>
                <w:color w:val="auto"/>
                <w:szCs w:val="24"/>
                <w:highlight w:val="none"/>
                <w:lang w:val="zh-CN" w:eastAsia="zh-CN" w:bidi="ar"/>
              </w:rPr>
              <w:t>手术部外其他医用刷手池</w:t>
            </w:r>
          </w:p>
        </w:tc>
        <w:tc>
          <w:tcPr>
            <w:tcW w:w="7512"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after="120" w:line="360" w:lineRule="auto"/>
              <w:ind w:left="567" w:hanging="567"/>
              <w:rPr>
                <w:bCs/>
                <w:color w:val="auto"/>
                <w:szCs w:val="24"/>
                <w:highlight w:val="none"/>
                <w:lang w:val="zh-CN" w:eastAsia="zh-CN"/>
              </w:rPr>
            </w:pPr>
            <w:r>
              <w:rPr>
                <w:rFonts w:hint="eastAsia"/>
                <w:bCs/>
                <w:color w:val="auto"/>
                <w:szCs w:val="24"/>
                <w:highlight w:val="none"/>
                <w:lang w:val="zh-CN" w:eastAsia="zh-CN" w:bidi="ar"/>
              </w:rPr>
              <w:t>洗手盆：</w:t>
            </w:r>
          </w:p>
          <w:p>
            <w:pPr>
              <w:spacing w:after="120" w:line="360" w:lineRule="auto"/>
              <w:ind w:left="567" w:hanging="567"/>
              <w:rPr>
                <w:bCs/>
                <w:color w:val="auto"/>
                <w:szCs w:val="24"/>
                <w:highlight w:val="none"/>
                <w:lang w:val="zh-CN" w:eastAsia="zh-CN"/>
              </w:rPr>
            </w:pPr>
            <w:r>
              <w:rPr>
                <w:rFonts w:hint="eastAsia"/>
                <w:bCs/>
                <w:color w:val="auto"/>
                <w:szCs w:val="24"/>
                <w:highlight w:val="none"/>
                <w:lang w:val="zh-CN" w:eastAsia="zh-CN" w:bidi="ar"/>
              </w:rPr>
              <w:t>制造商应通过</w:t>
            </w:r>
            <w:r>
              <w:rPr>
                <w:bCs/>
                <w:color w:val="auto"/>
                <w:szCs w:val="24"/>
                <w:highlight w:val="none"/>
                <w:lang w:val="zh-CN" w:eastAsia="zh-CN" w:bidi="ar"/>
              </w:rPr>
              <w:t>ISO9001</w:t>
            </w:r>
            <w:r>
              <w:rPr>
                <w:rFonts w:hint="eastAsia"/>
                <w:bCs/>
                <w:color w:val="auto"/>
                <w:szCs w:val="24"/>
                <w:highlight w:val="none"/>
                <w:lang w:val="zh-CN" w:eastAsia="zh-CN" w:bidi="ar"/>
              </w:rPr>
              <w:t>质量管理体系认证。</w:t>
            </w:r>
          </w:p>
          <w:p>
            <w:pPr>
              <w:spacing w:after="120" w:line="360" w:lineRule="auto"/>
              <w:ind w:left="567" w:hanging="567"/>
              <w:rPr>
                <w:bCs/>
                <w:color w:val="auto"/>
                <w:szCs w:val="24"/>
                <w:highlight w:val="none"/>
                <w:lang w:val="zh-CN" w:eastAsia="zh-CN"/>
              </w:rPr>
            </w:pPr>
            <w:r>
              <w:rPr>
                <w:rFonts w:hint="eastAsia"/>
                <w:bCs/>
                <w:color w:val="auto"/>
                <w:szCs w:val="24"/>
                <w:highlight w:val="none"/>
                <w:lang w:val="zh-CN" w:eastAsia="zh-CN" w:bidi="ar"/>
              </w:rPr>
              <w:t>配套不锈钢存水弯，不锈钢给水软管、铜镀铬角阀。</w:t>
            </w:r>
          </w:p>
          <w:p>
            <w:pPr>
              <w:spacing w:after="120" w:line="360" w:lineRule="auto"/>
              <w:ind w:left="567" w:hanging="567"/>
              <w:rPr>
                <w:bCs/>
                <w:color w:val="auto"/>
                <w:szCs w:val="24"/>
                <w:highlight w:val="none"/>
                <w:lang w:val="zh-CN" w:eastAsia="zh-CN"/>
              </w:rPr>
            </w:pPr>
            <w:r>
              <w:rPr>
                <w:rFonts w:hint="eastAsia"/>
                <w:bCs/>
                <w:color w:val="auto"/>
                <w:szCs w:val="24"/>
                <w:highlight w:val="none"/>
                <w:lang w:val="zh-CN" w:eastAsia="zh-CN" w:bidi="ar"/>
              </w:rPr>
              <w:t>智洁釉面或纳米抗菌陶瓷。</w:t>
            </w:r>
          </w:p>
          <w:p>
            <w:pPr>
              <w:spacing w:after="120" w:line="360" w:lineRule="auto"/>
              <w:ind w:left="567" w:hanging="567"/>
              <w:rPr>
                <w:bCs/>
                <w:color w:val="auto"/>
                <w:szCs w:val="24"/>
                <w:highlight w:val="none"/>
                <w:lang w:val="zh-CN" w:eastAsia="zh-CN"/>
              </w:rPr>
            </w:pPr>
            <w:r>
              <w:rPr>
                <w:rFonts w:hint="eastAsia"/>
                <w:bCs/>
                <w:color w:val="auto"/>
                <w:szCs w:val="24"/>
                <w:highlight w:val="none"/>
                <w:lang w:val="zh-CN" w:eastAsia="zh-CN" w:bidi="ar"/>
              </w:rPr>
              <w:t>颜色为白色。</w:t>
            </w:r>
          </w:p>
          <w:p>
            <w:pPr>
              <w:spacing w:after="120" w:line="360" w:lineRule="auto"/>
              <w:ind w:left="567" w:hanging="567"/>
              <w:rPr>
                <w:bCs/>
                <w:color w:val="auto"/>
                <w:szCs w:val="24"/>
                <w:highlight w:val="none"/>
                <w:lang w:val="zh-CN" w:eastAsia="zh-CN"/>
              </w:rPr>
            </w:pPr>
            <w:r>
              <w:rPr>
                <w:rFonts w:hint="eastAsia"/>
                <w:bCs/>
                <w:color w:val="auto"/>
                <w:szCs w:val="24"/>
                <w:highlight w:val="none"/>
                <w:lang w:val="zh-CN" w:eastAsia="zh-CN" w:bidi="ar"/>
              </w:rPr>
              <w:t>尺寸、样式须经甲方、使用方、设计认可。</w:t>
            </w:r>
          </w:p>
          <w:p>
            <w:pPr>
              <w:spacing w:after="120" w:line="360" w:lineRule="auto"/>
              <w:ind w:left="567" w:hanging="567"/>
              <w:rPr>
                <w:bCs/>
                <w:color w:val="auto"/>
                <w:szCs w:val="24"/>
                <w:highlight w:val="none"/>
                <w:lang w:val="zh-CN" w:eastAsia="zh-CN"/>
              </w:rPr>
            </w:pPr>
            <w:r>
              <w:rPr>
                <w:rFonts w:hint="eastAsia"/>
                <w:bCs/>
                <w:color w:val="auto"/>
                <w:szCs w:val="24"/>
                <w:highlight w:val="none"/>
                <w:lang w:val="zh-CN" w:eastAsia="zh-CN" w:bidi="ar"/>
              </w:rPr>
              <w:t>感应龙头：</w:t>
            </w:r>
          </w:p>
          <w:p>
            <w:pPr>
              <w:spacing w:after="120" w:line="360" w:lineRule="auto"/>
              <w:ind w:left="567" w:hanging="567"/>
              <w:rPr>
                <w:bCs/>
                <w:color w:val="auto"/>
                <w:szCs w:val="24"/>
                <w:highlight w:val="none"/>
                <w:lang w:val="zh-CN" w:eastAsia="zh-CN"/>
              </w:rPr>
            </w:pPr>
            <w:r>
              <w:rPr>
                <w:rFonts w:hint="eastAsia"/>
                <w:bCs/>
                <w:color w:val="auto"/>
                <w:szCs w:val="24"/>
                <w:highlight w:val="none"/>
                <w:lang w:val="zh-CN" w:eastAsia="zh-CN" w:bidi="ar"/>
              </w:rPr>
              <w:t>陶瓷片密封式水嘴，单冷型和一体化调温型、黄铜本体，表面镀铬。</w:t>
            </w:r>
          </w:p>
          <w:p>
            <w:pPr>
              <w:spacing w:after="120" w:line="360" w:lineRule="auto"/>
              <w:ind w:left="567" w:hanging="567"/>
              <w:rPr>
                <w:bCs/>
                <w:color w:val="auto"/>
                <w:szCs w:val="24"/>
                <w:highlight w:val="none"/>
                <w:lang w:val="zh-CN" w:eastAsia="zh-CN"/>
              </w:rPr>
            </w:pPr>
            <w:r>
              <w:rPr>
                <w:rFonts w:hint="eastAsia"/>
                <w:bCs/>
                <w:color w:val="auto"/>
                <w:szCs w:val="24"/>
                <w:highlight w:val="none"/>
                <w:lang w:val="zh-CN" w:eastAsia="zh-CN" w:bidi="ar"/>
              </w:rPr>
              <w:t>感应距离自动调节（</w:t>
            </w:r>
            <w:r>
              <w:rPr>
                <w:bCs/>
                <w:color w:val="auto"/>
                <w:szCs w:val="24"/>
                <w:highlight w:val="none"/>
                <w:lang w:val="zh-CN" w:eastAsia="zh-CN" w:bidi="ar"/>
              </w:rPr>
              <w:t>15cm-30cm</w:t>
            </w:r>
            <w:r>
              <w:rPr>
                <w:rFonts w:hint="eastAsia"/>
                <w:bCs/>
                <w:color w:val="auto"/>
                <w:szCs w:val="24"/>
                <w:highlight w:val="none"/>
                <w:lang w:val="zh-CN" w:eastAsia="zh-CN" w:bidi="ar"/>
              </w:rPr>
              <w:t>）；</w:t>
            </w:r>
          </w:p>
          <w:p>
            <w:pPr>
              <w:spacing w:after="120" w:line="360" w:lineRule="auto"/>
              <w:ind w:left="567" w:hanging="567"/>
              <w:rPr>
                <w:bCs/>
                <w:color w:val="auto"/>
                <w:szCs w:val="24"/>
                <w:highlight w:val="none"/>
                <w:lang w:val="zh-CN" w:eastAsia="zh-CN"/>
              </w:rPr>
            </w:pPr>
            <w:r>
              <w:rPr>
                <w:rFonts w:hint="eastAsia"/>
                <w:bCs/>
                <w:color w:val="auto"/>
                <w:szCs w:val="24"/>
                <w:highlight w:val="none"/>
                <w:lang w:val="zh-CN" w:eastAsia="zh-CN" w:bidi="ar"/>
              </w:rPr>
              <w:t>采用</w:t>
            </w:r>
            <w:r>
              <w:rPr>
                <w:bCs/>
                <w:color w:val="auto"/>
                <w:szCs w:val="24"/>
                <w:highlight w:val="none"/>
                <w:lang w:val="zh-CN" w:eastAsia="zh-CN" w:bidi="ar"/>
              </w:rPr>
              <w:t>220</w:t>
            </w:r>
            <w:r>
              <w:rPr>
                <w:rFonts w:hint="eastAsia"/>
                <w:bCs/>
                <w:color w:val="auto"/>
                <w:szCs w:val="24"/>
                <w:highlight w:val="none"/>
                <w:lang w:val="zh-CN" w:eastAsia="zh-CN" w:bidi="ar"/>
              </w:rPr>
              <w:t>伏交流电源；</w:t>
            </w:r>
            <w:r>
              <w:rPr>
                <w:bCs/>
                <w:color w:val="auto"/>
                <w:szCs w:val="24"/>
                <w:highlight w:val="none"/>
                <w:lang w:val="zh-CN" w:eastAsia="zh-CN" w:bidi="ar"/>
              </w:rPr>
              <w:t xml:space="preserve"> </w:t>
            </w:r>
          </w:p>
          <w:p>
            <w:pPr>
              <w:spacing w:after="120" w:line="360" w:lineRule="auto"/>
              <w:ind w:left="567" w:hanging="567"/>
              <w:rPr>
                <w:bCs/>
                <w:color w:val="auto"/>
                <w:szCs w:val="24"/>
                <w:highlight w:val="none"/>
                <w:lang w:val="zh-CN" w:eastAsia="zh-CN"/>
              </w:rPr>
            </w:pPr>
            <w:r>
              <w:rPr>
                <w:rFonts w:hint="eastAsia"/>
                <w:bCs/>
                <w:color w:val="auto"/>
                <w:szCs w:val="24"/>
                <w:highlight w:val="none"/>
                <w:lang w:val="zh-CN" w:eastAsia="zh-CN" w:bidi="ar"/>
              </w:rPr>
              <w:t>恒流节水功能，高水压下更节水</w:t>
            </w:r>
            <w:r>
              <w:rPr>
                <w:bCs/>
                <w:color w:val="auto"/>
                <w:szCs w:val="24"/>
                <w:highlight w:val="none"/>
                <w:lang w:val="zh-CN" w:eastAsia="zh-CN" w:bidi="ar"/>
              </w:rPr>
              <w:t xml:space="preserve"> </w:t>
            </w:r>
            <w:r>
              <w:rPr>
                <w:rFonts w:hint="eastAsia"/>
                <w:bCs/>
                <w:color w:val="auto"/>
                <w:szCs w:val="24"/>
                <w:highlight w:val="none"/>
                <w:lang w:val="zh-CN" w:eastAsia="zh-CN" w:bidi="ar"/>
              </w:rPr>
              <w:t>；</w:t>
            </w:r>
          </w:p>
          <w:p>
            <w:pPr>
              <w:spacing w:after="120" w:line="360" w:lineRule="auto"/>
              <w:ind w:left="567" w:hanging="567"/>
              <w:rPr>
                <w:bCs/>
                <w:color w:val="auto"/>
                <w:szCs w:val="24"/>
                <w:highlight w:val="none"/>
                <w:lang w:val="zh-CN" w:eastAsia="zh-CN"/>
              </w:rPr>
            </w:pPr>
            <w:r>
              <w:rPr>
                <w:rFonts w:hint="eastAsia"/>
                <w:bCs/>
                <w:color w:val="auto"/>
                <w:szCs w:val="24"/>
                <w:highlight w:val="none"/>
                <w:lang w:val="zh-CN" w:eastAsia="zh-CN" w:bidi="ar"/>
              </w:rPr>
              <w:t>超时自动关闭水源（连续冲水超过</w:t>
            </w:r>
            <w:r>
              <w:rPr>
                <w:bCs/>
                <w:color w:val="auto"/>
                <w:szCs w:val="24"/>
                <w:highlight w:val="none"/>
                <w:lang w:val="zh-CN" w:eastAsia="zh-CN" w:bidi="ar"/>
              </w:rPr>
              <w:t>60</w:t>
            </w:r>
            <w:r>
              <w:rPr>
                <w:rFonts w:hint="eastAsia"/>
                <w:bCs/>
                <w:color w:val="auto"/>
                <w:szCs w:val="24"/>
                <w:highlight w:val="none"/>
                <w:lang w:val="zh-CN" w:eastAsia="zh-CN" w:bidi="ar"/>
              </w:rPr>
              <w:t>秒，自动关水）；</w:t>
            </w:r>
            <w:r>
              <w:rPr>
                <w:bCs/>
                <w:color w:val="auto"/>
                <w:szCs w:val="24"/>
                <w:highlight w:val="none"/>
                <w:lang w:val="zh-CN" w:eastAsia="zh-CN" w:bidi="ar"/>
              </w:rPr>
              <w:t xml:space="preserve"> </w:t>
            </w:r>
          </w:p>
          <w:p>
            <w:pPr>
              <w:spacing w:after="120" w:line="360" w:lineRule="auto"/>
              <w:ind w:left="567" w:hanging="567"/>
              <w:rPr>
                <w:bCs/>
                <w:color w:val="auto"/>
                <w:szCs w:val="24"/>
                <w:highlight w:val="none"/>
                <w:lang w:val="zh-CN" w:eastAsia="zh-CN"/>
              </w:rPr>
            </w:pPr>
            <w:r>
              <w:rPr>
                <w:rFonts w:hint="eastAsia"/>
                <w:bCs/>
                <w:color w:val="auto"/>
                <w:szCs w:val="24"/>
                <w:highlight w:val="none"/>
                <w:lang w:val="zh-CN" w:eastAsia="zh-CN" w:bidi="ar"/>
              </w:rPr>
              <w:t>防光线干扰控制，使用稳定，避免误操作</w:t>
            </w:r>
            <w:r>
              <w:rPr>
                <w:bCs/>
                <w:color w:val="auto"/>
                <w:szCs w:val="24"/>
                <w:highlight w:val="none"/>
                <w:lang w:val="zh-CN" w:eastAsia="zh-CN" w:bidi="ar"/>
              </w:rPr>
              <w:t xml:space="preserve"> </w:t>
            </w:r>
            <w:r>
              <w:rPr>
                <w:rFonts w:hint="eastAsia"/>
                <w:bCs/>
                <w:color w:val="auto"/>
                <w:szCs w:val="24"/>
                <w:highlight w:val="none"/>
                <w:lang w:val="zh-CN" w:eastAsia="zh-CN" w:bidi="ar"/>
              </w:rPr>
              <w:t>；</w:t>
            </w:r>
          </w:p>
          <w:p>
            <w:pPr>
              <w:spacing w:after="120" w:line="360" w:lineRule="auto"/>
              <w:ind w:left="567" w:hanging="567"/>
              <w:rPr>
                <w:bCs/>
                <w:color w:val="auto"/>
                <w:szCs w:val="24"/>
                <w:highlight w:val="none"/>
                <w:lang w:val="zh-CN" w:eastAsia="zh-CN"/>
              </w:rPr>
            </w:pPr>
            <w:r>
              <w:rPr>
                <w:rFonts w:hint="eastAsia"/>
                <w:bCs/>
                <w:color w:val="auto"/>
                <w:szCs w:val="24"/>
                <w:highlight w:val="none"/>
                <w:lang w:val="zh-CN" w:eastAsia="zh-CN" w:bidi="ar"/>
              </w:rPr>
              <w:t>无电指示功能；</w:t>
            </w:r>
          </w:p>
          <w:p>
            <w:pPr>
              <w:spacing w:after="120" w:line="360" w:lineRule="auto"/>
              <w:ind w:left="567" w:hanging="567"/>
              <w:rPr>
                <w:b/>
                <w:color w:val="auto"/>
                <w:szCs w:val="24"/>
                <w:highlight w:val="none"/>
                <w:lang w:val="zh-CN" w:eastAsia="zh-CN"/>
              </w:rPr>
            </w:pPr>
            <w:r>
              <w:rPr>
                <w:rFonts w:hint="eastAsia"/>
                <w:bCs/>
                <w:color w:val="auto"/>
                <w:szCs w:val="24"/>
                <w:highlight w:val="none"/>
                <w:lang w:val="zh-CN" w:eastAsia="zh-CN" w:bidi="ar"/>
              </w:rPr>
              <w:t>尺寸、样式须经甲方、使用方、设计认可。</w:t>
            </w:r>
          </w:p>
        </w:tc>
      </w:tr>
    </w:tbl>
    <w:p>
      <w:pPr>
        <w:pStyle w:val="6"/>
        <w:ind w:left="0" w:firstLine="0"/>
        <w:rPr>
          <w:rFonts w:cs="宋体"/>
          <w:color w:val="auto"/>
          <w:kern w:val="2"/>
          <w:sz w:val="21"/>
          <w:szCs w:val="20"/>
          <w:highlight w:val="none"/>
          <w:lang w:bidi="ar"/>
        </w:rPr>
      </w:pPr>
      <w:r>
        <w:rPr>
          <w:rFonts w:hint="eastAsia" w:cs="宋体"/>
          <w:color w:val="auto"/>
          <w:highlight w:val="none"/>
          <w:lang w:bidi="ar"/>
        </w:rPr>
        <w:t>洁具及配件现场选用前应送样品至工地，报监理、设计、业主、使用单位书面确认后方可订货；本工程为绿色建筑，要求用水器具采用国家标准所列的节水器具，并且符合国标。</w:t>
      </w:r>
    </w:p>
    <w:p>
      <w:pPr>
        <w:pStyle w:val="4"/>
        <w:spacing w:before="120" w:beforeLines="50"/>
        <w:ind w:left="0" w:firstLine="0"/>
        <w:rPr>
          <w:color w:val="auto"/>
          <w:highlight w:val="none"/>
        </w:rPr>
      </w:pPr>
      <w:r>
        <w:rPr>
          <w:rFonts w:hint="eastAsia"/>
          <w:color w:val="auto"/>
          <w:highlight w:val="none"/>
        </w:rPr>
        <w:t>医疗工艺及净化电气技术要求</w:t>
      </w:r>
    </w:p>
    <w:tbl>
      <w:tblPr>
        <w:tblStyle w:val="85"/>
        <w:tblW w:w="9498" w:type="dxa"/>
        <w:tblInd w:w="-8"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851"/>
        <w:gridCol w:w="1417"/>
        <w:gridCol w:w="7230"/>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54" w:hRule="atLeast"/>
          <w:tblHeader/>
        </w:trPr>
        <w:tc>
          <w:tcPr>
            <w:tcW w:w="851" w:type="dxa"/>
            <w:vAlign w:val="center"/>
          </w:tcPr>
          <w:p>
            <w:pPr>
              <w:rPr>
                <w:color w:val="auto"/>
                <w:highlight w:val="none"/>
              </w:rPr>
            </w:pPr>
            <w:r>
              <w:rPr>
                <w:rFonts w:hint="eastAsia"/>
                <w:color w:val="auto"/>
                <w:highlight w:val="none"/>
              </w:rPr>
              <w:t>序号</w:t>
            </w:r>
          </w:p>
        </w:tc>
        <w:tc>
          <w:tcPr>
            <w:tcW w:w="1417" w:type="dxa"/>
            <w:vAlign w:val="center"/>
          </w:tcPr>
          <w:p>
            <w:pPr>
              <w:rPr>
                <w:color w:val="auto"/>
                <w:highlight w:val="none"/>
              </w:rPr>
            </w:pPr>
            <w:r>
              <w:rPr>
                <w:rFonts w:hint="eastAsia"/>
                <w:color w:val="auto"/>
                <w:highlight w:val="none"/>
              </w:rPr>
              <w:t>产品名称</w:t>
            </w:r>
          </w:p>
        </w:tc>
        <w:tc>
          <w:tcPr>
            <w:tcW w:w="7230" w:type="dxa"/>
            <w:vAlign w:val="center"/>
          </w:tcPr>
          <w:p>
            <w:pPr>
              <w:rPr>
                <w:color w:val="auto"/>
                <w:highlight w:val="none"/>
              </w:rPr>
            </w:pPr>
            <w:r>
              <w:rPr>
                <w:rFonts w:hint="eastAsia"/>
                <w:color w:val="auto"/>
                <w:highlight w:val="none"/>
              </w:rPr>
              <w:t>产品技术要求</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00" w:hRule="atLeast"/>
        </w:trPr>
        <w:tc>
          <w:tcPr>
            <w:tcW w:w="851" w:type="dxa"/>
            <w:vAlign w:val="center"/>
          </w:tcPr>
          <w:p>
            <w:pPr>
              <w:rPr>
                <w:color w:val="auto"/>
                <w:highlight w:val="none"/>
              </w:rPr>
            </w:pPr>
            <w:r>
              <w:rPr>
                <w:color w:val="auto"/>
                <w:highlight w:val="none"/>
              </w:rPr>
              <w:t>1</w:t>
            </w:r>
          </w:p>
        </w:tc>
        <w:tc>
          <w:tcPr>
            <w:tcW w:w="1417" w:type="dxa"/>
            <w:vAlign w:val="center"/>
          </w:tcPr>
          <w:p>
            <w:pPr>
              <w:rPr>
                <w:color w:val="auto"/>
                <w:highlight w:val="none"/>
                <w:lang w:eastAsia="zh-CN"/>
              </w:rPr>
            </w:pPr>
            <w:r>
              <w:rPr>
                <w:rFonts w:hint="eastAsia"/>
                <w:color w:val="auto"/>
                <w:highlight w:val="none"/>
                <w:lang w:eastAsia="zh-CN"/>
              </w:rPr>
              <w:t>照明箱、动力箱、控制箱、双电源切换箱</w:t>
            </w:r>
          </w:p>
        </w:tc>
        <w:tc>
          <w:tcPr>
            <w:tcW w:w="7230" w:type="dxa"/>
            <w:vAlign w:val="center"/>
          </w:tcPr>
          <w:p>
            <w:pPr>
              <w:rPr>
                <w:color w:val="auto"/>
                <w:highlight w:val="none"/>
                <w:lang w:eastAsia="zh-CN"/>
              </w:rPr>
            </w:pPr>
            <w:r>
              <w:rPr>
                <w:rFonts w:hint="eastAsia"/>
                <w:color w:val="auto"/>
                <w:highlight w:val="none"/>
                <w:lang w:eastAsia="zh-CN"/>
              </w:rPr>
              <w:t>（一）产品技术要求</w:t>
            </w:r>
          </w:p>
          <w:p>
            <w:pPr>
              <w:rPr>
                <w:color w:val="auto"/>
                <w:highlight w:val="none"/>
                <w:lang w:eastAsia="zh-CN"/>
              </w:rPr>
            </w:pPr>
            <w:r>
              <w:rPr>
                <w:rFonts w:hint="eastAsia"/>
                <w:color w:val="auto"/>
                <w:highlight w:val="none"/>
                <w:lang w:eastAsia="zh-CN"/>
              </w:rPr>
              <w:t>1、符合BG7521、JB/T9666等中国国家标准及国际标准；</w:t>
            </w:r>
          </w:p>
          <w:p>
            <w:pPr>
              <w:rPr>
                <w:color w:val="auto"/>
                <w:highlight w:val="none"/>
                <w:lang w:eastAsia="zh-CN"/>
              </w:rPr>
            </w:pPr>
            <w:r>
              <w:rPr>
                <w:rFonts w:hint="eastAsia"/>
                <w:color w:val="auto"/>
                <w:highlight w:val="none"/>
                <w:lang w:eastAsia="zh-CN"/>
              </w:rPr>
              <w:t>2、三箱设备内元器件应有“3C”认证；</w:t>
            </w:r>
          </w:p>
          <w:p>
            <w:pPr>
              <w:rPr>
                <w:color w:val="auto"/>
                <w:highlight w:val="none"/>
                <w:lang w:eastAsia="zh-CN"/>
              </w:rPr>
            </w:pPr>
            <w:r>
              <w:rPr>
                <w:rFonts w:hint="eastAsia"/>
                <w:color w:val="auto"/>
                <w:highlight w:val="none"/>
                <w:lang w:eastAsia="zh-CN"/>
              </w:rPr>
              <w:t>3、三箱内一次元器件（断路器、接触器、电容器、浪涌保护器）</w:t>
            </w:r>
          </w:p>
          <w:p>
            <w:pPr>
              <w:rPr>
                <w:color w:val="auto"/>
                <w:highlight w:val="none"/>
                <w:lang w:eastAsia="zh-CN"/>
              </w:rPr>
            </w:pPr>
            <w:r>
              <w:rPr>
                <w:rFonts w:hint="eastAsia"/>
                <w:color w:val="auto"/>
                <w:highlight w:val="none"/>
                <w:lang w:eastAsia="zh-CN"/>
              </w:rPr>
              <w:t>5、箱体材料采用国产优质冷轧钢板，箱体板材厚度不小于1.5mm，落地柜板材厚度不小于2.0mm，箱体表面经过除油、除锈、磷化处理、喷粉烘烤或喷塑处理。</w:t>
            </w:r>
          </w:p>
          <w:p>
            <w:pPr>
              <w:rPr>
                <w:color w:val="auto"/>
                <w:highlight w:val="none"/>
                <w:lang w:eastAsia="zh-CN"/>
              </w:rPr>
            </w:pPr>
            <w:r>
              <w:rPr>
                <w:rFonts w:hint="eastAsia"/>
                <w:color w:val="auto"/>
                <w:highlight w:val="none"/>
                <w:lang w:eastAsia="zh-CN"/>
              </w:rPr>
              <w:t>6、箱体必须为全封闭型，箱门上须装防尘垫，装以锁扣或其他相同经批准的锁。整个箱体的防护等级满足图纸及规范要求。</w:t>
            </w:r>
          </w:p>
          <w:p>
            <w:pPr>
              <w:rPr>
                <w:color w:val="auto"/>
                <w:highlight w:val="none"/>
                <w:lang w:eastAsia="zh-CN"/>
              </w:rPr>
            </w:pPr>
            <w:r>
              <w:rPr>
                <w:rFonts w:hint="eastAsia"/>
                <w:color w:val="auto"/>
                <w:highlight w:val="none"/>
                <w:lang w:eastAsia="zh-CN"/>
              </w:rPr>
              <w:t>7、箱内设备必须包括所规定额定电流的镀锡铜母线，以及足够截面的多接线端子的中性线和地线母线。</w:t>
            </w:r>
          </w:p>
          <w:p>
            <w:pPr>
              <w:rPr>
                <w:color w:val="auto"/>
                <w:highlight w:val="none"/>
                <w:lang w:eastAsia="zh-CN"/>
              </w:rPr>
            </w:pPr>
            <w:r>
              <w:rPr>
                <w:rFonts w:hint="eastAsia"/>
                <w:color w:val="auto"/>
                <w:highlight w:val="none"/>
                <w:lang w:eastAsia="zh-CN"/>
              </w:rPr>
              <w:t>8、为了使带电部分和电线在打开前门板时能够完全屏蔽，所有在箱内的电线、母线等都应加以遮护，并应提供一块1.5mm厚的阻燃前护板（控制箱可以例外）。只有断路器的操作手把和其周围的绝缘部分可以突出在阻燃前护板上。</w:t>
            </w:r>
          </w:p>
          <w:p>
            <w:pPr>
              <w:rPr>
                <w:color w:val="auto"/>
                <w:highlight w:val="none"/>
                <w:lang w:eastAsia="zh-CN"/>
              </w:rPr>
            </w:pPr>
            <w:r>
              <w:rPr>
                <w:rFonts w:hint="eastAsia"/>
                <w:color w:val="auto"/>
                <w:highlight w:val="none"/>
                <w:lang w:eastAsia="zh-CN"/>
              </w:rPr>
              <w:t>9、必须配置一个接地端子，使箱体可以接地。装有二次元件的箱门应通过软编制铜带与接地端子相连。</w:t>
            </w:r>
          </w:p>
          <w:p>
            <w:pPr>
              <w:rPr>
                <w:color w:val="auto"/>
                <w:highlight w:val="none"/>
                <w:lang w:eastAsia="zh-CN"/>
              </w:rPr>
            </w:pPr>
            <w:r>
              <w:rPr>
                <w:rFonts w:hint="eastAsia"/>
                <w:color w:val="auto"/>
                <w:highlight w:val="none"/>
                <w:lang w:eastAsia="zh-CN"/>
              </w:rPr>
              <w:t>10、三箱内主开关的相线和中性母线的额定电流不应小于250A和进线保护装置的电流。母线、母线固定支架和母线接线的布置必须能在1秒钟内承受40kA以上的短路电流的冲击。</w:t>
            </w:r>
          </w:p>
          <w:p>
            <w:pPr>
              <w:rPr>
                <w:color w:val="auto"/>
                <w:highlight w:val="none"/>
                <w:lang w:eastAsia="zh-CN"/>
              </w:rPr>
            </w:pPr>
            <w:r>
              <w:rPr>
                <w:rFonts w:hint="eastAsia"/>
                <w:color w:val="auto"/>
                <w:highlight w:val="none"/>
                <w:lang w:eastAsia="zh-CN"/>
              </w:rPr>
              <w:t>11、所有三箱必须有清晰的标牌。在每个箱门内必须附有回路记录卡。每个电箱必须给出一次及二次接线图。</w:t>
            </w:r>
          </w:p>
          <w:p>
            <w:pPr>
              <w:rPr>
                <w:color w:val="auto"/>
                <w:highlight w:val="none"/>
                <w:lang w:eastAsia="zh-CN"/>
              </w:rPr>
            </w:pPr>
            <w:r>
              <w:rPr>
                <w:rFonts w:hint="eastAsia"/>
                <w:color w:val="auto"/>
                <w:highlight w:val="none"/>
                <w:lang w:eastAsia="zh-CN"/>
              </w:rPr>
              <w:t>12、双电源切换开关设有手动/自动、自投自复/自投不自复。具有过压、欠压、缺相的检测功能。当某路电源出现故障时，电源指示灯显示故障类型。过压、欠压的阈值可通过控制器背面的拨动开关进行设置。</w:t>
            </w:r>
          </w:p>
          <w:p>
            <w:pPr>
              <w:rPr>
                <w:color w:val="auto"/>
                <w:highlight w:val="none"/>
                <w:lang w:eastAsia="zh-CN"/>
              </w:rPr>
            </w:pPr>
            <w:r>
              <w:rPr>
                <w:rFonts w:hint="eastAsia"/>
                <w:color w:val="auto"/>
                <w:highlight w:val="none"/>
                <w:lang w:eastAsia="zh-CN"/>
              </w:rPr>
              <w:t>13、总包单位采购的设备、自带控制箱（柜）应有消防控制接点、弱电系统集成需要的要检测、通讯接口、控制接口。</w:t>
            </w:r>
          </w:p>
          <w:p>
            <w:pPr>
              <w:rPr>
                <w:color w:val="auto"/>
                <w:highlight w:val="none"/>
                <w:lang w:eastAsia="zh-CN"/>
              </w:rPr>
            </w:pPr>
            <w:r>
              <w:rPr>
                <w:rFonts w:hint="eastAsia"/>
                <w:color w:val="auto"/>
                <w:highlight w:val="none"/>
                <w:lang w:eastAsia="zh-CN"/>
              </w:rPr>
              <w:t>14、变频器应满足设计要求，同时变频器应带抑制谐波措施。</w:t>
            </w:r>
          </w:p>
          <w:p>
            <w:pPr>
              <w:rPr>
                <w:color w:val="auto"/>
                <w:highlight w:val="none"/>
                <w:lang w:eastAsia="zh-CN"/>
              </w:rPr>
            </w:pPr>
          </w:p>
          <w:p>
            <w:pPr>
              <w:rPr>
                <w:color w:val="auto"/>
                <w:highlight w:val="none"/>
                <w:lang w:eastAsia="zh-CN"/>
              </w:rPr>
            </w:pPr>
            <w:r>
              <w:rPr>
                <w:rFonts w:hint="eastAsia"/>
                <w:color w:val="auto"/>
                <w:highlight w:val="none"/>
                <w:lang w:eastAsia="zh-CN"/>
              </w:rPr>
              <w:t>具体技术要求：</w:t>
            </w:r>
            <w:r>
              <w:rPr>
                <w:rFonts w:hint="eastAsia"/>
                <w:color w:val="auto"/>
                <w:highlight w:val="none"/>
                <w:lang w:eastAsia="zh-CN"/>
              </w:rPr>
              <w:tab/>
            </w:r>
          </w:p>
          <w:p>
            <w:pPr>
              <w:rPr>
                <w:color w:val="auto"/>
                <w:highlight w:val="none"/>
                <w:lang w:eastAsia="zh-CN"/>
              </w:rPr>
            </w:pPr>
            <w:r>
              <w:rPr>
                <w:rFonts w:hint="eastAsia"/>
                <w:color w:val="auto"/>
                <w:highlight w:val="none"/>
                <w:lang w:eastAsia="zh-CN"/>
              </w:rPr>
              <w:t>（1）额定电压380V，频率50/60Hz，三极或四极，额定绝缘电压800V。</w:t>
            </w:r>
          </w:p>
          <w:p>
            <w:pPr>
              <w:rPr>
                <w:color w:val="auto"/>
                <w:highlight w:val="none"/>
                <w:lang w:eastAsia="zh-CN"/>
              </w:rPr>
            </w:pPr>
            <w:r>
              <w:rPr>
                <w:rFonts w:hint="eastAsia"/>
                <w:color w:val="auto"/>
                <w:highlight w:val="none"/>
                <w:lang w:eastAsia="zh-CN"/>
              </w:rPr>
              <w:t>（2）使用类别：AC-33B（适用于大多数感性及容性负载），具备10Ie的接通分断能力，投标时须提供CCC证书证明。</w:t>
            </w:r>
          </w:p>
          <w:p>
            <w:pPr>
              <w:rPr>
                <w:color w:val="auto"/>
                <w:highlight w:val="none"/>
                <w:lang w:eastAsia="zh-CN"/>
              </w:rPr>
            </w:pPr>
            <w:r>
              <w:rPr>
                <w:rFonts w:hint="eastAsia"/>
                <w:color w:val="auto"/>
                <w:highlight w:val="none"/>
                <w:lang w:eastAsia="zh-CN"/>
              </w:rPr>
              <w:t>（3）开关本体触头可选择稳定的两位置或三位置，触头能够在中间0位加装隔离锁实现可靠的安全隔离，便于隔离检修 。</w:t>
            </w:r>
          </w:p>
          <w:p>
            <w:pPr>
              <w:rPr>
                <w:color w:val="auto"/>
                <w:highlight w:val="none"/>
                <w:lang w:eastAsia="zh-CN"/>
              </w:rPr>
            </w:pPr>
            <w:r>
              <w:rPr>
                <w:rFonts w:hint="eastAsia"/>
                <w:color w:val="auto"/>
                <w:highlight w:val="none"/>
                <w:lang w:eastAsia="zh-CN"/>
              </w:rPr>
              <w:t>（4）能选择多种控制模式，包括：手动/自动，自投自复，自投不自复，远程控制等。</w:t>
            </w:r>
          </w:p>
          <w:p>
            <w:pPr>
              <w:rPr>
                <w:color w:val="auto"/>
                <w:highlight w:val="none"/>
                <w:lang w:eastAsia="zh-CN"/>
              </w:rPr>
            </w:pPr>
            <w:r>
              <w:rPr>
                <w:rFonts w:hint="eastAsia"/>
                <w:color w:val="auto"/>
                <w:highlight w:val="none"/>
                <w:lang w:eastAsia="zh-CN"/>
              </w:rPr>
              <w:t xml:space="preserve">(5)具备LED指示灯，能够实时显示两路电源状态触头所处位置。 </w:t>
            </w:r>
          </w:p>
          <w:p>
            <w:pPr>
              <w:rPr>
                <w:color w:val="auto"/>
                <w:highlight w:val="none"/>
                <w:lang w:eastAsia="zh-CN"/>
              </w:rPr>
            </w:pPr>
            <w:r>
              <w:rPr>
                <w:rFonts w:hint="eastAsia"/>
                <w:color w:val="auto"/>
                <w:highlight w:val="none"/>
                <w:lang w:eastAsia="zh-CN"/>
              </w:rPr>
              <w:t>(6)具备对常用电源与备用电源缺相、失压、过/欠压、过/欠频等检测功能；且各参数及可选控制功能均可通过面板进行现场设置及更改。</w:t>
            </w:r>
          </w:p>
          <w:p>
            <w:pPr>
              <w:rPr>
                <w:color w:val="auto"/>
                <w:highlight w:val="none"/>
                <w:lang w:eastAsia="zh-CN"/>
              </w:rPr>
            </w:pPr>
            <w:r>
              <w:rPr>
                <w:rFonts w:hint="eastAsia"/>
                <w:color w:val="auto"/>
                <w:highlight w:val="none"/>
                <w:lang w:eastAsia="zh-CN"/>
              </w:rPr>
              <w:t>预留通讯接口（RS485/RS232），提供免费开放的通讯协议，满足BA系统远程监测、监控的要求。</w:t>
            </w:r>
          </w:p>
          <w:p>
            <w:pPr>
              <w:rPr>
                <w:color w:val="auto"/>
                <w:highlight w:val="none"/>
                <w:lang w:eastAsia="zh-CN"/>
              </w:rPr>
            </w:pPr>
            <w:r>
              <w:rPr>
                <w:rFonts w:hint="eastAsia"/>
                <w:color w:val="auto"/>
                <w:highlight w:val="none"/>
                <w:lang w:eastAsia="zh-CN"/>
              </w:rPr>
              <w:t>16、T接箱</w:t>
            </w:r>
          </w:p>
          <w:p>
            <w:pPr>
              <w:rPr>
                <w:color w:val="auto"/>
                <w:highlight w:val="none"/>
                <w:lang w:eastAsia="zh-CN"/>
              </w:rPr>
            </w:pPr>
            <w:r>
              <w:rPr>
                <w:rFonts w:hint="eastAsia"/>
                <w:color w:val="auto"/>
                <w:highlight w:val="none"/>
                <w:lang w:eastAsia="zh-CN"/>
              </w:rPr>
              <w:t>17、符合GB14048、JB/T9659、IEC60947等中国国家标准及国际标准；</w:t>
            </w:r>
          </w:p>
          <w:p>
            <w:pPr>
              <w:rPr>
                <w:color w:val="auto"/>
                <w:highlight w:val="none"/>
                <w:lang w:eastAsia="zh-CN"/>
              </w:rPr>
            </w:pPr>
            <w:r>
              <w:rPr>
                <w:rFonts w:hint="eastAsia"/>
                <w:color w:val="auto"/>
                <w:highlight w:val="none"/>
                <w:lang w:eastAsia="zh-CN"/>
              </w:rPr>
              <w:t>18、要求具有较强耐热性和抗冲击能力，可承受120A/mm2的短路冲击电流，绝缘基座采用不燃烧材料制作，耐老化性能优良。</w:t>
            </w:r>
          </w:p>
          <w:p>
            <w:pPr>
              <w:rPr>
                <w:color w:val="auto"/>
                <w:highlight w:val="none"/>
                <w:lang w:eastAsia="zh-CN"/>
              </w:rPr>
            </w:pPr>
            <w:r>
              <w:rPr>
                <w:rFonts w:hint="eastAsia"/>
                <w:color w:val="auto"/>
                <w:highlight w:val="none"/>
                <w:lang w:eastAsia="zh-CN"/>
              </w:rPr>
              <w:t>（二）智能化要求</w:t>
            </w:r>
          </w:p>
          <w:p>
            <w:pPr>
              <w:rPr>
                <w:color w:val="auto"/>
                <w:highlight w:val="none"/>
                <w:lang w:eastAsia="zh-CN"/>
              </w:rPr>
            </w:pPr>
            <w:r>
              <w:rPr>
                <w:rFonts w:hint="eastAsia"/>
                <w:color w:val="auto"/>
                <w:highlight w:val="none"/>
                <w:lang w:eastAsia="zh-CN"/>
              </w:rPr>
              <w:t>1、三箱箱体预留孔洞，便于智能化单位穿线。</w:t>
            </w:r>
          </w:p>
          <w:p>
            <w:pPr>
              <w:rPr>
                <w:color w:val="auto"/>
                <w:highlight w:val="none"/>
                <w:lang w:eastAsia="zh-CN"/>
              </w:rPr>
            </w:pPr>
            <w:r>
              <w:rPr>
                <w:rFonts w:hint="eastAsia"/>
                <w:color w:val="auto"/>
                <w:highlight w:val="none"/>
                <w:lang w:eastAsia="zh-CN"/>
              </w:rPr>
              <w:t>2、三箱内需为电力智能仪表、智能照明、漏电火灾监控等模块预留一定空间并安装。</w:t>
            </w:r>
          </w:p>
          <w:p>
            <w:pPr>
              <w:rPr>
                <w:color w:val="auto"/>
                <w:highlight w:val="none"/>
                <w:lang w:eastAsia="zh-CN"/>
              </w:rPr>
            </w:pPr>
            <w:r>
              <w:rPr>
                <w:rFonts w:hint="eastAsia"/>
                <w:color w:val="auto"/>
                <w:highlight w:val="none"/>
                <w:lang w:eastAsia="zh-CN"/>
              </w:rPr>
              <w:t>3、按照智能化设计要求,为智能化系统预留接线端子。</w:t>
            </w:r>
          </w:p>
          <w:p>
            <w:pPr>
              <w:rPr>
                <w:color w:val="auto"/>
                <w:highlight w:val="none"/>
                <w:lang w:eastAsia="zh-CN"/>
              </w:rPr>
            </w:pPr>
            <w:r>
              <w:rPr>
                <w:rFonts w:hint="eastAsia"/>
                <w:color w:val="auto"/>
                <w:highlight w:val="none"/>
                <w:lang w:eastAsia="zh-CN"/>
              </w:rPr>
              <w:t>要求承包人必须实现下述功能，如有需要，承包人必须自行填加配置足够的元器件，直至满足要求为止（包含但不限于）：</w:t>
            </w:r>
          </w:p>
          <w:p>
            <w:pPr>
              <w:rPr>
                <w:color w:val="auto"/>
                <w:highlight w:val="none"/>
                <w:lang w:eastAsia="zh-CN"/>
              </w:rPr>
            </w:pPr>
            <w:r>
              <w:rPr>
                <w:rFonts w:hint="eastAsia"/>
                <w:color w:val="auto"/>
                <w:highlight w:val="none"/>
                <w:lang w:eastAsia="zh-CN"/>
              </w:rPr>
              <w:t>（1）空调系统（新风机组、空调机组、风机盘管）</w:t>
            </w:r>
          </w:p>
          <w:p>
            <w:pPr>
              <w:rPr>
                <w:color w:val="auto"/>
                <w:highlight w:val="none"/>
                <w:lang w:eastAsia="zh-CN"/>
              </w:rPr>
            </w:pPr>
            <w:r>
              <w:rPr>
                <w:rFonts w:hint="eastAsia"/>
                <w:color w:val="auto"/>
                <w:highlight w:val="none"/>
                <w:lang w:eastAsia="zh-CN"/>
              </w:rPr>
              <w:t>新风机组、空调机组控制箱需提供手/自动状态、运行状态、故障状态等干接点，启/停控制的干接点。干接点不应引入高电位，箱内有配线及端子排应与柜内其它线路及端子排分开，单独设置。</w:t>
            </w:r>
          </w:p>
          <w:p>
            <w:pPr>
              <w:rPr>
                <w:color w:val="auto"/>
                <w:highlight w:val="none"/>
                <w:lang w:eastAsia="zh-CN"/>
              </w:rPr>
            </w:pPr>
            <w:r>
              <w:rPr>
                <w:rFonts w:hint="eastAsia"/>
                <w:color w:val="auto"/>
                <w:highlight w:val="none"/>
                <w:lang w:eastAsia="zh-CN"/>
              </w:rPr>
              <w:t>风阀执行器、电动调节阀执行器需根据BA的控制技术要求供货，提供接线端子以供BA控制风阀、水阀的开关、调节和监测开、关状态或开度。</w:t>
            </w:r>
          </w:p>
          <w:p>
            <w:pPr>
              <w:rPr>
                <w:color w:val="auto"/>
                <w:highlight w:val="none"/>
                <w:lang w:eastAsia="zh-CN"/>
              </w:rPr>
            </w:pPr>
            <w:r>
              <w:rPr>
                <w:rFonts w:hint="eastAsia"/>
                <w:color w:val="auto"/>
                <w:highlight w:val="none"/>
                <w:lang w:eastAsia="zh-CN"/>
              </w:rPr>
              <w:t>BA系统需在新风机组、空调机组、风机盘管和水管、风管安装传感器，机电安装单位应提供配合条件。</w:t>
            </w:r>
          </w:p>
          <w:p>
            <w:pPr>
              <w:rPr>
                <w:color w:val="auto"/>
                <w:highlight w:val="none"/>
                <w:lang w:eastAsia="zh-CN"/>
              </w:rPr>
            </w:pPr>
            <w:r>
              <w:rPr>
                <w:rFonts w:hint="eastAsia"/>
                <w:color w:val="auto"/>
                <w:highlight w:val="none"/>
                <w:lang w:eastAsia="zh-CN"/>
              </w:rPr>
              <w:t>（2）通风系统</w:t>
            </w:r>
          </w:p>
          <w:p>
            <w:pPr>
              <w:rPr>
                <w:color w:val="auto"/>
                <w:highlight w:val="none"/>
                <w:lang w:eastAsia="zh-CN"/>
              </w:rPr>
            </w:pPr>
            <w:r>
              <w:rPr>
                <w:rFonts w:hint="eastAsia"/>
                <w:color w:val="auto"/>
                <w:highlight w:val="none"/>
                <w:lang w:eastAsia="zh-CN"/>
              </w:rPr>
              <w:t>送排风机控制箱需提供手/自动状态、运行状态、故障状态等干接点，启/停控制等干接点，消防控制系统应具有最高的优先控制权。接点应避免引入高电位，配线及端子排应与柜内其它线路及端子排分开、单独设置。</w:t>
            </w:r>
          </w:p>
          <w:p>
            <w:pPr>
              <w:rPr>
                <w:color w:val="auto"/>
                <w:highlight w:val="none"/>
                <w:lang w:eastAsia="zh-CN"/>
              </w:rPr>
            </w:pPr>
            <w:r>
              <w:rPr>
                <w:rFonts w:hint="eastAsia"/>
                <w:color w:val="auto"/>
                <w:highlight w:val="none"/>
                <w:lang w:eastAsia="zh-CN"/>
              </w:rPr>
              <w:t>（3）给排水系统</w:t>
            </w:r>
          </w:p>
          <w:p>
            <w:pPr>
              <w:rPr>
                <w:color w:val="auto"/>
                <w:highlight w:val="none"/>
                <w:lang w:eastAsia="zh-CN"/>
              </w:rPr>
            </w:pPr>
            <w:r>
              <w:rPr>
                <w:rFonts w:hint="eastAsia"/>
                <w:color w:val="auto"/>
                <w:highlight w:val="none"/>
                <w:lang w:eastAsia="zh-CN"/>
              </w:rPr>
              <w:t>潜污泵、补水泵、生活水泵控制箱需提供手/自动状态、运行状态、故障状态、过载报警等干接点，启/停控制等干接点，配线及端子排应与柜内其它线路及端子排分开、单独设置。</w:t>
            </w:r>
          </w:p>
          <w:p>
            <w:pPr>
              <w:rPr>
                <w:color w:val="auto"/>
                <w:highlight w:val="none"/>
                <w:lang w:eastAsia="zh-CN"/>
              </w:rPr>
            </w:pPr>
            <w:r>
              <w:rPr>
                <w:rFonts w:hint="eastAsia"/>
                <w:color w:val="auto"/>
                <w:highlight w:val="none"/>
                <w:lang w:eastAsia="zh-CN"/>
              </w:rPr>
              <w:t>（4）消防系统</w:t>
            </w:r>
          </w:p>
          <w:p>
            <w:pPr>
              <w:rPr>
                <w:color w:val="auto"/>
                <w:highlight w:val="none"/>
                <w:lang w:eastAsia="zh-CN"/>
              </w:rPr>
            </w:pPr>
            <w:r>
              <w:rPr>
                <w:rFonts w:hint="eastAsia"/>
                <w:color w:val="auto"/>
                <w:highlight w:val="none"/>
                <w:lang w:eastAsia="zh-CN"/>
              </w:rPr>
              <w:t>消防水泵和喷洒水泵控制箱需提供手/自动状态、运行状态、过载报警等干接点，消防启/停控制信号接点，配线及端子排应与柜内其它线路及端子排分开、单独设置。</w:t>
            </w:r>
          </w:p>
          <w:p>
            <w:pPr>
              <w:rPr>
                <w:color w:val="auto"/>
                <w:highlight w:val="none"/>
                <w:lang w:eastAsia="zh-CN"/>
              </w:rPr>
            </w:pPr>
            <w:r>
              <w:rPr>
                <w:rFonts w:hint="eastAsia"/>
                <w:color w:val="auto"/>
                <w:highlight w:val="none"/>
                <w:lang w:eastAsia="zh-CN"/>
              </w:rPr>
              <w:t>另外，在实现上述功能后，承包人所提供的“三箱”需根据智能化单位的需求，引出供智能化监控专用的接线端子；根据需要，在电箱内预留火灾漏电报警监控系统元器件安装位置及引出端子排。</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00" w:hRule="atLeast"/>
        </w:trPr>
        <w:tc>
          <w:tcPr>
            <w:tcW w:w="851" w:type="dxa"/>
            <w:vAlign w:val="center"/>
          </w:tcPr>
          <w:p>
            <w:pPr>
              <w:rPr>
                <w:color w:val="auto"/>
                <w:highlight w:val="none"/>
              </w:rPr>
            </w:pPr>
            <w:r>
              <w:rPr>
                <w:color w:val="auto"/>
                <w:highlight w:val="none"/>
              </w:rPr>
              <w:t>2</w:t>
            </w:r>
          </w:p>
        </w:tc>
        <w:tc>
          <w:tcPr>
            <w:tcW w:w="1417" w:type="dxa"/>
            <w:vAlign w:val="center"/>
          </w:tcPr>
          <w:p>
            <w:pPr>
              <w:rPr>
                <w:color w:val="auto"/>
                <w:highlight w:val="none"/>
                <w:lang w:eastAsia="zh-CN"/>
              </w:rPr>
            </w:pPr>
            <w:r>
              <w:rPr>
                <w:rFonts w:hint="eastAsia"/>
                <w:color w:val="auto"/>
                <w:highlight w:val="none"/>
                <w:lang w:eastAsia="zh-CN"/>
              </w:rPr>
              <w:t>电缆桥架、梯架、金属线槽（含强弱电工程）</w:t>
            </w:r>
          </w:p>
        </w:tc>
        <w:tc>
          <w:tcPr>
            <w:tcW w:w="7230" w:type="dxa"/>
            <w:vAlign w:val="center"/>
          </w:tcPr>
          <w:p>
            <w:pPr>
              <w:rPr>
                <w:color w:val="auto"/>
                <w:highlight w:val="none"/>
                <w:lang w:eastAsia="zh-CN"/>
              </w:rPr>
            </w:pPr>
          </w:p>
          <w:p>
            <w:pPr>
              <w:rPr>
                <w:color w:val="auto"/>
                <w:highlight w:val="none"/>
                <w:lang w:eastAsia="zh-CN"/>
              </w:rPr>
            </w:pPr>
            <w:r>
              <w:rPr>
                <w:color w:val="auto"/>
                <w:highlight w:val="none"/>
                <w:lang w:eastAsia="zh-CN"/>
              </w:rPr>
              <w:t>2</w:t>
            </w:r>
            <w:r>
              <w:rPr>
                <w:rFonts w:hint="eastAsia"/>
                <w:color w:val="auto"/>
                <w:highlight w:val="none"/>
                <w:lang w:eastAsia="zh-CN"/>
              </w:rPr>
              <w:t>、生产厂家有剪切、冲孔、弯折数控设备；</w:t>
            </w:r>
          </w:p>
          <w:p>
            <w:pPr>
              <w:rPr>
                <w:color w:val="auto"/>
                <w:highlight w:val="none"/>
                <w:lang w:eastAsia="zh-CN"/>
              </w:rPr>
            </w:pPr>
            <w:r>
              <w:rPr>
                <w:color w:val="auto"/>
                <w:highlight w:val="none"/>
                <w:lang w:eastAsia="zh-CN"/>
              </w:rPr>
              <w:t>3</w:t>
            </w:r>
            <w:r>
              <w:rPr>
                <w:rFonts w:hint="eastAsia"/>
                <w:color w:val="auto"/>
                <w:highlight w:val="none"/>
                <w:lang w:eastAsia="zh-CN"/>
              </w:rPr>
              <w:t>、电缆桥架含本工程所需的电缆梯架、电缆托盘、金属线槽等电缆承载体。</w:t>
            </w:r>
          </w:p>
          <w:p>
            <w:pPr>
              <w:rPr>
                <w:color w:val="auto"/>
                <w:highlight w:val="none"/>
                <w:lang w:eastAsia="zh-CN"/>
              </w:rPr>
            </w:pPr>
            <w:r>
              <w:rPr>
                <w:color w:val="auto"/>
                <w:highlight w:val="none"/>
                <w:lang w:eastAsia="zh-CN"/>
              </w:rPr>
              <w:t>4</w:t>
            </w:r>
            <w:r>
              <w:rPr>
                <w:rFonts w:hint="eastAsia"/>
                <w:color w:val="auto"/>
                <w:highlight w:val="none"/>
                <w:lang w:eastAsia="zh-CN"/>
              </w:rPr>
              <w:t>、符合</w:t>
            </w:r>
            <w:r>
              <w:rPr>
                <w:color w:val="auto"/>
                <w:highlight w:val="none"/>
                <w:lang w:eastAsia="zh-CN"/>
              </w:rPr>
              <w:t>JB/T10216</w:t>
            </w:r>
            <w:r>
              <w:rPr>
                <w:rFonts w:hint="eastAsia"/>
                <w:color w:val="auto"/>
                <w:highlight w:val="none"/>
                <w:lang w:eastAsia="zh-CN"/>
              </w:rPr>
              <w:t>、</w:t>
            </w:r>
            <w:r>
              <w:rPr>
                <w:color w:val="auto"/>
                <w:highlight w:val="none"/>
                <w:lang w:eastAsia="zh-CN"/>
              </w:rPr>
              <w:t>CECS 31</w:t>
            </w:r>
            <w:r>
              <w:rPr>
                <w:rFonts w:hint="eastAsia"/>
                <w:color w:val="auto"/>
                <w:highlight w:val="none"/>
                <w:lang w:eastAsia="zh-CN"/>
              </w:rPr>
              <w:t>等标准要求。</w:t>
            </w:r>
          </w:p>
          <w:p>
            <w:pPr>
              <w:rPr>
                <w:color w:val="auto"/>
                <w:highlight w:val="none"/>
                <w:lang w:eastAsia="zh-CN"/>
              </w:rPr>
            </w:pPr>
            <w:r>
              <w:rPr>
                <w:color w:val="auto"/>
                <w:highlight w:val="none"/>
                <w:lang w:eastAsia="zh-CN"/>
              </w:rPr>
              <w:t>5</w:t>
            </w:r>
            <w:r>
              <w:rPr>
                <w:rFonts w:hint="eastAsia"/>
                <w:color w:val="auto"/>
                <w:highlight w:val="none"/>
                <w:lang w:eastAsia="zh-CN"/>
              </w:rPr>
              <w:t>、电缆桥架应在工厂加工完成后在运抵施工现场，尽可能减少在工地切割桥架，严禁在工地加工、制作水平弯、垂直弯以及分支接头等桥架的连接段。</w:t>
            </w:r>
          </w:p>
          <w:p>
            <w:pPr>
              <w:rPr>
                <w:color w:val="auto"/>
                <w:highlight w:val="none"/>
                <w:lang w:eastAsia="zh-CN"/>
              </w:rPr>
            </w:pPr>
            <w:r>
              <w:rPr>
                <w:color w:val="auto"/>
                <w:highlight w:val="none"/>
                <w:lang w:eastAsia="zh-CN"/>
              </w:rPr>
              <w:t>6</w:t>
            </w:r>
            <w:r>
              <w:rPr>
                <w:rFonts w:hint="eastAsia"/>
                <w:color w:val="auto"/>
                <w:highlight w:val="none"/>
                <w:lang w:eastAsia="zh-CN"/>
              </w:rPr>
              <w:t>、电缆桥架的膨胀节必须使用制造厂生产的标准伸缩接合板。</w:t>
            </w:r>
          </w:p>
          <w:p>
            <w:pPr>
              <w:rPr>
                <w:color w:val="auto"/>
                <w:highlight w:val="none"/>
                <w:lang w:eastAsia="zh-CN"/>
              </w:rPr>
            </w:pPr>
            <w:r>
              <w:rPr>
                <w:color w:val="auto"/>
                <w:highlight w:val="none"/>
                <w:lang w:eastAsia="zh-CN"/>
              </w:rPr>
              <w:t>7</w:t>
            </w:r>
            <w:r>
              <w:rPr>
                <w:rFonts w:hint="eastAsia"/>
                <w:color w:val="auto"/>
                <w:highlight w:val="none"/>
                <w:lang w:eastAsia="zh-CN"/>
              </w:rPr>
              <w:t>、电缆梯架的两条边框至少必须为</w:t>
            </w:r>
            <w:r>
              <w:rPr>
                <w:color w:val="auto"/>
                <w:highlight w:val="none"/>
                <w:lang w:eastAsia="zh-CN"/>
              </w:rPr>
              <w:t>40mm</w:t>
            </w:r>
            <w:r>
              <w:rPr>
                <w:rFonts w:hint="eastAsia"/>
                <w:color w:val="auto"/>
                <w:highlight w:val="none"/>
                <w:lang w:eastAsia="zh-CN"/>
              </w:rPr>
              <w:t>宽的顶缘卷边以增加强度，板材厚度不小于</w:t>
            </w:r>
            <w:r>
              <w:rPr>
                <w:color w:val="auto"/>
                <w:highlight w:val="none"/>
                <w:lang w:eastAsia="zh-CN"/>
              </w:rPr>
              <w:t>2.5mm</w:t>
            </w:r>
            <w:r>
              <w:rPr>
                <w:rFonts w:hint="eastAsia"/>
                <w:color w:val="auto"/>
                <w:highlight w:val="none"/>
                <w:lang w:eastAsia="zh-CN"/>
              </w:rPr>
              <w:t>。梯级的中心间隔约为</w:t>
            </w:r>
            <w:r>
              <w:rPr>
                <w:color w:val="auto"/>
                <w:highlight w:val="none"/>
                <w:lang w:eastAsia="zh-CN"/>
              </w:rPr>
              <w:t>300mm</w:t>
            </w:r>
            <w:r>
              <w:rPr>
                <w:rFonts w:hint="eastAsia"/>
                <w:color w:val="auto"/>
                <w:highlight w:val="none"/>
                <w:lang w:eastAsia="zh-CN"/>
              </w:rPr>
              <w:t>，并具一定的宽度以用不同的方法固定电缆，包括尼龙带扣、鞍行夹、冲孔带、电缆夹等。梯架盖板板材厚度不小于</w:t>
            </w:r>
            <w:r>
              <w:rPr>
                <w:color w:val="auto"/>
                <w:highlight w:val="none"/>
                <w:lang w:eastAsia="zh-CN"/>
              </w:rPr>
              <w:t>1.2mm</w:t>
            </w:r>
            <w:r>
              <w:rPr>
                <w:rFonts w:hint="eastAsia"/>
                <w:color w:val="auto"/>
                <w:highlight w:val="none"/>
                <w:lang w:eastAsia="zh-CN"/>
              </w:rPr>
              <w:t>。</w:t>
            </w:r>
          </w:p>
          <w:p>
            <w:pPr>
              <w:rPr>
                <w:color w:val="auto"/>
                <w:highlight w:val="none"/>
                <w:lang w:eastAsia="zh-CN"/>
              </w:rPr>
            </w:pPr>
            <w:r>
              <w:rPr>
                <w:color w:val="auto"/>
                <w:highlight w:val="none"/>
                <w:lang w:eastAsia="zh-CN"/>
              </w:rPr>
              <w:t>8</w:t>
            </w:r>
            <w:r>
              <w:rPr>
                <w:rFonts w:hint="eastAsia"/>
                <w:color w:val="auto"/>
                <w:highlight w:val="none"/>
                <w:lang w:eastAsia="zh-CN"/>
              </w:rPr>
              <w:t>、电缆桥架表面进行热浸镀锌或喷粉烘烤处理。</w:t>
            </w:r>
          </w:p>
          <w:p>
            <w:pPr>
              <w:rPr>
                <w:color w:val="auto"/>
                <w:highlight w:val="none"/>
                <w:lang w:eastAsia="zh-CN"/>
              </w:rPr>
            </w:pPr>
            <w:r>
              <w:rPr>
                <w:color w:val="auto"/>
                <w:highlight w:val="none"/>
                <w:lang w:eastAsia="zh-CN"/>
              </w:rPr>
              <w:t>9</w:t>
            </w:r>
            <w:r>
              <w:rPr>
                <w:rFonts w:hint="eastAsia"/>
                <w:color w:val="auto"/>
                <w:highlight w:val="none"/>
                <w:lang w:eastAsia="zh-CN"/>
              </w:rPr>
              <w:t>、电缆托盘、桥架、线槽等尺寸与板材厚度应满足国家相关规范。</w:t>
            </w:r>
          </w:p>
          <w:p>
            <w:pPr>
              <w:rPr>
                <w:color w:val="auto"/>
                <w:highlight w:val="none"/>
                <w:lang w:eastAsia="zh-CN"/>
              </w:rPr>
            </w:pPr>
            <w:r>
              <w:rPr>
                <w:color w:val="auto"/>
                <w:highlight w:val="none"/>
                <w:lang w:eastAsia="zh-CN"/>
              </w:rPr>
              <w:t>10</w:t>
            </w:r>
            <w:r>
              <w:rPr>
                <w:rFonts w:hint="eastAsia"/>
                <w:color w:val="auto"/>
                <w:highlight w:val="none"/>
                <w:lang w:eastAsia="zh-CN"/>
              </w:rPr>
              <w:t>、所有电缆桥架、梯架和金属线槽都必须加装盖板，并配置锁扣。</w:t>
            </w:r>
          </w:p>
          <w:p>
            <w:pPr>
              <w:rPr>
                <w:color w:val="auto"/>
                <w:highlight w:val="none"/>
                <w:lang w:eastAsia="zh-CN"/>
              </w:rPr>
            </w:pPr>
            <w:r>
              <w:rPr>
                <w:color w:val="auto"/>
                <w:highlight w:val="none"/>
                <w:lang w:eastAsia="zh-CN"/>
              </w:rPr>
              <w:t>11</w:t>
            </w:r>
            <w:r>
              <w:rPr>
                <w:rFonts w:hint="eastAsia"/>
                <w:color w:val="auto"/>
                <w:highlight w:val="none"/>
                <w:lang w:eastAsia="zh-CN"/>
              </w:rPr>
              <w:t>、敷设消防电缆的封闭式线槽应外刷防火涂料，要求在线槽生产厂内完成防火涂料喷涂工作，不允许在现场手工涂刷，耐火时间级别应满足设计要求。</w:t>
            </w:r>
          </w:p>
          <w:p>
            <w:pPr>
              <w:rPr>
                <w:color w:val="auto"/>
                <w:highlight w:val="none"/>
                <w:lang w:eastAsia="zh-CN"/>
              </w:rPr>
            </w:pPr>
            <w:r>
              <w:rPr>
                <w:color w:val="auto"/>
                <w:highlight w:val="none"/>
                <w:lang w:eastAsia="zh-CN"/>
              </w:rPr>
              <w:t>12</w:t>
            </w:r>
            <w:r>
              <w:rPr>
                <w:rFonts w:hint="eastAsia"/>
                <w:color w:val="auto"/>
                <w:highlight w:val="none"/>
                <w:lang w:eastAsia="zh-CN"/>
              </w:rPr>
              <w:t>、桥架、梯架和金属线槽在正式施工前要求先做样品段，报发包人审批同意后再开始大范围施工。</w:t>
            </w:r>
          </w:p>
          <w:p>
            <w:pPr>
              <w:rPr>
                <w:color w:val="auto"/>
                <w:highlight w:val="none"/>
                <w:lang w:eastAsia="zh-CN"/>
              </w:rPr>
            </w:pPr>
            <w:r>
              <w:rPr>
                <w:color w:val="auto"/>
                <w:highlight w:val="none"/>
                <w:lang w:eastAsia="zh-CN"/>
              </w:rPr>
              <w:t>13</w:t>
            </w:r>
            <w:r>
              <w:rPr>
                <w:rFonts w:hint="eastAsia"/>
                <w:color w:val="auto"/>
                <w:highlight w:val="none"/>
                <w:lang w:eastAsia="zh-CN"/>
              </w:rPr>
              <w:t>、材料定货前要提供样品，报发包人审批后才能定货。</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00" w:hRule="atLeast"/>
        </w:trPr>
        <w:tc>
          <w:tcPr>
            <w:tcW w:w="851" w:type="dxa"/>
            <w:vAlign w:val="center"/>
          </w:tcPr>
          <w:p>
            <w:pPr>
              <w:rPr>
                <w:color w:val="auto"/>
                <w:highlight w:val="none"/>
              </w:rPr>
            </w:pPr>
            <w:r>
              <w:rPr>
                <w:color w:val="auto"/>
                <w:highlight w:val="none"/>
              </w:rPr>
              <w:t>3</w:t>
            </w:r>
          </w:p>
        </w:tc>
        <w:tc>
          <w:tcPr>
            <w:tcW w:w="1417" w:type="dxa"/>
            <w:vAlign w:val="center"/>
          </w:tcPr>
          <w:p>
            <w:pPr>
              <w:rPr>
                <w:color w:val="auto"/>
                <w:highlight w:val="none"/>
              </w:rPr>
            </w:pPr>
            <w:r>
              <w:rPr>
                <w:rFonts w:hint="eastAsia"/>
                <w:color w:val="auto"/>
                <w:highlight w:val="none"/>
              </w:rPr>
              <w:t>密集型封闭母线</w:t>
            </w:r>
          </w:p>
        </w:tc>
        <w:tc>
          <w:tcPr>
            <w:tcW w:w="7230" w:type="dxa"/>
            <w:vAlign w:val="center"/>
          </w:tcPr>
          <w:p>
            <w:pPr>
              <w:rPr>
                <w:color w:val="auto"/>
                <w:highlight w:val="none"/>
                <w:lang w:eastAsia="zh-CN"/>
              </w:rPr>
            </w:pPr>
            <w:r>
              <w:rPr>
                <w:color w:val="auto"/>
                <w:highlight w:val="none"/>
                <w:lang w:eastAsia="zh-CN"/>
              </w:rPr>
              <w:t>1</w:t>
            </w:r>
            <w:r>
              <w:rPr>
                <w:rFonts w:hint="eastAsia"/>
                <w:color w:val="auto"/>
                <w:highlight w:val="none"/>
                <w:lang w:eastAsia="zh-CN"/>
              </w:rPr>
              <w:t>、应有国家认可的质量检测机构出具的检验合格报告和“</w:t>
            </w:r>
            <w:r>
              <w:rPr>
                <w:color w:val="auto"/>
                <w:highlight w:val="none"/>
                <w:lang w:eastAsia="zh-CN"/>
              </w:rPr>
              <w:t>3C</w:t>
            </w:r>
            <w:r>
              <w:rPr>
                <w:rFonts w:hint="eastAsia"/>
                <w:color w:val="auto"/>
                <w:highlight w:val="none"/>
                <w:lang w:eastAsia="zh-CN"/>
              </w:rPr>
              <w:t>”认证。</w:t>
            </w:r>
          </w:p>
          <w:p>
            <w:pPr>
              <w:rPr>
                <w:color w:val="auto"/>
                <w:highlight w:val="none"/>
                <w:lang w:eastAsia="zh-CN"/>
              </w:rPr>
            </w:pPr>
            <w:r>
              <w:rPr>
                <w:color w:val="auto"/>
                <w:highlight w:val="none"/>
                <w:lang w:eastAsia="zh-CN"/>
              </w:rPr>
              <w:t>2</w:t>
            </w:r>
            <w:r>
              <w:rPr>
                <w:rFonts w:hint="eastAsia"/>
                <w:color w:val="auto"/>
                <w:highlight w:val="none"/>
                <w:lang w:eastAsia="zh-CN"/>
              </w:rPr>
              <w:t>、防护等级：不低于</w:t>
            </w:r>
            <w:r>
              <w:rPr>
                <w:color w:val="auto"/>
                <w:highlight w:val="none"/>
                <w:lang w:eastAsia="zh-CN"/>
              </w:rPr>
              <w:t>IP54</w:t>
            </w:r>
            <w:r>
              <w:rPr>
                <w:rFonts w:hint="eastAsia"/>
                <w:color w:val="auto"/>
                <w:highlight w:val="none"/>
                <w:lang w:eastAsia="zh-CN"/>
              </w:rPr>
              <w:t>并满足设计、规范要求。</w:t>
            </w:r>
          </w:p>
          <w:p>
            <w:pPr>
              <w:rPr>
                <w:color w:val="auto"/>
                <w:highlight w:val="none"/>
                <w:lang w:eastAsia="zh-CN"/>
              </w:rPr>
            </w:pPr>
            <w:r>
              <w:rPr>
                <w:color w:val="auto"/>
                <w:highlight w:val="none"/>
                <w:lang w:eastAsia="zh-CN"/>
              </w:rPr>
              <w:t>3</w:t>
            </w:r>
            <w:r>
              <w:rPr>
                <w:rFonts w:hint="eastAsia"/>
                <w:color w:val="auto"/>
                <w:highlight w:val="none"/>
                <w:lang w:eastAsia="zh-CN"/>
              </w:rPr>
              <w:t>、封闭母线应能在</w:t>
            </w:r>
            <w:r>
              <w:rPr>
                <w:color w:val="auto"/>
                <w:highlight w:val="none"/>
                <w:lang w:eastAsia="zh-CN"/>
              </w:rPr>
              <w:t>1</w:t>
            </w:r>
            <w:r>
              <w:rPr>
                <w:rFonts w:hint="eastAsia"/>
                <w:color w:val="auto"/>
                <w:highlight w:val="none"/>
                <w:lang w:eastAsia="zh-CN"/>
              </w:rPr>
              <w:t>秒钟内承受额定值不低于</w:t>
            </w:r>
            <w:r>
              <w:rPr>
                <w:color w:val="auto"/>
                <w:highlight w:val="none"/>
                <w:lang w:eastAsia="zh-CN"/>
              </w:rPr>
              <w:t>50kA</w:t>
            </w:r>
            <w:r>
              <w:rPr>
                <w:rFonts w:hint="eastAsia"/>
                <w:color w:val="auto"/>
                <w:highlight w:val="none"/>
                <w:lang w:eastAsia="zh-CN"/>
              </w:rPr>
              <w:t>的持续电流。所有部件如直身、弯头、法兰等至少应通过</w:t>
            </w:r>
            <w:r>
              <w:rPr>
                <w:color w:val="auto"/>
                <w:highlight w:val="none"/>
                <w:lang w:eastAsia="zh-CN"/>
              </w:rPr>
              <w:t>7500V</w:t>
            </w:r>
            <w:r>
              <w:rPr>
                <w:rFonts w:hint="eastAsia"/>
                <w:color w:val="auto"/>
                <w:highlight w:val="none"/>
                <w:lang w:eastAsia="zh-CN"/>
              </w:rPr>
              <w:t>直流高压测试。</w:t>
            </w:r>
          </w:p>
          <w:p>
            <w:pPr>
              <w:rPr>
                <w:color w:val="auto"/>
                <w:highlight w:val="none"/>
                <w:lang w:eastAsia="zh-CN"/>
              </w:rPr>
            </w:pPr>
            <w:r>
              <w:rPr>
                <w:color w:val="auto"/>
                <w:highlight w:val="none"/>
                <w:lang w:eastAsia="zh-CN"/>
              </w:rPr>
              <w:t>4</w:t>
            </w:r>
            <w:r>
              <w:rPr>
                <w:rFonts w:hint="eastAsia"/>
                <w:color w:val="auto"/>
                <w:highlight w:val="none"/>
                <w:lang w:eastAsia="zh-CN"/>
              </w:rPr>
              <w:t>、外壳采用钢板或铝合金。采用钢板需经防腐蚀处理，环氧树脂喷涂，且应具有低的磁滞涡流损耗特性。</w:t>
            </w:r>
          </w:p>
          <w:p>
            <w:pPr>
              <w:rPr>
                <w:color w:val="auto"/>
                <w:highlight w:val="none"/>
                <w:lang w:eastAsia="zh-CN"/>
              </w:rPr>
            </w:pPr>
            <w:r>
              <w:rPr>
                <w:color w:val="auto"/>
                <w:highlight w:val="none"/>
                <w:lang w:eastAsia="zh-CN"/>
              </w:rPr>
              <w:t>5</w:t>
            </w:r>
            <w:r>
              <w:rPr>
                <w:rFonts w:hint="eastAsia"/>
                <w:color w:val="auto"/>
                <w:highlight w:val="none"/>
                <w:lang w:eastAsia="zh-CN"/>
              </w:rPr>
              <w:t>、封闭母线的相线和中性线采用同截面的铜母线，</w:t>
            </w:r>
            <w:r>
              <w:rPr>
                <w:color w:val="auto"/>
                <w:highlight w:val="none"/>
                <w:lang w:eastAsia="zh-CN"/>
              </w:rPr>
              <w:t>PE</w:t>
            </w:r>
            <w:r>
              <w:rPr>
                <w:rFonts w:hint="eastAsia"/>
                <w:color w:val="auto"/>
                <w:highlight w:val="none"/>
                <w:lang w:eastAsia="zh-CN"/>
              </w:rPr>
              <w:t>线铜母线的截面不应小于相线截面的</w:t>
            </w:r>
            <w:r>
              <w:rPr>
                <w:color w:val="auto"/>
                <w:highlight w:val="none"/>
                <w:lang w:eastAsia="zh-CN"/>
              </w:rPr>
              <w:t>50%</w:t>
            </w:r>
            <w:r>
              <w:rPr>
                <w:rFonts w:hint="eastAsia"/>
                <w:color w:val="auto"/>
                <w:highlight w:val="none"/>
                <w:lang w:eastAsia="zh-CN"/>
              </w:rPr>
              <w:t>。</w:t>
            </w:r>
          </w:p>
          <w:p>
            <w:pPr>
              <w:rPr>
                <w:color w:val="auto"/>
                <w:highlight w:val="none"/>
                <w:lang w:eastAsia="zh-CN"/>
              </w:rPr>
            </w:pPr>
            <w:r>
              <w:rPr>
                <w:color w:val="auto"/>
                <w:highlight w:val="none"/>
                <w:lang w:eastAsia="zh-CN"/>
              </w:rPr>
              <w:t>6</w:t>
            </w:r>
            <w:r>
              <w:rPr>
                <w:rFonts w:hint="eastAsia"/>
                <w:color w:val="auto"/>
                <w:highlight w:val="none"/>
                <w:lang w:eastAsia="zh-CN"/>
              </w:rPr>
              <w:t>、封闭母线应为密闭型，采用优质铜排，含铜量</w:t>
            </w:r>
            <w:r>
              <w:rPr>
                <w:color w:val="auto"/>
                <w:highlight w:val="none"/>
                <w:lang w:eastAsia="zh-CN"/>
              </w:rPr>
              <w:t>99.99%</w:t>
            </w:r>
            <w:r>
              <w:rPr>
                <w:rFonts w:hint="eastAsia"/>
                <w:color w:val="auto"/>
                <w:highlight w:val="none"/>
                <w:lang w:eastAsia="zh-CN"/>
              </w:rPr>
              <w:t>，表面要求全长镀锡或镀银。</w:t>
            </w:r>
          </w:p>
          <w:p>
            <w:pPr>
              <w:rPr>
                <w:color w:val="auto"/>
                <w:highlight w:val="none"/>
                <w:lang w:eastAsia="zh-CN"/>
              </w:rPr>
            </w:pPr>
            <w:r>
              <w:rPr>
                <w:color w:val="auto"/>
                <w:highlight w:val="none"/>
                <w:lang w:eastAsia="zh-CN"/>
              </w:rPr>
              <w:t>7</w:t>
            </w:r>
            <w:r>
              <w:rPr>
                <w:rFonts w:hint="eastAsia"/>
                <w:color w:val="auto"/>
                <w:highlight w:val="none"/>
                <w:lang w:eastAsia="zh-CN"/>
              </w:rPr>
              <w:t>、封闭母线接头应有足够的机械强度和电气连续性。两段封闭母线连接时还应用一片铜母线加以连接，以保证接地线有足够的延续性。母线接头必须为穿过螺栓型，接头螺栓紧固程度检查时可不必将系统停电。接头的机械强度不应小于封闭母线的强度。插接式母线在接口处必需使用便于插接的门结构，不应采用封板。</w:t>
            </w:r>
          </w:p>
          <w:p>
            <w:pPr>
              <w:rPr>
                <w:color w:val="auto"/>
                <w:highlight w:val="none"/>
                <w:lang w:eastAsia="zh-CN"/>
              </w:rPr>
            </w:pPr>
            <w:r>
              <w:rPr>
                <w:color w:val="auto"/>
                <w:highlight w:val="none"/>
                <w:lang w:eastAsia="zh-CN"/>
              </w:rPr>
              <w:t>8</w:t>
            </w:r>
            <w:r>
              <w:rPr>
                <w:rFonts w:hint="eastAsia"/>
                <w:color w:val="auto"/>
                <w:highlight w:val="none"/>
                <w:lang w:eastAsia="zh-CN"/>
              </w:rPr>
              <w:t>、弯头、分支接头和交叉接头均须为全封闭型，且专为封闭母线设计和制造。其外壳的金属材料和饰面应与封闭母线一致。接入弯头、分支接头和交叉接头不应使母线的机械强度有所下降和影响电气的连续性。</w:t>
            </w:r>
          </w:p>
          <w:p>
            <w:pPr>
              <w:rPr>
                <w:color w:val="auto"/>
                <w:highlight w:val="none"/>
                <w:lang w:eastAsia="zh-CN"/>
              </w:rPr>
            </w:pPr>
            <w:r>
              <w:rPr>
                <w:color w:val="auto"/>
                <w:highlight w:val="none"/>
                <w:lang w:eastAsia="zh-CN"/>
              </w:rPr>
              <w:t>9</w:t>
            </w:r>
            <w:r>
              <w:rPr>
                <w:rFonts w:hint="eastAsia"/>
                <w:color w:val="auto"/>
                <w:highlight w:val="none"/>
                <w:lang w:eastAsia="zh-CN"/>
              </w:rPr>
              <w:t>、绝缘材料的参数符合封闭母线的要求。</w:t>
            </w:r>
          </w:p>
          <w:p>
            <w:pPr>
              <w:rPr>
                <w:color w:val="auto"/>
                <w:highlight w:val="none"/>
                <w:lang w:eastAsia="zh-CN"/>
              </w:rPr>
            </w:pPr>
            <w:r>
              <w:rPr>
                <w:color w:val="auto"/>
                <w:highlight w:val="none"/>
                <w:lang w:eastAsia="zh-CN"/>
              </w:rPr>
              <w:t>10</w:t>
            </w:r>
            <w:r>
              <w:rPr>
                <w:rFonts w:hint="eastAsia"/>
                <w:color w:val="auto"/>
                <w:highlight w:val="none"/>
                <w:lang w:eastAsia="zh-CN"/>
              </w:rPr>
              <w:t>、封闭母线插接箱须由封闭母线生产厂生产。插接部件必须与封闭母线机械联锁，以防止当插接箱处于“合”闸位置时进行插接部件的安装和拆除。插接箱内断路器选择参照断路器品牌。</w:t>
            </w:r>
          </w:p>
          <w:p>
            <w:pPr>
              <w:rPr>
                <w:color w:val="auto"/>
                <w:highlight w:val="none"/>
                <w:lang w:eastAsia="zh-CN"/>
              </w:rPr>
            </w:pPr>
            <w:r>
              <w:rPr>
                <w:color w:val="auto"/>
                <w:highlight w:val="none"/>
                <w:lang w:eastAsia="zh-CN"/>
              </w:rPr>
              <w:t>11</w:t>
            </w:r>
            <w:r>
              <w:rPr>
                <w:rFonts w:hint="eastAsia"/>
                <w:color w:val="auto"/>
                <w:highlight w:val="none"/>
                <w:lang w:eastAsia="zh-CN"/>
              </w:rPr>
              <w:t>、插接单元</w:t>
            </w:r>
          </w:p>
          <w:p>
            <w:pPr>
              <w:rPr>
                <w:color w:val="auto"/>
                <w:highlight w:val="none"/>
                <w:lang w:eastAsia="zh-CN"/>
              </w:rPr>
            </w:pPr>
            <w:r>
              <w:rPr>
                <w:color w:val="auto"/>
                <w:highlight w:val="none"/>
                <w:lang w:eastAsia="zh-CN"/>
              </w:rPr>
              <w:t>A</w:t>
            </w:r>
            <w:r>
              <w:rPr>
                <w:rFonts w:hint="eastAsia"/>
                <w:color w:val="auto"/>
                <w:highlight w:val="none"/>
                <w:lang w:eastAsia="zh-CN"/>
              </w:rPr>
              <w:t>、插接箱活门具有可靠的联锁功能，避免带电打开活门，并可靠接地；</w:t>
            </w:r>
          </w:p>
          <w:p>
            <w:pPr>
              <w:rPr>
                <w:color w:val="auto"/>
                <w:highlight w:val="none"/>
                <w:lang w:eastAsia="zh-CN"/>
              </w:rPr>
            </w:pPr>
            <w:r>
              <w:rPr>
                <w:color w:val="auto"/>
                <w:highlight w:val="none"/>
                <w:lang w:eastAsia="zh-CN"/>
              </w:rPr>
              <w:t>B</w:t>
            </w:r>
            <w:r>
              <w:rPr>
                <w:rFonts w:hint="eastAsia"/>
                <w:color w:val="auto"/>
                <w:highlight w:val="none"/>
                <w:lang w:eastAsia="zh-CN"/>
              </w:rPr>
              <w:t>、插接箱与母线之间除要有可靠的连接触头外还应有机械联锁，保证插拔插接单元时不会产生拉弧；</w:t>
            </w:r>
          </w:p>
          <w:p>
            <w:pPr>
              <w:rPr>
                <w:color w:val="auto"/>
                <w:highlight w:val="none"/>
                <w:lang w:eastAsia="zh-CN"/>
              </w:rPr>
            </w:pPr>
            <w:r>
              <w:rPr>
                <w:color w:val="auto"/>
                <w:highlight w:val="none"/>
                <w:lang w:eastAsia="zh-CN"/>
              </w:rPr>
              <w:t>C</w:t>
            </w:r>
            <w:r>
              <w:rPr>
                <w:rFonts w:hint="eastAsia"/>
                <w:color w:val="auto"/>
                <w:highlight w:val="none"/>
                <w:lang w:eastAsia="zh-CN"/>
              </w:rPr>
              <w:t>、连接单元：封闭母线的连接应使用单螺栓，其材质应为高强度钢，并应确保整个连接部位的受压面均匀。</w:t>
            </w:r>
          </w:p>
          <w:p>
            <w:pPr>
              <w:rPr>
                <w:color w:val="auto"/>
                <w:highlight w:val="none"/>
                <w:lang w:eastAsia="zh-CN"/>
              </w:rPr>
            </w:pPr>
            <w:r>
              <w:rPr>
                <w:color w:val="auto"/>
                <w:highlight w:val="none"/>
                <w:lang w:eastAsia="zh-CN"/>
              </w:rPr>
              <w:t>D</w:t>
            </w:r>
            <w:r>
              <w:rPr>
                <w:rFonts w:hint="eastAsia"/>
                <w:color w:val="auto"/>
                <w:highlight w:val="none"/>
                <w:lang w:eastAsia="zh-CN"/>
              </w:rPr>
              <w:t>、接地性能：应采用整体接地地线，保证封闭母线具有可靠、安全的接地性能、较小的电抗值和较强的抗谐波能力。</w:t>
            </w:r>
          </w:p>
          <w:p>
            <w:pPr>
              <w:rPr>
                <w:color w:val="auto"/>
                <w:highlight w:val="none"/>
                <w:lang w:eastAsia="zh-CN"/>
              </w:rPr>
            </w:pPr>
            <w:r>
              <w:rPr>
                <w:color w:val="auto"/>
                <w:highlight w:val="none"/>
                <w:lang w:eastAsia="zh-CN"/>
              </w:rPr>
              <w:t>12</w:t>
            </w:r>
            <w:r>
              <w:rPr>
                <w:rFonts w:hint="eastAsia"/>
                <w:color w:val="auto"/>
                <w:highlight w:val="none"/>
                <w:lang w:eastAsia="zh-CN"/>
              </w:rPr>
              <w:t>、封闭母线箱应为全封闭性，箱体和箱门应用镀锌钢板制成，表面喷粉的颜色满足发包人的要求，箱门上需加锁，并加装防尘垫。整个外壳的防护等级不低于</w:t>
            </w:r>
            <w:r>
              <w:rPr>
                <w:color w:val="auto"/>
                <w:highlight w:val="none"/>
                <w:lang w:eastAsia="zh-CN"/>
              </w:rPr>
              <w:t>IP54</w:t>
            </w:r>
            <w:r>
              <w:rPr>
                <w:rFonts w:hint="eastAsia"/>
                <w:color w:val="auto"/>
                <w:highlight w:val="none"/>
                <w:lang w:eastAsia="zh-CN"/>
              </w:rPr>
              <w:t>。</w:t>
            </w:r>
          </w:p>
          <w:p>
            <w:pPr>
              <w:rPr>
                <w:color w:val="auto"/>
                <w:highlight w:val="none"/>
                <w:lang w:eastAsia="zh-CN"/>
              </w:rPr>
            </w:pPr>
            <w:r>
              <w:rPr>
                <w:color w:val="auto"/>
                <w:highlight w:val="none"/>
                <w:lang w:eastAsia="zh-CN"/>
              </w:rPr>
              <w:t>13</w:t>
            </w:r>
            <w:r>
              <w:rPr>
                <w:rFonts w:hint="eastAsia"/>
                <w:color w:val="auto"/>
                <w:highlight w:val="none"/>
                <w:lang w:eastAsia="zh-CN"/>
              </w:rPr>
              <w:t>、封闭母线在正式施工前要求先做样品段，报发包人审批同意后再开始大范围施工。</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00" w:hRule="atLeast"/>
        </w:trPr>
        <w:tc>
          <w:tcPr>
            <w:tcW w:w="851" w:type="dxa"/>
            <w:vAlign w:val="center"/>
          </w:tcPr>
          <w:p>
            <w:pPr>
              <w:rPr>
                <w:color w:val="auto"/>
                <w:highlight w:val="none"/>
              </w:rPr>
            </w:pPr>
            <w:r>
              <w:rPr>
                <w:color w:val="auto"/>
                <w:highlight w:val="none"/>
              </w:rPr>
              <w:t>4</w:t>
            </w:r>
          </w:p>
        </w:tc>
        <w:tc>
          <w:tcPr>
            <w:tcW w:w="1417" w:type="dxa"/>
            <w:vAlign w:val="center"/>
          </w:tcPr>
          <w:p>
            <w:pPr>
              <w:rPr>
                <w:color w:val="auto"/>
                <w:highlight w:val="none"/>
                <w:lang w:eastAsia="zh-CN"/>
              </w:rPr>
            </w:pPr>
            <w:r>
              <w:rPr>
                <w:rFonts w:hint="eastAsia"/>
                <w:color w:val="auto"/>
                <w:highlight w:val="none"/>
                <w:lang w:eastAsia="zh-CN"/>
              </w:rPr>
              <w:t>镀锌钢管</w:t>
            </w:r>
          </w:p>
          <w:p>
            <w:pPr>
              <w:rPr>
                <w:color w:val="auto"/>
                <w:highlight w:val="none"/>
                <w:lang w:eastAsia="zh-CN"/>
              </w:rPr>
            </w:pPr>
            <w:r>
              <w:rPr>
                <w:rFonts w:hint="eastAsia"/>
                <w:color w:val="auto"/>
                <w:highlight w:val="none"/>
                <w:lang w:eastAsia="zh-CN"/>
              </w:rPr>
              <w:t>（含强弱电工程）</w:t>
            </w:r>
          </w:p>
        </w:tc>
        <w:tc>
          <w:tcPr>
            <w:tcW w:w="7230" w:type="dxa"/>
            <w:vAlign w:val="center"/>
          </w:tcPr>
          <w:p>
            <w:pPr>
              <w:rPr>
                <w:color w:val="auto"/>
                <w:highlight w:val="none"/>
                <w:lang w:eastAsia="zh-CN"/>
              </w:rPr>
            </w:pPr>
            <w:r>
              <w:rPr>
                <w:color w:val="auto"/>
                <w:highlight w:val="none"/>
                <w:lang w:eastAsia="zh-CN"/>
              </w:rPr>
              <w:t>2</w:t>
            </w:r>
            <w:r>
              <w:rPr>
                <w:rFonts w:hint="eastAsia"/>
                <w:color w:val="auto"/>
                <w:highlight w:val="none"/>
                <w:lang w:eastAsia="zh-CN"/>
              </w:rPr>
              <w:t>、符合</w:t>
            </w:r>
            <w:r>
              <w:rPr>
                <w:color w:val="auto"/>
                <w:highlight w:val="none"/>
                <w:lang w:eastAsia="zh-CN"/>
              </w:rPr>
              <w:t>GB3091</w:t>
            </w:r>
            <w:r>
              <w:rPr>
                <w:rFonts w:hint="eastAsia"/>
                <w:color w:val="auto"/>
                <w:highlight w:val="none"/>
                <w:lang w:eastAsia="zh-CN"/>
              </w:rPr>
              <w:t>、</w:t>
            </w:r>
            <w:r>
              <w:rPr>
                <w:color w:val="auto"/>
                <w:highlight w:val="none"/>
                <w:lang w:eastAsia="zh-CN"/>
              </w:rPr>
              <w:t>GB/T14823.1-1993</w:t>
            </w:r>
            <w:r>
              <w:rPr>
                <w:rFonts w:hint="eastAsia"/>
                <w:color w:val="auto"/>
                <w:highlight w:val="none"/>
                <w:lang w:eastAsia="zh-CN"/>
              </w:rPr>
              <w:t>、</w:t>
            </w:r>
            <w:r>
              <w:rPr>
                <w:color w:val="auto"/>
                <w:highlight w:val="none"/>
                <w:lang w:eastAsia="zh-CN"/>
              </w:rPr>
              <w:t>GB3640</w:t>
            </w:r>
            <w:r>
              <w:rPr>
                <w:rFonts w:hint="eastAsia"/>
                <w:color w:val="auto"/>
                <w:highlight w:val="none"/>
                <w:lang w:eastAsia="zh-CN"/>
              </w:rPr>
              <w:t>等中国国家标准。</w:t>
            </w:r>
          </w:p>
          <w:p>
            <w:pPr>
              <w:rPr>
                <w:color w:val="auto"/>
                <w:highlight w:val="none"/>
                <w:lang w:eastAsia="zh-CN"/>
              </w:rPr>
            </w:pPr>
            <w:r>
              <w:rPr>
                <w:color w:val="auto"/>
                <w:highlight w:val="none"/>
                <w:lang w:eastAsia="zh-CN"/>
              </w:rPr>
              <w:t>3</w:t>
            </w:r>
            <w:r>
              <w:rPr>
                <w:rFonts w:hint="eastAsia"/>
                <w:color w:val="auto"/>
                <w:highlight w:val="none"/>
                <w:lang w:eastAsia="zh-CN"/>
              </w:rPr>
              <w:t>、钢管长度的偏差应在允许的范围内，即全长允许偏差在</w:t>
            </w:r>
            <w:r>
              <w:rPr>
                <w:color w:val="auto"/>
                <w:highlight w:val="none"/>
                <w:lang w:eastAsia="zh-CN"/>
              </w:rPr>
              <w:t>20mm</w:t>
            </w:r>
            <w:r>
              <w:rPr>
                <w:rFonts w:hint="eastAsia"/>
                <w:color w:val="auto"/>
                <w:highlight w:val="none"/>
                <w:lang w:eastAsia="zh-CN"/>
              </w:rPr>
              <w:t>以内。</w:t>
            </w:r>
          </w:p>
          <w:p>
            <w:pPr>
              <w:rPr>
                <w:color w:val="auto"/>
                <w:highlight w:val="none"/>
                <w:lang w:eastAsia="zh-CN"/>
              </w:rPr>
            </w:pPr>
            <w:r>
              <w:rPr>
                <w:color w:val="auto"/>
                <w:highlight w:val="none"/>
                <w:lang w:eastAsia="zh-CN"/>
              </w:rPr>
              <w:t>4</w:t>
            </w:r>
            <w:r>
              <w:rPr>
                <w:rFonts w:hint="eastAsia"/>
                <w:color w:val="auto"/>
                <w:highlight w:val="none"/>
                <w:lang w:eastAsia="zh-CN"/>
              </w:rPr>
              <w:t>、钢管的弯曲度应在允许范围内，即每米不大于</w:t>
            </w:r>
            <w:r>
              <w:rPr>
                <w:color w:val="auto"/>
                <w:highlight w:val="none"/>
                <w:lang w:eastAsia="zh-CN"/>
              </w:rPr>
              <w:t>3mm</w:t>
            </w:r>
            <w:r>
              <w:rPr>
                <w:rFonts w:hint="eastAsia"/>
                <w:color w:val="auto"/>
                <w:highlight w:val="none"/>
                <w:lang w:eastAsia="zh-CN"/>
              </w:rPr>
              <w:t>。</w:t>
            </w:r>
          </w:p>
          <w:p>
            <w:pPr>
              <w:rPr>
                <w:color w:val="auto"/>
                <w:highlight w:val="none"/>
                <w:lang w:eastAsia="zh-CN"/>
              </w:rPr>
            </w:pPr>
            <w:r>
              <w:rPr>
                <w:color w:val="auto"/>
                <w:highlight w:val="none"/>
                <w:lang w:eastAsia="zh-CN"/>
              </w:rPr>
              <w:t>5</w:t>
            </w:r>
            <w:r>
              <w:rPr>
                <w:rFonts w:hint="eastAsia"/>
                <w:color w:val="auto"/>
                <w:highlight w:val="none"/>
                <w:lang w:eastAsia="zh-CN"/>
              </w:rPr>
              <w:t>、钢管的壁厚应均匀、一致，不应有折扁、裂缝、砂眼、塌陷等现象。</w:t>
            </w:r>
          </w:p>
          <w:p>
            <w:pPr>
              <w:rPr>
                <w:color w:val="auto"/>
                <w:highlight w:val="none"/>
                <w:lang w:eastAsia="zh-CN"/>
              </w:rPr>
            </w:pPr>
            <w:r>
              <w:rPr>
                <w:color w:val="auto"/>
                <w:highlight w:val="none"/>
                <w:lang w:eastAsia="zh-CN"/>
              </w:rPr>
              <w:t>6</w:t>
            </w:r>
            <w:r>
              <w:rPr>
                <w:rFonts w:hint="eastAsia"/>
                <w:color w:val="auto"/>
                <w:highlight w:val="none"/>
                <w:lang w:eastAsia="zh-CN"/>
              </w:rPr>
              <w:t>、内外表面应光滑，不应有折叠、裂缝、搭焊、缺焊、毛刺的现象。</w:t>
            </w:r>
          </w:p>
          <w:p>
            <w:pPr>
              <w:rPr>
                <w:color w:val="auto"/>
                <w:highlight w:val="none"/>
                <w:lang w:eastAsia="zh-CN"/>
              </w:rPr>
            </w:pPr>
            <w:r>
              <w:rPr>
                <w:color w:val="auto"/>
                <w:highlight w:val="none"/>
                <w:lang w:eastAsia="zh-CN"/>
              </w:rPr>
              <w:t>7</w:t>
            </w:r>
            <w:r>
              <w:rPr>
                <w:rFonts w:hint="eastAsia"/>
                <w:color w:val="auto"/>
                <w:highlight w:val="none"/>
                <w:lang w:eastAsia="zh-CN"/>
              </w:rPr>
              <w:t>、镀锌层应均匀一致、完好无损，不得有剥落、气泡的现象。</w:t>
            </w:r>
          </w:p>
          <w:p>
            <w:pPr>
              <w:rPr>
                <w:color w:val="auto"/>
                <w:highlight w:val="none"/>
                <w:lang w:eastAsia="zh-CN"/>
              </w:rPr>
            </w:pPr>
            <w:r>
              <w:rPr>
                <w:color w:val="auto"/>
                <w:highlight w:val="none"/>
                <w:lang w:eastAsia="zh-CN"/>
              </w:rPr>
              <w:t>8</w:t>
            </w:r>
            <w:r>
              <w:rPr>
                <w:rFonts w:hint="eastAsia"/>
                <w:color w:val="auto"/>
                <w:highlight w:val="none"/>
                <w:lang w:eastAsia="zh-CN"/>
              </w:rPr>
              <w:t>、管箍的大小应符合国家规范要求，丝扣清晰、均匀、不乱扣，镀锌层均匀，无剥落、无劈裂，两端光滑无毛刺。</w:t>
            </w:r>
          </w:p>
          <w:p>
            <w:pPr>
              <w:rPr>
                <w:color w:val="auto"/>
                <w:highlight w:val="none"/>
                <w:lang w:eastAsia="zh-CN"/>
              </w:rPr>
            </w:pPr>
            <w:r>
              <w:rPr>
                <w:color w:val="auto"/>
                <w:highlight w:val="none"/>
                <w:lang w:eastAsia="zh-CN"/>
              </w:rPr>
              <w:t>9</w:t>
            </w:r>
            <w:r>
              <w:rPr>
                <w:rFonts w:hint="eastAsia"/>
                <w:color w:val="auto"/>
                <w:highlight w:val="none"/>
                <w:lang w:eastAsia="zh-CN"/>
              </w:rPr>
              <w:t>、紧螺母尺寸符合国家标准要求，外层完好无损，丝扣清晰，镀锌层均匀。</w:t>
            </w:r>
          </w:p>
          <w:p>
            <w:pPr>
              <w:rPr>
                <w:color w:val="auto"/>
                <w:highlight w:val="none"/>
                <w:lang w:eastAsia="zh-CN"/>
              </w:rPr>
            </w:pPr>
            <w:r>
              <w:rPr>
                <w:color w:val="auto"/>
                <w:highlight w:val="none"/>
                <w:lang w:eastAsia="zh-CN"/>
              </w:rPr>
              <w:t>10</w:t>
            </w:r>
            <w:r>
              <w:rPr>
                <w:rFonts w:hint="eastAsia"/>
                <w:color w:val="auto"/>
                <w:highlight w:val="none"/>
                <w:lang w:eastAsia="zh-CN"/>
              </w:rPr>
              <w:t>、铁制盒、箱的大小尺寸以及壁后应符合设计及规范要求，无变形，敲落孔完整无损，面板的安装孔应齐全，丝扣清晰，面板、盖板应与盒、箱配套，外形完整无损且颜色一致。无锈蚀等现象。</w:t>
            </w:r>
          </w:p>
          <w:p>
            <w:pPr>
              <w:rPr>
                <w:color w:val="auto"/>
                <w:highlight w:val="none"/>
                <w:lang w:eastAsia="zh-CN"/>
              </w:rPr>
            </w:pPr>
            <w:r>
              <w:rPr>
                <w:color w:val="auto"/>
                <w:highlight w:val="none"/>
                <w:lang w:eastAsia="zh-CN"/>
              </w:rPr>
              <w:t>11</w:t>
            </w:r>
            <w:r>
              <w:rPr>
                <w:rFonts w:hint="eastAsia"/>
                <w:color w:val="auto"/>
                <w:highlight w:val="none"/>
                <w:lang w:eastAsia="zh-CN"/>
              </w:rPr>
              <w:t>、国内大型钢铁厂产品，在钢管上必须有厂家名称、生产标准等标识。</w:t>
            </w:r>
          </w:p>
          <w:p>
            <w:pPr>
              <w:rPr>
                <w:color w:val="auto"/>
                <w:highlight w:val="none"/>
                <w:lang w:eastAsia="zh-CN"/>
              </w:rPr>
            </w:pPr>
            <w:r>
              <w:rPr>
                <w:color w:val="auto"/>
                <w:highlight w:val="none"/>
                <w:lang w:eastAsia="zh-CN"/>
              </w:rPr>
              <w:t>12</w:t>
            </w:r>
            <w:r>
              <w:rPr>
                <w:rFonts w:hint="eastAsia"/>
                <w:color w:val="auto"/>
                <w:highlight w:val="none"/>
                <w:lang w:eastAsia="zh-CN"/>
              </w:rPr>
              <w:t>、采用丝筘连接。</w:t>
            </w:r>
          </w:p>
          <w:p>
            <w:pPr>
              <w:rPr>
                <w:color w:val="auto"/>
                <w:highlight w:val="none"/>
                <w:lang w:eastAsia="zh-CN"/>
              </w:rPr>
            </w:pPr>
            <w:r>
              <w:rPr>
                <w:color w:val="auto"/>
                <w:highlight w:val="none"/>
                <w:lang w:eastAsia="zh-CN"/>
              </w:rPr>
              <w:t>13</w:t>
            </w:r>
            <w:r>
              <w:rPr>
                <w:rFonts w:hint="eastAsia"/>
                <w:color w:val="auto"/>
                <w:highlight w:val="none"/>
                <w:lang w:eastAsia="zh-CN"/>
              </w:rPr>
              <w:t>、材料定货前要提供样品，报发包人审批后才能定货。</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00" w:hRule="atLeast"/>
        </w:trPr>
        <w:tc>
          <w:tcPr>
            <w:tcW w:w="851" w:type="dxa"/>
            <w:vAlign w:val="center"/>
          </w:tcPr>
          <w:p>
            <w:pPr>
              <w:rPr>
                <w:color w:val="auto"/>
                <w:highlight w:val="none"/>
              </w:rPr>
            </w:pPr>
            <w:r>
              <w:rPr>
                <w:color w:val="auto"/>
                <w:highlight w:val="none"/>
              </w:rPr>
              <w:t>5</w:t>
            </w:r>
          </w:p>
        </w:tc>
        <w:tc>
          <w:tcPr>
            <w:tcW w:w="1417" w:type="dxa"/>
            <w:vAlign w:val="center"/>
          </w:tcPr>
          <w:p>
            <w:pPr>
              <w:rPr>
                <w:color w:val="auto"/>
                <w:highlight w:val="none"/>
              </w:rPr>
            </w:pPr>
            <w:r>
              <w:rPr>
                <w:rFonts w:hint="eastAsia"/>
                <w:color w:val="auto"/>
                <w:highlight w:val="none"/>
              </w:rPr>
              <w:t>电线电缆</w:t>
            </w:r>
          </w:p>
        </w:tc>
        <w:tc>
          <w:tcPr>
            <w:tcW w:w="7230" w:type="dxa"/>
            <w:vAlign w:val="center"/>
          </w:tcPr>
          <w:p>
            <w:pPr>
              <w:rPr>
                <w:color w:val="auto"/>
                <w:highlight w:val="none"/>
                <w:lang w:eastAsia="zh-CN"/>
              </w:rPr>
            </w:pPr>
            <w:r>
              <w:rPr>
                <w:color w:val="auto"/>
                <w:highlight w:val="none"/>
                <w:lang w:eastAsia="zh-CN"/>
              </w:rPr>
              <w:t>1</w:t>
            </w:r>
            <w:r>
              <w:rPr>
                <w:rFonts w:hint="eastAsia"/>
                <w:color w:val="auto"/>
                <w:highlight w:val="none"/>
                <w:lang w:eastAsia="zh-CN"/>
              </w:rPr>
              <w:t>、电缆盘上应表明电缆型号、规格、电压等级、长度及出厂日期。并与产品合格证相符。电缆盘应完好无损。</w:t>
            </w:r>
          </w:p>
          <w:p>
            <w:pPr>
              <w:rPr>
                <w:color w:val="auto"/>
                <w:highlight w:val="none"/>
                <w:lang w:eastAsia="zh-CN"/>
              </w:rPr>
            </w:pPr>
            <w:r>
              <w:rPr>
                <w:color w:val="auto"/>
                <w:highlight w:val="none"/>
                <w:lang w:eastAsia="zh-CN"/>
              </w:rPr>
              <w:t>3</w:t>
            </w:r>
            <w:r>
              <w:rPr>
                <w:rFonts w:hint="eastAsia"/>
                <w:color w:val="auto"/>
                <w:highlight w:val="none"/>
                <w:lang w:eastAsia="zh-CN"/>
              </w:rPr>
              <w:t>、电线、电缆的绝缘材料必须符合电压等级和设计要求。</w:t>
            </w:r>
          </w:p>
          <w:p>
            <w:pPr>
              <w:rPr>
                <w:color w:val="auto"/>
                <w:highlight w:val="none"/>
                <w:lang w:eastAsia="zh-CN"/>
              </w:rPr>
            </w:pPr>
            <w:r>
              <w:rPr>
                <w:color w:val="auto"/>
                <w:highlight w:val="none"/>
                <w:lang w:eastAsia="zh-CN"/>
              </w:rPr>
              <w:t>4</w:t>
            </w:r>
            <w:r>
              <w:rPr>
                <w:rFonts w:hint="eastAsia"/>
                <w:color w:val="auto"/>
                <w:highlight w:val="none"/>
                <w:lang w:eastAsia="zh-CN"/>
              </w:rPr>
              <w:t>、电缆未受到机械外力的损伤，铠装无锈蚀，缆线顺直无皱折和扭曲现象。塑料电缆外皮绝缘层无老化和龟裂现象。</w:t>
            </w:r>
          </w:p>
          <w:p>
            <w:pPr>
              <w:rPr>
                <w:color w:val="auto"/>
                <w:highlight w:val="none"/>
                <w:lang w:eastAsia="zh-CN"/>
              </w:rPr>
            </w:pPr>
            <w:r>
              <w:rPr>
                <w:color w:val="auto"/>
                <w:highlight w:val="none"/>
                <w:lang w:eastAsia="zh-CN"/>
              </w:rPr>
              <w:t>5</w:t>
            </w:r>
            <w:r>
              <w:rPr>
                <w:rFonts w:hint="eastAsia"/>
                <w:color w:val="auto"/>
                <w:highlight w:val="none"/>
                <w:lang w:eastAsia="zh-CN"/>
              </w:rPr>
              <w:t>、电缆终端头应是定型产品，如电缆由承包单位采购，需要与电缆采用同一产品，附件齐全，封套必须与电缆规格尺寸匹配，应紧裹电缆及其各条导线。套管应完好无损，不得有裂纹和损伤，并应有合格证和实验数据纪录。</w:t>
            </w:r>
          </w:p>
          <w:p>
            <w:pPr>
              <w:rPr>
                <w:color w:val="auto"/>
                <w:highlight w:val="none"/>
                <w:lang w:eastAsia="zh-CN"/>
              </w:rPr>
            </w:pPr>
            <w:r>
              <w:rPr>
                <w:color w:val="auto"/>
                <w:highlight w:val="none"/>
                <w:lang w:eastAsia="zh-CN"/>
              </w:rPr>
              <w:t>6</w:t>
            </w:r>
            <w:r>
              <w:rPr>
                <w:rFonts w:hint="eastAsia"/>
                <w:color w:val="auto"/>
                <w:highlight w:val="none"/>
                <w:lang w:eastAsia="zh-CN"/>
              </w:rPr>
              <w:t>、电缆芯线和电线绝缘层的颜色必须满足以下要求：</w:t>
            </w:r>
          </w:p>
          <w:p>
            <w:pPr>
              <w:rPr>
                <w:color w:val="auto"/>
                <w:highlight w:val="none"/>
                <w:lang w:eastAsia="zh-CN"/>
              </w:rPr>
            </w:pPr>
            <w:r>
              <w:rPr>
                <w:rFonts w:hint="eastAsia"/>
                <w:color w:val="auto"/>
                <w:highlight w:val="none"/>
                <w:lang w:eastAsia="zh-CN"/>
              </w:rPr>
              <w:t>相线：黄、绿、红；零线：淡蓝；地线：黄</w:t>
            </w:r>
            <w:r>
              <w:rPr>
                <w:color w:val="auto"/>
                <w:highlight w:val="none"/>
                <w:lang w:eastAsia="zh-CN"/>
              </w:rPr>
              <w:t>/</w:t>
            </w:r>
            <w:r>
              <w:rPr>
                <w:rFonts w:hint="eastAsia"/>
                <w:color w:val="auto"/>
                <w:highlight w:val="none"/>
                <w:lang w:eastAsia="zh-CN"/>
              </w:rPr>
              <w:t>绿；控制线：白</w:t>
            </w:r>
          </w:p>
          <w:p>
            <w:pPr>
              <w:rPr>
                <w:color w:val="auto"/>
                <w:highlight w:val="none"/>
                <w:lang w:eastAsia="zh-CN"/>
              </w:rPr>
            </w:pPr>
            <w:r>
              <w:rPr>
                <w:color w:val="auto"/>
                <w:highlight w:val="none"/>
                <w:lang w:eastAsia="zh-CN"/>
              </w:rPr>
              <w:t>7</w:t>
            </w:r>
            <w:r>
              <w:rPr>
                <w:rFonts w:hint="eastAsia"/>
                <w:color w:val="auto"/>
                <w:highlight w:val="none"/>
                <w:lang w:eastAsia="zh-CN"/>
              </w:rPr>
              <w:t>、与低压柜相连电缆的电缆头制作必须用户内热缩式，或满足供电局相关批文。</w:t>
            </w:r>
          </w:p>
          <w:p>
            <w:pPr>
              <w:rPr>
                <w:color w:val="auto"/>
                <w:highlight w:val="none"/>
                <w:lang w:eastAsia="zh-CN"/>
              </w:rPr>
            </w:pPr>
            <w:r>
              <w:rPr>
                <w:color w:val="auto"/>
                <w:highlight w:val="none"/>
                <w:lang w:eastAsia="zh-CN"/>
              </w:rPr>
              <w:t>8</w:t>
            </w:r>
            <w:r>
              <w:rPr>
                <w:rFonts w:hint="eastAsia"/>
                <w:color w:val="auto"/>
                <w:highlight w:val="none"/>
                <w:lang w:eastAsia="zh-CN"/>
              </w:rPr>
              <w:t>、电缆的护套表面应有生产厂家、电缆型号、额定电压和生产年份的连续标记，标志应字迹清楚、容易辨认、耐擦。</w:t>
            </w:r>
          </w:p>
          <w:p>
            <w:pPr>
              <w:rPr>
                <w:color w:val="auto"/>
                <w:highlight w:val="none"/>
                <w:lang w:eastAsia="zh-CN"/>
              </w:rPr>
            </w:pPr>
            <w:r>
              <w:rPr>
                <w:color w:val="auto"/>
                <w:highlight w:val="none"/>
                <w:lang w:eastAsia="zh-CN"/>
              </w:rPr>
              <w:t>9</w:t>
            </w:r>
            <w:r>
              <w:rPr>
                <w:rFonts w:hint="eastAsia"/>
                <w:color w:val="auto"/>
                <w:highlight w:val="none"/>
                <w:lang w:eastAsia="zh-CN"/>
              </w:rPr>
              <w:t>、在中标人供货期间或货物安装使用期间，发包人按批次和种类将中标人供应的货物委托第三方进行检测，检测材料成本、运费及检测费用（甲供除外）由中标人承担。</w:t>
            </w:r>
          </w:p>
          <w:p>
            <w:pPr>
              <w:rPr>
                <w:color w:val="auto"/>
                <w:highlight w:val="none"/>
                <w:lang w:eastAsia="zh-CN"/>
              </w:rPr>
            </w:pPr>
            <w:r>
              <w:rPr>
                <w:color w:val="auto"/>
                <w:highlight w:val="none"/>
                <w:lang w:eastAsia="zh-CN"/>
              </w:rPr>
              <w:t>10</w:t>
            </w:r>
            <w:r>
              <w:rPr>
                <w:rFonts w:hint="eastAsia"/>
                <w:color w:val="auto"/>
                <w:highlight w:val="none"/>
                <w:lang w:eastAsia="zh-CN"/>
              </w:rPr>
              <w:t>、材料定货前要提供样品，报发包人审批后才能定货。</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70" w:hRule="atLeast"/>
        </w:trPr>
        <w:tc>
          <w:tcPr>
            <w:tcW w:w="851" w:type="dxa"/>
            <w:vAlign w:val="center"/>
          </w:tcPr>
          <w:p>
            <w:pPr>
              <w:rPr>
                <w:color w:val="auto"/>
                <w:highlight w:val="none"/>
              </w:rPr>
            </w:pPr>
            <w:r>
              <w:rPr>
                <w:color w:val="auto"/>
                <w:highlight w:val="none"/>
              </w:rPr>
              <w:t>6</w:t>
            </w:r>
          </w:p>
        </w:tc>
        <w:tc>
          <w:tcPr>
            <w:tcW w:w="1417" w:type="dxa"/>
            <w:vAlign w:val="center"/>
          </w:tcPr>
          <w:p>
            <w:pPr>
              <w:rPr>
                <w:color w:val="auto"/>
                <w:highlight w:val="none"/>
              </w:rPr>
            </w:pPr>
            <w:r>
              <w:rPr>
                <w:color w:val="auto"/>
                <w:highlight w:val="none"/>
              </w:rPr>
              <w:t>EPS</w:t>
            </w:r>
            <w:r>
              <w:rPr>
                <w:rFonts w:hint="eastAsia"/>
                <w:color w:val="auto"/>
                <w:highlight w:val="none"/>
              </w:rPr>
              <w:t>应急电源</w:t>
            </w:r>
          </w:p>
        </w:tc>
        <w:tc>
          <w:tcPr>
            <w:tcW w:w="7230" w:type="dxa"/>
            <w:vAlign w:val="center"/>
          </w:tcPr>
          <w:p>
            <w:pPr>
              <w:rPr>
                <w:color w:val="auto"/>
                <w:highlight w:val="none"/>
                <w:lang w:eastAsia="zh-CN"/>
              </w:rPr>
            </w:pPr>
            <w:r>
              <w:rPr>
                <w:rFonts w:hint="eastAsia"/>
                <w:color w:val="auto"/>
                <w:highlight w:val="none"/>
                <w:lang w:eastAsia="zh-CN"/>
              </w:rPr>
              <w:t>一、基本要求</w:t>
            </w:r>
          </w:p>
          <w:p>
            <w:pPr>
              <w:rPr>
                <w:color w:val="auto"/>
                <w:highlight w:val="none"/>
                <w:lang w:eastAsia="zh-CN"/>
              </w:rPr>
            </w:pPr>
            <w:r>
              <w:rPr>
                <w:color w:val="auto"/>
                <w:highlight w:val="none"/>
                <w:lang w:eastAsia="zh-CN"/>
              </w:rPr>
              <w:t xml:space="preserve">1.1 </w:t>
            </w:r>
            <w:r>
              <w:rPr>
                <w:rFonts w:hint="eastAsia"/>
                <w:color w:val="auto"/>
                <w:highlight w:val="none"/>
                <w:lang w:eastAsia="zh-CN"/>
              </w:rPr>
              <w:t>应急电源装置（</w:t>
            </w:r>
            <w:r>
              <w:rPr>
                <w:color w:val="auto"/>
                <w:highlight w:val="none"/>
                <w:lang w:eastAsia="zh-CN"/>
              </w:rPr>
              <w:t>EPS</w:t>
            </w:r>
            <w:r>
              <w:rPr>
                <w:rFonts w:hint="eastAsia"/>
                <w:color w:val="auto"/>
                <w:highlight w:val="none"/>
                <w:lang w:eastAsia="zh-CN"/>
              </w:rPr>
              <w:t>）为户内成套设备。要求投标货物满足环境条件和技术参数及指标、技术先进、生产工艺成熟可靠、结构合理、便于安装和维护，装置内所有元器件和材料应具有阻燃或不燃特性。在结构上充分考虑防尘、防潮要求，具备二次封装措施。</w:t>
            </w:r>
          </w:p>
          <w:p>
            <w:pPr>
              <w:rPr>
                <w:color w:val="auto"/>
                <w:highlight w:val="none"/>
                <w:lang w:eastAsia="zh-CN"/>
              </w:rPr>
            </w:pPr>
            <w:r>
              <w:rPr>
                <w:color w:val="auto"/>
                <w:highlight w:val="none"/>
                <w:lang w:eastAsia="zh-CN"/>
              </w:rPr>
              <w:t xml:space="preserve">1.2 </w:t>
            </w:r>
            <w:r>
              <w:rPr>
                <w:rFonts w:hint="eastAsia"/>
                <w:color w:val="auto"/>
                <w:highlight w:val="none"/>
                <w:lang w:eastAsia="zh-CN"/>
              </w:rPr>
              <w:t>装置构成：主要由交流进线回路、整流</w:t>
            </w:r>
            <w:r>
              <w:rPr>
                <w:color w:val="auto"/>
                <w:highlight w:val="none"/>
                <w:lang w:eastAsia="zh-CN"/>
              </w:rPr>
              <w:t>/</w:t>
            </w:r>
            <w:r>
              <w:rPr>
                <w:rFonts w:hint="eastAsia"/>
                <w:color w:val="auto"/>
                <w:highlight w:val="none"/>
                <w:lang w:eastAsia="zh-CN"/>
              </w:rPr>
              <w:t>充电装置、蓄电池组、逆变器、自动监控、电池检测等组成。</w:t>
            </w:r>
          </w:p>
          <w:p>
            <w:pPr>
              <w:rPr>
                <w:color w:val="auto"/>
                <w:highlight w:val="none"/>
                <w:lang w:eastAsia="zh-CN"/>
              </w:rPr>
            </w:pPr>
            <w:r>
              <w:rPr>
                <w:color w:val="auto"/>
                <w:highlight w:val="none"/>
                <w:lang w:eastAsia="zh-CN"/>
              </w:rPr>
              <w:t xml:space="preserve">1.3 </w:t>
            </w:r>
            <w:r>
              <w:rPr>
                <w:rFonts w:hint="eastAsia"/>
                <w:color w:val="auto"/>
                <w:highlight w:val="none"/>
                <w:lang w:eastAsia="zh-CN"/>
              </w:rPr>
              <w:t>采用柜式或壁挂式结构，外壳防护等级须符合</w:t>
            </w:r>
            <w:r>
              <w:rPr>
                <w:color w:val="auto"/>
                <w:highlight w:val="none"/>
                <w:lang w:eastAsia="zh-CN"/>
              </w:rPr>
              <w:t>IEC529</w:t>
            </w:r>
            <w:r>
              <w:rPr>
                <w:rFonts w:hint="eastAsia"/>
                <w:color w:val="auto"/>
                <w:highlight w:val="none"/>
                <w:lang w:eastAsia="zh-CN"/>
              </w:rPr>
              <w:t>的</w:t>
            </w:r>
            <w:r>
              <w:rPr>
                <w:color w:val="auto"/>
                <w:highlight w:val="none"/>
                <w:lang w:eastAsia="zh-CN"/>
              </w:rPr>
              <w:t>IP41</w:t>
            </w:r>
            <w:r>
              <w:rPr>
                <w:rFonts w:hint="eastAsia"/>
                <w:color w:val="auto"/>
                <w:highlight w:val="none"/>
                <w:lang w:eastAsia="zh-CN"/>
              </w:rPr>
              <w:t>。</w:t>
            </w:r>
          </w:p>
          <w:p>
            <w:pPr>
              <w:rPr>
                <w:color w:val="auto"/>
                <w:highlight w:val="none"/>
                <w:lang w:eastAsia="zh-CN"/>
              </w:rPr>
            </w:pPr>
            <w:r>
              <w:rPr>
                <w:rFonts w:hint="eastAsia"/>
                <w:color w:val="auto"/>
                <w:highlight w:val="none"/>
                <w:lang w:eastAsia="zh-CN"/>
              </w:rPr>
              <w:t>二、运行方式：</w:t>
            </w:r>
          </w:p>
          <w:p>
            <w:pPr>
              <w:rPr>
                <w:color w:val="auto"/>
                <w:highlight w:val="none"/>
                <w:lang w:eastAsia="zh-CN"/>
              </w:rPr>
            </w:pPr>
            <w:r>
              <w:rPr>
                <w:color w:val="auto"/>
                <w:highlight w:val="none"/>
                <w:lang w:eastAsia="zh-CN"/>
              </w:rPr>
              <w:t xml:space="preserve">2.1 </w:t>
            </w:r>
            <w:r>
              <w:rPr>
                <w:rFonts w:hint="eastAsia"/>
                <w:color w:val="auto"/>
                <w:highlight w:val="none"/>
                <w:lang w:eastAsia="zh-CN"/>
              </w:rPr>
              <w:t>交流电源进线按设计配置。</w:t>
            </w:r>
          </w:p>
          <w:p>
            <w:pPr>
              <w:rPr>
                <w:color w:val="auto"/>
                <w:highlight w:val="none"/>
                <w:lang w:eastAsia="zh-CN"/>
              </w:rPr>
            </w:pPr>
            <w:r>
              <w:rPr>
                <w:color w:val="auto"/>
                <w:highlight w:val="none"/>
                <w:lang w:eastAsia="zh-CN"/>
              </w:rPr>
              <w:t>2.2</w:t>
            </w:r>
            <w:r>
              <w:rPr>
                <w:rFonts w:hint="eastAsia"/>
                <w:color w:val="auto"/>
                <w:highlight w:val="none"/>
                <w:lang w:eastAsia="zh-CN"/>
              </w:rPr>
              <w:t>正常情况下，由逆变器交流旁路供电给应急照明负荷，同时由整流器供电给蓄电池组作正常的均</w:t>
            </w:r>
            <w:r>
              <w:rPr>
                <w:color w:val="auto"/>
                <w:highlight w:val="none"/>
                <w:lang w:eastAsia="zh-CN"/>
              </w:rPr>
              <w:t>/</w:t>
            </w:r>
            <w:r>
              <w:rPr>
                <w:rFonts w:hint="eastAsia"/>
                <w:color w:val="auto"/>
                <w:highlight w:val="none"/>
                <w:lang w:eastAsia="zh-CN"/>
              </w:rPr>
              <w:t>浮充电。</w:t>
            </w:r>
          </w:p>
          <w:p>
            <w:pPr>
              <w:rPr>
                <w:color w:val="auto"/>
                <w:highlight w:val="none"/>
                <w:lang w:eastAsia="zh-CN"/>
              </w:rPr>
            </w:pPr>
            <w:r>
              <w:rPr>
                <w:color w:val="auto"/>
                <w:highlight w:val="none"/>
                <w:lang w:eastAsia="zh-CN"/>
              </w:rPr>
              <w:t xml:space="preserve">2.3 </w:t>
            </w:r>
            <w:r>
              <w:rPr>
                <w:rFonts w:hint="eastAsia"/>
                <w:color w:val="auto"/>
                <w:highlight w:val="none"/>
                <w:lang w:eastAsia="zh-CN"/>
              </w:rPr>
              <w:t>当市电故障时，瞬时（≤</w:t>
            </w:r>
            <w:r>
              <w:rPr>
                <w:color w:val="auto"/>
                <w:highlight w:val="none"/>
                <w:lang w:eastAsia="zh-CN"/>
              </w:rPr>
              <w:t>0.1</w:t>
            </w:r>
            <w:r>
              <w:rPr>
                <w:rFonts w:hint="eastAsia"/>
                <w:color w:val="auto"/>
                <w:highlight w:val="none"/>
                <w:lang w:eastAsia="zh-CN"/>
              </w:rPr>
              <w:t>秒）自动切换，由蓄电池组经逆变器逆变后供电（正弦波）给应急照明负荷，要求供电时间不少于</w:t>
            </w:r>
            <w:r>
              <w:rPr>
                <w:color w:val="auto"/>
                <w:highlight w:val="none"/>
                <w:lang w:eastAsia="zh-CN"/>
              </w:rPr>
              <w:t>90</w:t>
            </w:r>
            <w:r>
              <w:rPr>
                <w:rFonts w:hint="eastAsia"/>
                <w:color w:val="auto"/>
                <w:highlight w:val="none"/>
                <w:lang w:eastAsia="zh-CN"/>
              </w:rPr>
              <w:t>分钟。</w:t>
            </w:r>
          </w:p>
          <w:p>
            <w:pPr>
              <w:rPr>
                <w:color w:val="auto"/>
                <w:highlight w:val="none"/>
                <w:lang w:eastAsia="zh-CN"/>
              </w:rPr>
            </w:pPr>
            <w:r>
              <w:rPr>
                <w:rFonts w:hint="eastAsia"/>
                <w:color w:val="auto"/>
                <w:highlight w:val="none"/>
                <w:lang w:eastAsia="zh-CN"/>
              </w:rPr>
              <w:t>三、整机技术参数要求：</w:t>
            </w:r>
          </w:p>
          <w:p>
            <w:pPr>
              <w:rPr>
                <w:color w:val="auto"/>
                <w:highlight w:val="none"/>
                <w:lang w:eastAsia="zh-CN"/>
              </w:rPr>
            </w:pPr>
            <w:r>
              <w:rPr>
                <w:color w:val="auto"/>
                <w:highlight w:val="none"/>
                <w:lang w:eastAsia="zh-CN"/>
              </w:rPr>
              <w:t xml:space="preserve">3.1  </w:t>
            </w:r>
            <w:r>
              <w:rPr>
                <w:rFonts w:hint="eastAsia"/>
                <w:color w:val="auto"/>
                <w:highlight w:val="none"/>
                <w:lang w:eastAsia="zh-CN"/>
              </w:rPr>
              <w:t>输入参数</w:t>
            </w:r>
          </w:p>
          <w:p>
            <w:pPr>
              <w:rPr>
                <w:color w:val="auto"/>
                <w:highlight w:val="none"/>
                <w:lang w:eastAsia="zh-CN"/>
              </w:rPr>
            </w:pPr>
            <w:r>
              <w:rPr>
                <w:color w:val="auto"/>
                <w:highlight w:val="none"/>
                <w:lang w:eastAsia="zh-CN"/>
              </w:rPr>
              <w:t>3.1.1</w:t>
            </w:r>
            <w:r>
              <w:rPr>
                <w:rFonts w:hint="eastAsia"/>
                <w:color w:val="auto"/>
                <w:highlight w:val="none"/>
                <w:lang w:eastAsia="zh-CN"/>
              </w:rPr>
              <w:t>额定输入电压：</w:t>
            </w:r>
            <w:r>
              <w:rPr>
                <w:color w:val="auto"/>
                <w:highlight w:val="none"/>
                <w:lang w:eastAsia="zh-CN"/>
              </w:rPr>
              <w:t xml:space="preserve"> AC380/220</w:t>
            </w:r>
            <w:r>
              <w:rPr>
                <w:rFonts w:hint="eastAsia"/>
                <w:color w:val="auto"/>
                <w:highlight w:val="none"/>
                <w:lang w:eastAsia="zh-CN"/>
              </w:rPr>
              <w:t>±</w:t>
            </w:r>
            <w:r>
              <w:rPr>
                <w:color w:val="auto"/>
                <w:highlight w:val="none"/>
                <w:lang w:eastAsia="zh-CN"/>
              </w:rPr>
              <w:t>20</w:t>
            </w:r>
            <w:r>
              <w:rPr>
                <w:rFonts w:hint="eastAsia"/>
                <w:color w:val="auto"/>
                <w:highlight w:val="none"/>
                <w:lang w:eastAsia="zh-CN"/>
              </w:rPr>
              <w:t>％，独立的</w:t>
            </w:r>
            <w:r>
              <w:rPr>
                <w:color w:val="auto"/>
                <w:highlight w:val="none"/>
                <w:lang w:eastAsia="zh-CN"/>
              </w:rPr>
              <w:t>N</w:t>
            </w:r>
            <w:r>
              <w:rPr>
                <w:rFonts w:hint="eastAsia"/>
                <w:color w:val="auto"/>
                <w:highlight w:val="none"/>
                <w:lang w:eastAsia="zh-CN"/>
              </w:rPr>
              <w:t>线和</w:t>
            </w:r>
            <w:r>
              <w:rPr>
                <w:color w:val="auto"/>
                <w:highlight w:val="none"/>
                <w:lang w:eastAsia="zh-CN"/>
              </w:rPr>
              <w:t>PE</w:t>
            </w:r>
            <w:r>
              <w:rPr>
                <w:rFonts w:hint="eastAsia"/>
                <w:color w:val="auto"/>
                <w:highlight w:val="none"/>
                <w:lang w:eastAsia="zh-CN"/>
              </w:rPr>
              <w:t>线；</w:t>
            </w:r>
          </w:p>
          <w:p>
            <w:pPr>
              <w:rPr>
                <w:color w:val="auto"/>
                <w:highlight w:val="none"/>
                <w:lang w:eastAsia="zh-CN"/>
              </w:rPr>
            </w:pPr>
            <w:r>
              <w:rPr>
                <w:color w:val="auto"/>
                <w:highlight w:val="none"/>
                <w:lang w:eastAsia="zh-CN"/>
              </w:rPr>
              <w:t>3.1.2</w:t>
            </w:r>
            <w:r>
              <w:rPr>
                <w:rFonts w:hint="eastAsia"/>
                <w:color w:val="auto"/>
                <w:highlight w:val="none"/>
                <w:lang w:eastAsia="zh-CN"/>
              </w:rPr>
              <w:t>额定输入频率：</w:t>
            </w:r>
            <w:r>
              <w:rPr>
                <w:color w:val="auto"/>
                <w:highlight w:val="none"/>
                <w:lang w:eastAsia="zh-CN"/>
              </w:rPr>
              <w:t>50Hz</w:t>
            </w:r>
            <w:r>
              <w:rPr>
                <w:rFonts w:hint="eastAsia"/>
                <w:color w:val="auto"/>
                <w:highlight w:val="none"/>
                <w:lang w:eastAsia="zh-CN"/>
              </w:rPr>
              <w:t>±</w:t>
            </w:r>
            <w:r>
              <w:rPr>
                <w:color w:val="auto"/>
                <w:highlight w:val="none"/>
                <w:lang w:eastAsia="zh-CN"/>
              </w:rPr>
              <w:t>5</w:t>
            </w:r>
            <w:r>
              <w:rPr>
                <w:rFonts w:hint="eastAsia"/>
                <w:color w:val="auto"/>
                <w:highlight w:val="none"/>
                <w:lang w:eastAsia="zh-CN"/>
              </w:rPr>
              <w:t>％。</w:t>
            </w:r>
          </w:p>
          <w:p>
            <w:pPr>
              <w:rPr>
                <w:color w:val="auto"/>
                <w:highlight w:val="none"/>
                <w:lang w:eastAsia="zh-CN"/>
              </w:rPr>
            </w:pPr>
            <w:r>
              <w:rPr>
                <w:color w:val="auto"/>
                <w:highlight w:val="none"/>
                <w:lang w:eastAsia="zh-CN"/>
              </w:rPr>
              <w:t xml:space="preserve">3.2  </w:t>
            </w:r>
            <w:r>
              <w:rPr>
                <w:rFonts w:hint="eastAsia"/>
                <w:color w:val="auto"/>
                <w:highlight w:val="none"/>
                <w:lang w:eastAsia="zh-CN"/>
              </w:rPr>
              <w:t>输出参数</w:t>
            </w:r>
          </w:p>
          <w:p>
            <w:pPr>
              <w:rPr>
                <w:color w:val="auto"/>
                <w:highlight w:val="none"/>
                <w:lang w:eastAsia="zh-CN"/>
              </w:rPr>
            </w:pPr>
            <w:r>
              <w:rPr>
                <w:color w:val="auto"/>
                <w:highlight w:val="none"/>
                <w:lang w:eastAsia="zh-CN"/>
              </w:rPr>
              <w:t>3.2.1</w:t>
            </w:r>
            <w:r>
              <w:rPr>
                <w:rFonts w:hint="eastAsia"/>
                <w:color w:val="auto"/>
                <w:highlight w:val="none"/>
                <w:lang w:eastAsia="zh-CN"/>
              </w:rPr>
              <w:t>应急输出电压：三相</w:t>
            </w:r>
            <w:r>
              <w:rPr>
                <w:color w:val="auto"/>
                <w:highlight w:val="none"/>
                <w:lang w:eastAsia="zh-CN"/>
              </w:rPr>
              <w:t>380V/220V</w:t>
            </w:r>
            <w:r>
              <w:rPr>
                <w:rFonts w:hint="eastAsia"/>
                <w:color w:val="auto"/>
                <w:highlight w:val="none"/>
                <w:lang w:eastAsia="zh-CN"/>
              </w:rPr>
              <w:t>±</w:t>
            </w:r>
            <w:r>
              <w:rPr>
                <w:color w:val="auto"/>
                <w:highlight w:val="none"/>
                <w:lang w:eastAsia="zh-CN"/>
              </w:rPr>
              <w:t>5</w:t>
            </w:r>
            <w:r>
              <w:rPr>
                <w:rFonts w:hint="eastAsia"/>
                <w:color w:val="auto"/>
                <w:highlight w:val="none"/>
                <w:lang w:eastAsia="zh-CN"/>
              </w:rPr>
              <w:t>％；</w:t>
            </w:r>
          </w:p>
          <w:p>
            <w:pPr>
              <w:rPr>
                <w:color w:val="auto"/>
                <w:highlight w:val="none"/>
                <w:lang w:eastAsia="zh-CN"/>
              </w:rPr>
            </w:pPr>
            <w:r>
              <w:rPr>
                <w:color w:val="auto"/>
                <w:highlight w:val="none"/>
                <w:lang w:eastAsia="zh-CN"/>
              </w:rPr>
              <w:t>3.2.2</w:t>
            </w:r>
            <w:r>
              <w:rPr>
                <w:rFonts w:hint="eastAsia"/>
                <w:color w:val="auto"/>
                <w:highlight w:val="none"/>
                <w:lang w:eastAsia="zh-CN"/>
              </w:rPr>
              <w:t>输出频率：正弦波</w:t>
            </w:r>
            <w:r>
              <w:rPr>
                <w:color w:val="auto"/>
                <w:highlight w:val="none"/>
                <w:lang w:eastAsia="zh-CN"/>
              </w:rPr>
              <w:t>50Hz</w:t>
            </w:r>
            <w:r>
              <w:rPr>
                <w:rFonts w:hint="eastAsia"/>
                <w:color w:val="auto"/>
                <w:highlight w:val="none"/>
                <w:lang w:eastAsia="zh-CN"/>
              </w:rPr>
              <w:t>±</w:t>
            </w:r>
            <w:r>
              <w:rPr>
                <w:color w:val="auto"/>
                <w:highlight w:val="none"/>
                <w:lang w:eastAsia="zh-CN"/>
              </w:rPr>
              <w:t>1</w:t>
            </w:r>
            <w:r>
              <w:rPr>
                <w:rFonts w:hint="eastAsia"/>
                <w:color w:val="auto"/>
                <w:highlight w:val="none"/>
                <w:lang w:eastAsia="zh-CN"/>
              </w:rPr>
              <w:t>％；</w:t>
            </w:r>
          </w:p>
          <w:p>
            <w:pPr>
              <w:rPr>
                <w:color w:val="auto"/>
                <w:highlight w:val="none"/>
                <w:lang w:eastAsia="zh-CN"/>
              </w:rPr>
            </w:pPr>
            <w:r>
              <w:rPr>
                <w:color w:val="auto"/>
                <w:highlight w:val="none"/>
                <w:lang w:eastAsia="zh-CN"/>
              </w:rPr>
              <w:t>3.2.3</w:t>
            </w:r>
            <w:r>
              <w:rPr>
                <w:rFonts w:hint="eastAsia"/>
                <w:color w:val="auto"/>
                <w:highlight w:val="none"/>
                <w:lang w:eastAsia="zh-CN"/>
              </w:rPr>
              <w:t>输出正弦波波形失真度：≤</w:t>
            </w:r>
            <w:r>
              <w:rPr>
                <w:color w:val="auto"/>
                <w:highlight w:val="none"/>
                <w:lang w:eastAsia="zh-CN"/>
              </w:rPr>
              <w:t xml:space="preserve"> 3</w:t>
            </w:r>
            <w:r>
              <w:rPr>
                <w:rFonts w:hint="eastAsia"/>
                <w:color w:val="auto"/>
                <w:highlight w:val="none"/>
                <w:lang w:eastAsia="zh-CN"/>
              </w:rPr>
              <w:t>％。</w:t>
            </w:r>
          </w:p>
          <w:p>
            <w:pPr>
              <w:rPr>
                <w:color w:val="auto"/>
                <w:highlight w:val="none"/>
                <w:lang w:eastAsia="zh-CN"/>
              </w:rPr>
            </w:pPr>
            <w:r>
              <w:rPr>
                <w:color w:val="auto"/>
                <w:highlight w:val="none"/>
                <w:lang w:eastAsia="zh-CN"/>
              </w:rPr>
              <w:t xml:space="preserve">3.3  </w:t>
            </w:r>
            <w:r>
              <w:rPr>
                <w:rFonts w:hint="eastAsia"/>
                <w:color w:val="auto"/>
                <w:highlight w:val="none"/>
                <w:lang w:eastAsia="zh-CN"/>
              </w:rPr>
              <w:t>市电供电－应急供电切换时间：≤</w:t>
            </w:r>
            <w:r>
              <w:rPr>
                <w:color w:val="auto"/>
                <w:highlight w:val="none"/>
                <w:lang w:eastAsia="zh-CN"/>
              </w:rPr>
              <w:t>0.5</w:t>
            </w:r>
            <w:r>
              <w:rPr>
                <w:rFonts w:hint="eastAsia"/>
                <w:color w:val="auto"/>
                <w:highlight w:val="none"/>
                <w:lang w:eastAsia="zh-CN"/>
              </w:rPr>
              <w:t>秒。</w:t>
            </w:r>
          </w:p>
          <w:p>
            <w:pPr>
              <w:rPr>
                <w:color w:val="auto"/>
                <w:highlight w:val="none"/>
                <w:lang w:eastAsia="zh-CN"/>
              </w:rPr>
            </w:pPr>
            <w:r>
              <w:rPr>
                <w:color w:val="auto"/>
                <w:highlight w:val="none"/>
                <w:lang w:eastAsia="zh-CN"/>
              </w:rPr>
              <w:t xml:space="preserve">3.4  </w:t>
            </w:r>
            <w:r>
              <w:rPr>
                <w:rFonts w:hint="eastAsia"/>
                <w:color w:val="auto"/>
                <w:highlight w:val="none"/>
                <w:lang w:eastAsia="zh-CN"/>
              </w:rPr>
              <w:t>过载能力：</w:t>
            </w:r>
            <w:r>
              <w:rPr>
                <w:color w:val="auto"/>
                <w:highlight w:val="none"/>
                <w:lang w:eastAsia="zh-CN"/>
              </w:rPr>
              <w:t>120</w:t>
            </w:r>
            <w:r>
              <w:rPr>
                <w:rFonts w:hint="eastAsia"/>
                <w:color w:val="auto"/>
                <w:highlight w:val="none"/>
                <w:lang w:eastAsia="zh-CN"/>
              </w:rPr>
              <w:t>％，运行</w:t>
            </w:r>
            <w:r>
              <w:rPr>
                <w:color w:val="auto"/>
                <w:highlight w:val="none"/>
                <w:lang w:eastAsia="zh-CN"/>
              </w:rPr>
              <w:t>1</w:t>
            </w:r>
            <w:r>
              <w:rPr>
                <w:rFonts w:hint="eastAsia"/>
                <w:color w:val="auto"/>
                <w:highlight w:val="none"/>
                <w:lang w:eastAsia="zh-CN"/>
              </w:rPr>
              <w:t>小时。</w:t>
            </w:r>
          </w:p>
          <w:p>
            <w:pPr>
              <w:rPr>
                <w:color w:val="auto"/>
                <w:highlight w:val="none"/>
                <w:lang w:eastAsia="zh-CN"/>
              </w:rPr>
            </w:pPr>
            <w:r>
              <w:rPr>
                <w:color w:val="auto"/>
                <w:highlight w:val="none"/>
                <w:lang w:eastAsia="zh-CN"/>
              </w:rPr>
              <w:t xml:space="preserve">3.5  </w:t>
            </w:r>
            <w:r>
              <w:rPr>
                <w:rFonts w:hint="eastAsia"/>
                <w:color w:val="auto"/>
                <w:highlight w:val="none"/>
                <w:lang w:eastAsia="zh-CN"/>
              </w:rPr>
              <w:t>保护功能：输出过载、短路保护；蓄电池过充、过放保护。</w:t>
            </w:r>
          </w:p>
          <w:p>
            <w:pPr>
              <w:rPr>
                <w:color w:val="auto"/>
                <w:highlight w:val="none"/>
                <w:lang w:eastAsia="zh-CN"/>
              </w:rPr>
            </w:pPr>
            <w:r>
              <w:rPr>
                <w:color w:val="auto"/>
                <w:highlight w:val="none"/>
                <w:lang w:eastAsia="zh-CN"/>
              </w:rPr>
              <w:t xml:space="preserve">3.6  </w:t>
            </w:r>
            <w:r>
              <w:rPr>
                <w:rFonts w:hint="eastAsia"/>
                <w:color w:val="auto"/>
                <w:highlight w:val="none"/>
                <w:lang w:eastAsia="zh-CN"/>
              </w:rPr>
              <w:t>具有抗阶跃负载能力，采样为电流的变化率，输出电流的矢量变化，而非有效值。</w:t>
            </w:r>
          </w:p>
          <w:p>
            <w:pPr>
              <w:rPr>
                <w:color w:val="auto"/>
                <w:highlight w:val="none"/>
                <w:lang w:eastAsia="zh-CN"/>
              </w:rPr>
            </w:pPr>
            <w:r>
              <w:rPr>
                <w:color w:val="auto"/>
                <w:highlight w:val="none"/>
                <w:lang w:eastAsia="zh-CN"/>
              </w:rPr>
              <w:t xml:space="preserve">3.7   </w:t>
            </w:r>
            <w:r>
              <w:rPr>
                <w:rFonts w:hint="eastAsia"/>
                <w:color w:val="auto"/>
                <w:highlight w:val="none"/>
                <w:lang w:eastAsia="zh-CN"/>
              </w:rPr>
              <w:t>噪声：≤</w:t>
            </w:r>
            <w:r>
              <w:rPr>
                <w:color w:val="auto"/>
                <w:highlight w:val="none"/>
                <w:lang w:eastAsia="zh-CN"/>
              </w:rPr>
              <w:t>60dB</w:t>
            </w:r>
            <w:r>
              <w:rPr>
                <w:rFonts w:hint="eastAsia"/>
                <w:color w:val="auto"/>
                <w:highlight w:val="none"/>
                <w:lang w:eastAsia="zh-CN"/>
              </w:rPr>
              <w:t>。</w:t>
            </w:r>
          </w:p>
          <w:p>
            <w:pPr>
              <w:rPr>
                <w:color w:val="auto"/>
                <w:highlight w:val="none"/>
                <w:lang w:eastAsia="zh-CN"/>
              </w:rPr>
            </w:pPr>
            <w:r>
              <w:rPr>
                <w:color w:val="auto"/>
                <w:highlight w:val="none"/>
                <w:lang w:eastAsia="zh-CN"/>
              </w:rPr>
              <w:t xml:space="preserve">3.8 </w:t>
            </w:r>
            <w:r>
              <w:rPr>
                <w:rFonts w:hint="eastAsia"/>
                <w:color w:val="auto"/>
                <w:highlight w:val="none"/>
                <w:lang w:eastAsia="zh-CN"/>
              </w:rPr>
              <w:t>综合效率：≥</w:t>
            </w:r>
            <w:r>
              <w:rPr>
                <w:color w:val="auto"/>
                <w:highlight w:val="none"/>
                <w:lang w:eastAsia="zh-CN"/>
              </w:rPr>
              <w:t>90</w:t>
            </w:r>
            <w:r>
              <w:rPr>
                <w:rFonts w:hint="eastAsia"/>
                <w:color w:val="auto"/>
                <w:highlight w:val="none"/>
                <w:lang w:eastAsia="zh-CN"/>
              </w:rPr>
              <w:t>％。</w:t>
            </w:r>
          </w:p>
          <w:p>
            <w:pPr>
              <w:rPr>
                <w:color w:val="auto"/>
                <w:highlight w:val="none"/>
                <w:lang w:eastAsia="zh-CN"/>
              </w:rPr>
            </w:pPr>
            <w:r>
              <w:rPr>
                <w:color w:val="auto"/>
                <w:highlight w:val="none"/>
                <w:lang w:eastAsia="zh-CN"/>
              </w:rPr>
              <w:t xml:space="preserve">3.9 </w:t>
            </w:r>
            <w:r>
              <w:rPr>
                <w:rFonts w:hint="eastAsia"/>
                <w:color w:val="auto"/>
                <w:highlight w:val="none"/>
                <w:lang w:eastAsia="zh-CN"/>
              </w:rPr>
              <w:t>冷却方式：风冷。</w:t>
            </w:r>
          </w:p>
          <w:p>
            <w:pPr>
              <w:rPr>
                <w:color w:val="auto"/>
                <w:highlight w:val="none"/>
                <w:lang w:eastAsia="zh-CN"/>
              </w:rPr>
            </w:pPr>
            <w:r>
              <w:rPr>
                <w:rFonts w:hint="eastAsia"/>
                <w:color w:val="auto"/>
                <w:highlight w:val="none"/>
                <w:lang w:eastAsia="zh-CN"/>
              </w:rPr>
              <w:t>四、主要部件及结构技术要求：</w:t>
            </w:r>
          </w:p>
          <w:p>
            <w:pPr>
              <w:rPr>
                <w:color w:val="auto"/>
                <w:highlight w:val="none"/>
                <w:lang w:eastAsia="zh-CN"/>
              </w:rPr>
            </w:pPr>
            <w:r>
              <w:rPr>
                <w:color w:val="auto"/>
                <w:highlight w:val="none"/>
                <w:lang w:eastAsia="zh-CN"/>
              </w:rPr>
              <w:t xml:space="preserve">4.1 </w:t>
            </w:r>
            <w:r>
              <w:rPr>
                <w:rFonts w:hint="eastAsia"/>
                <w:color w:val="auto"/>
                <w:highlight w:val="none"/>
                <w:lang w:eastAsia="zh-CN"/>
              </w:rPr>
              <w:t>逆变器应满足下列要求：</w:t>
            </w:r>
          </w:p>
          <w:p>
            <w:pPr>
              <w:rPr>
                <w:color w:val="auto"/>
                <w:highlight w:val="none"/>
                <w:lang w:eastAsia="zh-CN"/>
              </w:rPr>
            </w:pPr>
            <w:r>
              <w:rPr>
                <w:color w:val="auto"/>
                <w:highlight w:val="none"/>
                <w:lang w:eastAsia="zh-CN"/>
              </w:rPr>
              <w:t>4.1.1</w:t>
            </w:r>
            <w:r>
              <w:rPr>
                <w:rFonts w:hint="eastAsia"/>
                <w:color w:val="auto"/>
                <w:highlight w:val="none"/>
                <w:lang w:eastAsia="zh-CN"/>
              </w:rPr>
              <w:t>逆变器选用大电流开关管（</w:t>
            </w:r>
            <w:r>
              <w:rPr>
                <w:color w:val="auto"/>
                <w:highlight w:val="none"/>
                <w:lang w:eastAsia="zh-CN"/>
              </w:rPr>
              <w:t>IGBT</w:t>
            </w:r>
            <w:r>
              <w:rPr>
                <w:rFonts w:hint="eastAsia"/>
                <w:color w:val="auto"/>
                <w:highlight w:val="none"/>
                <w:lang w:eastAsia="zh-CN"/>
              </w:rPr>
              <w:t>）和高可靠性的集成电路；</w:t>
            </w:r>
          </w:p>
          <w:p>
            <w:pPr>
              <w:rPr>
                <w:color w:val="auto"/>
                <w:highlight w:val="none"/>
                <w:lang w:eastAsia="zh-CN"/>
              </w:rPr>
            </w:pPr>
            <w:r>
              <w:rPr>
                <w:color w:val="auto"/>
                <w:highlight w:val="none"/>
                <w:lang w:eastAsia="zh-CN"/>
              </w:rPr>
              <w:t>4.1.2</w:t>
            </w:r>
            <w:r>
              <w:rPr>
                <w:rFonts w:hint="eastAsia"/>
                <w:color w:val="auto"/>
                <w:highlight w:val="none"/>
                <w:lang w:eastAsia="zh-CN"/>
              </w:rPr>
              <w:t>逆变器应能向任何感性或容性的负荷供电；</w:t>
            </w:r>
          </w:p>
          <w:p>
            <w:pPr>
              <w:rPr>
                <w:color w:val="auto"/>
                <w:highlight w:val="none"/>
                <w:lang w:eastAsia="zh-CN"/>
              </w:rPr>
            </w:pPr>
            <w:r>
              <w:rPr>
                <w:color w:val="auto"/>
                <w:highlight w:val="none"/>
                <w:lang w:eastAsia="zh-CN"/>
              </w:rPr>
              <w:t>6.1.3</w:t>
            </w:r>
            <w:r>
              <w:rPr>
                <w:rFonts w:hint="eastAsia"/>
                <w:color w:val="auto"/>
                <w:highlight w:val="none"/>
                <w:lang w:eastAsia="zh-CN"/>
              </w:rPr>
              <w:t>逆变器的输入回路和输出回路设有熔断器或断路器等过流保护装置，并有指示；</w:t>
            </w:r>
          </w:p>
          <w:p>
            <w:pPr>
              <w:rPr>
                <w:color w:val="auto"/>
                <w:highlight w:val="none"/>
                <w:lang w:eastAsia="zh-CN"/>
              </w:rPr>
            </w:pPr>
            <w:r>
              <w:rPr>
                <w:color w:val="auto"/>
                <w:highlight w:val="none"/>
                <w:lang w:eastAsia="zh-CN"/>
              </w:rPr>
              <w:t>4.1.4</w:t>
            </w:r>
            <w:r>
              <w:rPr>
                <w:rFonts w:hint="eastAsia"/>
                <w:color w:val="auto"/>
                <w:highlight w:val="none"/>
                <w:lang w:eastAsia="zh-CN"/>
              </w:rPr>
              <w:t>在旁路模式中，应保证提供高可靠性的电力供应，具有持久性、可靠性，能够完全避免危险的运行状态；</w:t>
            </w:r>
          </w:p>
          <w:p>
            <w:pPr>
              <w:rPr>
                <w:color w:val="auto"/>
                <w:highlight w:val="none"/>
                <w:lang w:eastAsia="zh-CN"/>
              </w:rPr>
            </w:pPr>
            <w:r>
              <w:rPr>
                <w:color w:val="auto"/>
                <w:highlight w:val="none"/>
                <w:lang w:eastAsia="zh-CN"/>
              </w:rPr>
              <w:t>4.1.5</w:t>
            </w:r>
            <w:r>
              <w:rPr>
                <w:rFonts w:hint="eastAsia"/>
                <w:color w:val="auto"/>
                <w:highlight w:val="none"/>
                <w:lang w:eastAsia="zh-CN"/>
              </w:rPr>
              <w:t>逆变器应设短路保护，并配备隔离变压器。</w:t>
            </w:r>
          </w:p>
          <w:p>
            <w:pPr>
              <w:rPr>
                <w:color w:val="auto"/>
                <w:highlight w:val="none"/>
                <w:lang w:eastAsia="zh-CN"/>
              </w:rPr>
            </w:pPr>
            <w:r>
              <w:rPr>
                <w:color w:val="auto"/>
                <w:highlight w:val="none"/>
                <w:lang w:eastAsia="zh-CN"/>
              </w:rPr>
              <w:t xml:space="preserve">4.2  </w:t>
            </w:r>
            <w:r>
              <w:rPr>
                <w:rFonts w:hint="eastAsia"/>
                <w:color w:val="auto"/>
                <w:highlight w:val="none"/>
                <w:lang w:eastAsia="zh-CN"/>
              </w:rPr>
              <w:t>整流器</w:t>
            </w:r>
            <w:r>
              <w:rPr>
                <w:color w:val="auto"/>
                <w:highlight w:val="none"/>
                <w:lang w:eastAsia="zh-CN"/>
              </w:rPr>
              <w:t>/</w:t>
            </w:r>
            <w:r>
              <w:rPr>
                <w:rFonts w:hint="eastAsia"/>
                <w:color w:val="auto"/>
                <w:highlight w:val="none"/>
                <w:lang w:eastAsia="zh-CN"/>
              </w:rPr>
              <w:t>充电装置：</w:t>
            </w:r>
          </w:p>
          <w:p>
            <w:pPr>
              <w:rPr>
                <w:color w:val="auto"/>
                <w:highlight w:val="none"/>
                <w:lang w:eastAsia="zh-CN"/>
              </w:rPr>
            </w:pPr>
            <w:r>
              <w:rPr>
                <w:color w:val="auto"/>
                <w:highlight w:val="none"/>
                <w:lang w:eastAsia="zh-CN"/>
              </w:rPr>
              <w:t>4.2.1</w:t>
            </w:r>
            <w:r>
              <w:rPr>
                <w:rFonts w:hint="eastAsia"/>
                <w:color w:val="auto"/>
                <w:highlight w:val="none"/>
                <w:lang w:eastAsia="zh-CN"/>
              </w:rPr>
              <w:t>充电模块采用插拔式，具有良好的互换性；</w:t>
            </w:r>
          </w:p>
          <w:p>
            <w:pPr>
              <w:rPr>
                <w:color w:val="auto"/>
                <w:highlight w:val="none"/>
                <w:lang w:eastAsia="zh-CN"/>
              </w:rPr>
            </w:pPr>
            <w:r>
              <w:rPr>
                <w:color w:val="auto"/>
                <w:highlight w:val="none"/>
                <w:lang w:eastAsia="zh-CN"/>
              </w:rPr>
              <w:t>4.2.2</w:t>
            </w:r>
            <w:r>
              <w:rPr>
                <w:rFonts w:hint="eastAsia"/>
                <w:color w:val="auto"/>
                <w:highlight w:val="none"/>
                <w:lang w:eastAsia="zh-CN"/>
              </w:rPr>
              <w:t>充电模块故障不影响其它模块及系统正常工作；</w:t>
            </w:r>
          </w:p>
          <w:p>
            <w:pPr>
              <w:rPr>
                <w:color w:val="auto"/>
                <w:highlight w:val="none"/>
                <w:lang w:eastAsia="zh-CN"/>
              </w:rPr>
            </w:pPr>
            <w:r>
              <w:rPr>
                <w:color w:val="auto"/>
                <w:highlight w:val="none"/>
                <w:lang w:eastAsia="zh-CN"/>
              </w:rPr>
              <w:t>4.2.3</w:t>
            </w:r>
            <w:r>
              <w:rPr>
                <w:rFonts w:hint="eastAsia"/>
                <w:color w:val="auto"/>
                <w:highlight w:val="none"/>
                <w:lang w:eastAsia="zh-CN"/>
              </w:rPr>
              <w:t>充电器具有对电池充电全自动管理功能，并防止对蓄电池过充电的功能；</w:t>
            </w:r>
          </w:p>
          <w:p>
            <w:pPr>
              <w:rPr>
                <w:color w:val="auto"/>
                <w:highlight w:val="none"/>
                <w:lang w:eastAsia="zh-CN"/>
              </w:rPr>
            </w:pPr>
            <w:r>
              <w:rPr>
                <w:color w:val="auto"/>
                <w:highlight w:val="none"/>
                <w:lang w:eastAsia="zh-CN"/>
              </w:rPr>
              <w:t>4.2.4</w:t>
            </w:r>
            <w:r>
              <w:rPr>
                <w:rFonts w:hint="eastAsia"/>
                <w:color w:val="auto"/>
                <w:highlight w:val="none"/>
                <w:lang w:eastAsia="zh-CN"/>
              </w:rPr>
              <w:t>充电装置应具有短路、过流等保护功能。</w:t>
            </w:r>
          </w:p>
          <w:p>
            <w:pPr>
              <w:rPr>
                <w:color w:val="auto"/>
                <w:highlight w:val="none"/>
                <w:lang w:eastAsia="zh-CN"/>
              </w:rPr>
            </w:pPr>
            <w:r>
              <w:rPr>
                <w:color w:val="auto"/>
                <w:highlight w:val="none"/>
                <w:lang w:eastAsia="zh-CN"/>
              </w:rPr>
              <w:t xml:space="preserve">4.3  </w:t>
            </w:r>
            <w:r>
              <w:rPr>
                <w:rFonts w:hint="eastAsia"/>
                <w:color w:val="auto"/>
                <w:highlight w:val="none"/>
                <w:lang w:eastAsia="zh-CN"/>
              </w:rPr>
              <w:t>蓄电池：</w:t>
            </w:r>
          </w:p>
          <w:p>
            <w:pPr>
              <w:rPr>
                <w:color w:val="auto"/>
                <w:highlight w:val="none"/>
                <w:lang w:eastAsia="zh-CN"/>
              </w:rPr>
            </w:pPr>
            <w:r>
              <w:rPr>
                <w:color w:val="auto"/>
                <w:highlight w:val="none"/>
                <w:lang w:eastAsia="zh-CN"/>
              </w:rPr>
              <w:t>4.3.1</w:t>
            </w:r>
            <w:r>
              <w:rPr>
                <w:rFonts w:hint="eastAsia"/>
                <w:color w:val="auto"/>
                <w:highlight w:val="none"/>
                <w:lang w:eastAsia="zh-CN"/>
              </w:rPr>
              <w:t>蓄电池需采用全密封阀控式免维护铅酸蓄电池。</w:t>
            </w:r>
          </w:p>
          <w:p>
            <w:pPr>
              <w:rPr>
                <w:color w:val="auto"/>
                <w:highlight w:val="none"/>
                <w:lang w:eastAsia="zh-CN"/>
              </w:rPr>
            </w:pPr>
            <w:r>
              <w:rPr>
                <w:color w:val="auto"/>
                <w:highlight w:val="none"/>
                <w:lang w:eastAsia="zh-CN"/>
              </w:rPr>
              <w:t>4.3.2</w:t>
            </w:r>
            <w:r>
              <w:rPr>
                <w:rFonts w:hint="eastAsia"/>
                <w:color w:val="auto"/>
                <w:highlight w:val="none"/>
                <w:lang w:eastAsia="zh-CN"/>
              </w:rPr>
              <w:t>蓄电池配置的数量应满足应急供电时间要求，并配备电池自动检测系统。</w:t>
            </w:r>
          </w:p>
          <w:p>
            <w:pPr>
              <w:rPr>
                <w:color w:val="auto"/>
                <w:highlight w:val="none"/>
                <w:lang w:eastAsia="zh-CN"/>
              </w:rPr>
            </w:pPr>
            <w:r>
              <w:rPr>
                <w:color w:val="auto"/>
                <w:highlight w:val="none"/>
                <w:lang w:eastAsia="zh-CN"/>
              </w:rPr>
              <w:t>4.3.3</w:t>
            </w:r>
            <w:r>
              <w:rPr>
                <w:rFonts w:hint="eastAsia"/>
                <w:color w:val="auto"/>
                <w:highlight w:val="none"/>
                <w:lang w:eastAsia="zh-CN"/>
              </w:rPr>
              <w:t>安全使用温度范围：</w:t>
            </w:r>
            <w:r>
              <w:rPr>
                <w:color w:val="auto"/>
                <w:highlight w:val="none"/>
                <w:lang w:eastAsia="zh-CN"/>
              </w:rPr>
              <w:t>0</w:t>
            </w:r>
            <w:r>
              <w:rPr>
                <w:rFonts w:hint="eastAsia"/>
                <w:color w:val="auto"/>
                <w:highlight w:val="none"/>
                <w:lang w:eastAsia="zh-CN"/>
              </w:rPr>
              <w:t>℃～</w:t>
            </w:r>
            <w:r>
              <w:rPr>
                <w:color w:val="auto"/>
                <w:highlight w:val="none"/>
                <w:lang w:eastAsia="zh-CN"/>
              </w:rPr>
              <w:t>45</w:t>
            </w:r>
            <w:r>
              <w:rPr>
                <w:rFonts w:hint="eastAsia"/>
                <w:color w:val="auto"/>
                <w:highlight w:val="none"/>
                <w:lang w:eastAsia="zh-CN"/>
              </w:rPr>
              <w:t>℃</w:t>
            </w:r>
          </w:p>
          <w:p>
            <w:pPr>
              <w:rPr>
                <w:color w:val="auto"/>
                <w:highlight w:val="none"/>
                <w:lang w:eastAsia="zh-CN"/>
              </w:rPr>
            </w:pPr>
            <w:r>
              <w:rPr>
                <w:color w:val="auto"/>
                <w:highlight w:val="none"/>
                <w:lang w:eastAsia="zh-CN"/>
              </w:rPr>
              <w:t>4.3.4</w:t>
            </w:r>
            <w:r>
              <w:rPr>
                <w:rFonts w:hint="eastAsia"/>
                <w:color w:val="auto"/>
                <w:highlight w:val="none"/>
                <w:lang w:eastAsia="zh-CN"/>
              </w:rPr>
              <w:t>密封反应效率不低于</w:t>
            </w:r>
            <w:r>
              <w:rPr>
                <w:color w:val="auto"/>
                <w:highlight w:val="none"/>
                <w:lang w:eastAsia="zh-CN"/>
              </w:rPr>
              <w:t>98%</w:t>
            </w:r>
            <w:r>
              <w:rPr>
                <w:rFonts w:hint="eastAsia"/>
                <w:color w:val="auto"/>
                <w:highlight w:val="none"/>
                <w:lang w:eastAsia="zh-CN"/>
              </w:rPr>
              <w:t>，正常工作无酸雾溢出。</w:t>
            </w:r>
          </w:p>
          <w:p>
            <w:pPr>
              <w:rPr>
                <w:color w:val="auto"/>
                <w:highlight w:val="none"/>
                <w:lang w:eastAsia="zh-CN"/>
              </w:rPr>
            </w:pPr>
            <w:r>
              <w:rPr>
                <w:color w:val="auto"/>
                <w:highlight w:val="none"/>
                <w:lang w:eastAsia="zh-CN"/>
              </w:rPr>
              <w:t>4.3.5</w:t>
            </w:r>
            <w:r>
              <w:rPr>
                <w:rFonts w:hint="eastAsia"/>
                <w:color w:val="auto"/>
                <w:highlight w:val="none"/>
                <w:lang w:eastAsia="zh-CN"/>
              </w:rPr>
              <w:t>电池内阻应较低，能满足立式和卧式安装。</w:t>
            </w:r>
          </w:p>
          <w:p>
            <w:pPr>
              <w:rPr>
                <w:color w:val="auto"/>
                <w:highlight w:val="none"/>
                <w:lang w:eastAsia="zh-CN"/>
              </w:rPr>
            </w:pPr>
            <w:r>
              <w:rPr>
                <w:color w:val="auto"/>
                <w:highlight w:val="none"/>
                <w:lang w:eastAsia="zh-CN"/>
              </w:rPr>
              <w:t>4.4</w:t>
            </w:r>
            <w:r>
              <w:rPr>
                <w:rFonts w:hint="eastAsia"/>
                <w:color w:val="auto"/>
                <w:highlight w:val="none"/>
                <w:lang w:eastAsia="zh-CN"/>
              </w:rPr>
              <w:t>消防系统联动：接受消防系统提供的强切信号。</w:t>
            </w:r>
          </w:p>
          <w:p>
            <w:pPr>
              <w:rPr>
                <w:color w:val="auto"/>
                <w:highlight w:val="none"/>
                <w:lang w:eastAsia="zh-CN"/>
              </w:rPr>
            </w:pPr>
            <w:r>
              <w:rPr>
                <w:color w:val="auto"/>
                <w:highlight w:val="none"/>
                <w:lang w:eastAsia="zh-CN"/>
              </w:rPr>
              <w:t xml:space="preserve">4.5  </w:t>
            </w:r>
            <w:r>
              <w:rPr>
                <w:rFonts w:hint="eastAsia"/>
                <w:color w:val="auto"/>
                <w:highlight w:val="none"/>
                <w:lang w:eastAsia="zh-CN"/>
              </w:rPr>
              <w:t>显示装置</w:t>
            </w:r>
            <w:r>
              <w:rPr>
                <w:color w:val="auto"/>
                <w:highlight w:val="none"/>
                <w:lang w:eastAsia="zh-CN"/>
              </w:rPr>
              <w:t>:</w:t>
            </w:r>
          </w:p>
          <w:p>
            <w:pPr>
              <w:rPr>
                <w:color w:val="auto"/>
                <w:highlight w:val="none"/>
              </w:rPr>
            </w:pPr>
            <w:r>
              <w:rPr>
                <w:color w:val="auto"/>
                <w:highlight w:val="none"/>
                <w:lang w:eastAsia="zh-CN"/>
              </w:rPr>
              <w:t>EPS</w:t>
            </w:r>
            <w:r>
              <w:rPr>
                <w:rFonts w:hint="eastAsia"/>
                <w:color w:val="auto"/>
                <w:highlight w:val="none"/>
                <w:lang w:eastAsia="zh-CN"/>
              </w:rPr>
              <w:t>机柜上应带有</w:t>
            </w:r>
            <w:r>
              <w:rPr>
                <w:color w:val="auto"/>
                <w:highlight w:val="none"/>
                <w:lang w:eastAsia="zh-CN"/>
              </w:rPr>
              <w:t>LED</w:t>
            </w:r>
            <w:r>
              <w:rPr>
                <w:rFonts w:hint="eastAsia"/>
                <w:color w:val="auto"/>
                <w:highlight w:val="none"/>
                <w:lang w:eastAsia="zh-CN"/>
              </w:rPr>
              <w:t>或</w:t>
            </w:r>
            <w:r>
              <w:rPr>
                <w:color w:val="auto"/>
                <w:highlight w:val="none"/>
                <w:lang w:eastAsia="zh-CN"/>
              </w:rPr>
              <w:t>LCD</w:t>
            </w:r>
            <w:r>
              <w:rPr>
                <w:rFonts w:hint="eastAsia"/>
                <w:color w:val="auto"/>
                <w:highlight w:val="none"/>
                <w:lang w:eastAsia="zh-CN"/>
              </w:rPr>
              <w:t>液晶显示屏，可显示以下参数：正常</w:t>
            </w:r>
            <w:r>
              <w:rPr>
                <w:color w:val="auto"/>
                <w:highlight w:val="none"/>
                <w:lang w:eastAsia="zh-CN"/>
              </w:rPr>
              <w:t>/</w:t>
            </w:r>
            <w:r>
              <w:rPr>
                <w:rFonts w:hint="eastAsia"/>
                <w:color w:val="auto"/>
                <w:highlight w:val="none"/>
                <w:lang w:eastAsia="zh-CN"/>
              </w:rPr>
              <w:t>应急工作状态、进线电源相电压、输出相电压</w:t>
            </w:r>
            <w:r>
              <w:rPr>
                <w:color w:val="auto"/>
                <w:highlight w:val="none"/>
                <w:lang w:eastAsia="zh-CN"/>
              </w:rPr>
              <w:t>/</w:t>
            </w:r>
            <w:r>
              <w:rPr>
                <w:rFonts w:hint="eastAsia"/>
                <w:color w:val="auto"/>
                <w:highlight w:val="none"/>
                <w:lang w:eastAsia="zh-CN"/>
              </w:rPr>
              <w:t>三相电流、电池组电压等。</w:t>
            </w:r>
            <w:r>
              <w:rPr>
                <w:rFonts w:hint="eastAsia"/>
                <w:color w:val="auto"/>
                <w:highlight w:val="none"/>
              </w:rPr>
              <w:t>要求测量精确度不低于</w:t>
            </w:r>
            <w:r>
              <w:rPr>
                <w:color w:val="auto"/>
                <w:highlight w:val="none"/>
              </w:rPr>
              <w:t>1.0</w:t>
            </w:r>
            <w:r>
              <w:rPr>
                <w:rFonts w:hint="eastAsia"/>
                <w:color w:val="auto"/>
                <w:highlight w:val="none"/>
              </w:rPr>
              <w:t>级。</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505" w:hRule="atLeast"/>
        </w:trPr>
        <w:tc>
          <w:tcPr>
            <w:tcW w:w="851" w:type="dxa"/>
            <w:vAlign w:val="center"/>
          </w:tcPr>
          <w:p>
            <w:pPr>
              <w:spacing w:line="360" w:lineRule="exact"/>
              <w:rPr>
                <w:color w:val="auto"/>
                <w:highlight w:val="none"/>
                <w:lang w:val="zh-CN"/>
              </w:rPr>
            </w:pPr>
            <w:r>
              <w:rPr>
                <w:color w:val="auto"/>
                <w:highlight w:val="none"/>
                <w:lang w:val="zh-CN"/>
              </w:rPr>
              <w:t>7</w:t>
            </w:r>
          </w:p>
        </w:tc>
        <w:tc>
          <w:tcPr>
            <w:tcW w:w="1417" w:type="dxa"/>
            <w:vAlign w:val="center"/>
          </w:tcPr>
          <w:p>
            <w:pPr>
              <w:spacing w:line="360" w:lineRule="exact"/>
              <w:rPr>
                <w:color w:val="auto"/>
                <w:highlight w:val="none"/>
                <w:lang w:val="zh-CN"/>
              </w:rPr>
            </w:pPr>
            <w:r>
              <w:rPr>
                <w:color w:val="auto"/>
                <w:highlight w:val="none"/>
                <w:lang w:val="zh-CN"/>
              </w:rPr>
              <w:t>开关、插座</w:t>
            </w:r>
          </w:p>
        </w:tc>
        <w:tc>
          <w:tcPr>
            <w:tcW w:w="7230" w:type="dxa"/>
            <w:vAlign w:val="center"/>
          </w:tcPr>
          <w:p>
            <w:pPr>
              <w:spacing w:line="360" w:lineRule="exact"/>
              <w:rPr>
                <w:color w:val="auto"/>
                <w:highlight w:val="none"/>
                <w:lang w:eastAsia="zh-CN"/>
              </w:rPr>
            </w:pPr>
            <w:r>
              <w:rPr>
                <w:color w:val="auto"/>
                <w:highlight w:val="none"/>
                <w:lang w:eastAsia="zh-CN"/>
              </w:rPr>
              <w:t>2、开关、插座采用磷青铜簧片，银或银合金触点。</w:t>
            </w:r>
          </w:p>
          <w:p>
            <w:pPr>
              <w:spacing w:line="360" w:lineRule="exact"/>
              <w:rPr>
                <w:color w:val="auto"/>
                <w:highlight w:val="none"/>
                <w:lang w:eastAsia="zh-CN"/>
              </w:rPr>
            </w:pPr>
            <w:r>
              <w:rPr>
                <w:color w:val="auto"/>
                <w:highlight w:val="none"/>
                <w:lang w:eastAsia="zh-CN"/>
              </w:rPr>
              <w:t>4、插座均带有安全门，安装高度≥1m(相对每层平面)需带有开断功能。</w:t>
            </w:r>
          </w:p>
          <w:p>
            <w:pPr>
              <w:spacing w:line="360" w:lineRule="exact"/>
              <w:rPr>
                <w:color w:val="auto"/>
                <w:highlight w:val="none"/>
                <w:lang w:eastAsia="zh-CN"/>
              </w:rPr>
            </w:pPr>
            <w:r>
              <w:rPr>
                <w:color w:val="auto"/>
                <w:highlight w:val="none"/>
                <w:lang w:eastAsia="zh-CN"/>
              </w:rPr>
              <w:t>5、材料定货前要提供样品，报发包人审批后才能定货。</w:t>
            </w:r>
          </w:p>
          <w:p>
            <w:pPr>
              <w:spacing w:line="360" w:lineRule="exact"/>
              <w:rPr>
                <w:color w:val="auto"/>
                <w:highlight w:val="none"/>
                <w:lang w:eastAsia="zh-CN"/>
              </w:rPr>
            </w:pPr>
            <w:r>
              <w:rPr>
                <w:color w:val="auto"/>
                <w:highlight w:val="none"/>
                <w:lang w:eastAsia="zh-CN"/>
              </w:rPr>
              <w:t>6、插座需满足设计中要求的防护等级。</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00" w:hRule="atLeast"/>
        </w:trPr>
        <w:tc>
          <w:tcPr>
            <w:tcW w:w="851" w:type="dxa"/>
            <w:vAlign w:val="center"/>
          </w:tcPr>
          <w:p>
            <w:pPr>
              <w:rPr>
                <w:color w:val="auto"/>
                <w:highlight w:val="none"/>
              </w:rPr>
            </w:pPr>
            <w:r>
              <w:rPr>
                <w:color w:val="auto"/>
                <w:highlight w:val="none"/>
              </w:rPr>
              <w:t>8</w:t>
            </w:r>
          </w:p>
        </w:tc>
        <w:tc>
          <w:tcPr>
            <w:tcW w:w="1417" w:type="dxa"/>
            <w:vAlign w:val="center"/>
          </w:tcPr>
          <w:p>
            <w:pPr>
              <w:rPr>
                <w:color w:val="auto"/>
                <w:highlight w:val="none"/>
              </w:rPr>
            </w:pPr>
            <w:r>
              <w:rPr>
                <w:rFonts w:hint="eastAsia"/>
                <w:color w:val="auto"/>
                <w:highlight w:val="none"/>
              </w:rPr>
              <w:t>疏散指示灯</w:t>
            </w:r>
          </w:p>
        </w:tc>
        <w:tc>
          <w:tcPr>
            <w:tcW w:w="7230" w:type="dxa"/>
            <w:vAlign w:val="center"/>
          </w:tcPr>
          <w:p>
            <w:pPr>
              <w:rPr>
                <w:color w:val="auto"/>
                <w:highlight w:val="none"/>
                <w:lang w:eastAsia="zh-CN"/>
              </w:rPr>
            </w:pPr>
            <w:r>
              <w:rPr>
                <w:color w:val="auto"/>
                <w:highlight w:val="none"/>
                <w:lang w:eastAsia="zh-CN"/>
              </w:rPr>
              <w:t>2.</w:t>
            </w:r>
            <w:r>
              <w:rPr>
                <w:rFonts w:hint="eastAsia"/>
                <w:color w:val="auto"/>
                <w:highlight w:val="none"/>
                <w:lang w:eastAsia="zh-CN"/>
              </w:rPr>
              <w:t>符合</w:t>
            </w:r>
            <w:r>
              <w:rPr>
                <w:color w:val="auto"/>
                <w:highlight w:val="none"/>
                <w:lang w:eastAsia="zh-CN"/>
              </w:rPr>
              <w:t>GB</w:t>
            </w:r>
            <w:r>
              <w:rPr>
                <w:rFonts w:hint="eastAsia"/>
                <w:color w:val="auto"/>
                <w:highlight w:val="none"/>
                <w:lang w:eastAsia="zh-CN"/>
              </w:rPr>
              <w:t>等中国国家标准。</w:t>
            </w:r>
          </w:p>
          <w:p>
            <w:pPr>
              <w:rPr>
                <w:color w:val="auto"/>
                <w:highlight w:val="none"/>
                <w:lang w:eastAsia="zh-CN"/>
              </w:rPr>
            </w:pPr>
            <w:r>
              <w:rPr>
                <w:color w:val="auto"/>
                <w:highlight w:val="none"/>
                <w:lang w:eastAsia="zh-CN"/>
              </w:rPr>
              <w:t>3.</w:t>
            </w:r>
            <w:r>
              <w:rPr>
                <w:rFonts w:hint="eastAsia"/>
                <w:color w:val="auto"/>
                <w:highlight w:val="none"/>
                <w:lang w:eastAsia="zh-CN"/>
              </w:rPr>
              <w:t>消防标志灯、指示灯取得中国国家消防电子厂品质量监督检验中心的消防产品型式认可证书，并获得“</w:t>
            </w:r>
            <w:r>
              <w:rPr>
                <w:color w:val="auto"/>
                <w:highlight w:val="none"/>
                <w:lang w:eastAsia="zh-CN"/>
              </w:rPr>
              <w:t>3C</w:t>
            </w:r>
            <w:r>
              <w:rPr>
                <w:rFonts w:hint="eastAsia"/>
                <w:color w:val="auto"/>
                <w:highlight w:val="none"/>
                <w:lang w:eastAsia="zh-CN"/>
              </w:rPr>
              <w:t>”认证。</w:t>
            </w:r>
          </w:p>
          <w:p>
            <w:pPr>
              <w:rPr>
                <w:color w:val="auto"/>
                <w:highlight w:val="none"/>
                <w:lang w:eastAsia="zh-CN"/>
              </w:rPr>
            </w:pPr>
            <w:r>
              <w:rPr>
                <w:color w:val="auto"/>
                <w:highlight w:val="none"/>
                <w:lang w:eastAsia="zh-CN"/>
              </w:rPr>
              <w:t>4.</w:t>
            </w:r>
            <w:r>
              <w:rPr>
                <w:rFonts w:hint="eastAsia"/>
                <w:color w:val="auto"/>
                <w:highlight w:val="none"/>
                <w:lang w:eastAsia="zh-CN"/>
              </w:rPr>
              <w:t>外观结构必须紧密、牢固；</w:t>
            </w:r>
          </w:p>
          <w:p>
            <w:pPr>
              <w:rPr>
                <w:color w:val="auto"/>
                <w:highlight w:val="none"/>
                <w:lang w:eastAsia="zh-CN"/>
              </w:rPr>
            </w:pPr>
            <w:r>
              <w:rPr>
                <w:color w:val="auto"/>
                <w:highlight w:val="none"/>
                <w:lang w:eastAsia="zh-CN"/>
              </w:rPr>
              <w:t>5.</w:t>
            </w:r>
            <w:r>
              <w:rPr>
                <w:rFonts w:hint="eastAsia"/>
                <w:color w:val="auto"/>
                <w:highlight w:val="none"/>
                <w:lang w:eastAsia="zh-CN"/>
              </w:rPr>
              <w:t>采用场致发光或</w:t>
            </w:r>
            <w:r>
              <w:rPr>
                <w:color w:val="auto"/>
                <w:highlight w:val="none"/>
                <w:lang w:eastAsia="zh-CN"/>
              </w:rPr>
              <w:t>LED</w:t>
            </w:r>
            <w:r>
              <w:rPr>
                <w:rFonts w:hint="eastAsia"/>
                <w:color w:val="auto"/>
                <w:highlight w:val="none"/>
                <w:lang w:eastAsia="zh-CN"/>
              </w:rPr>
              <w:t>发光标志屏，发光必须均匀、烟雾穿透能力强、视角大。</w:t>
            </w:r>
          </w:p>
          <w:p>
            <w:pPr>
              <w:rPr>
                <w:color w:val="auto"/>
                <w:highlight w:val="none"/>
                <w:lang w:eastAsia="zh-CN"/>
              </w:rPr>
            </w:pPr>
            <w:r>
              <w:rPr>
                <w:color w:val="auto"/>
                <w:highlight w:val="none"/>
                <w:lang w:eastAsia="zh-CN"/>
              </w:rPr>
              <w:t>6.</w:t>
            </w:r>
            <w:r>
              <w:rPr>
                <w:rFonts w:hint="eastAsia"/>
                <w:color w:val="auto"/>
                <w:highlight w:val="none"/>
                <w:lang w:eastAsia="zh-CN"/>
              </w:rPr>
              <w:t>应急组件在断电</w:t>
            </w:r>
            <w:r>
              <w:rPr>
                <w:color w:val="auto"/>
                <w:highlight w:val="none"/>
                <w:lang w:eastAsia="zh-CN"/>
              </w:rPr>
              <w:t>0.1</w:t>
            </w:r>
            <w:r>
              <w:rPr>
                <w:rFonts w:hint="eastAsia"/>
                <w:color w:val="auto"/>
                <w:highlight w:val="none"/>
                <w:lang w:eastAsia="zh-CN"/>
              </w:rPr>
              <w:t>秒内启动应急电源，时间不少于</w:t>
            </w:r>
            <w:r>
              <w:rPr>
                <w:color w:val="auto"/>
                <w:highlight w:val="none"/>
                <w:lang w:eastAsia="zh-CN"/>
              </w:rPr>
              <w:t>90</w:t>
            </w:r>
            <w:r>
              <w:rPr>
                <w:rFonts w:hint="eastAsia"/>
                <w:color w:val="auto"/>
                <w:highlight w:val="none"/>
                <w:lang w:eastAsia="zh-CN"/>
              </w:rPr>
              <w:t>分钟。</w:t>
            </w:r>
          </w:p>
          <w:p>
            <w:pPr>
              <w:rPr>
                <w:color w:val="auto"/>
                <w:highlight w:val="none"/>
                <w:lang w:eastAsia="zh-CN"/>
              </w:rPr>
            </w:pPr>
            <w:r>
              <w:rPr>
                <w:color w:val="auto"/>
                <w:highlight w:val="none"/>
                <w:lang w:eastAsia="zh-CN"/>
              </w:rPr>
              <w:t>7.</w:t>
            </w:r>
            <w:r>
              <w:rPr>
                <w:rFonts w:hint="eastAsia"/>
                <w:color w:val="auto"/>
                <w:highlight w:val="none"/>
                <w:lang w:eastAsia="zh-CN"/>
              </w:rPr>
              <w:t>材料定货前要提供样品，报发包人审批后才能定货。</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00" w:hRule="atLeast"/>
        </w:trPr>
        <w:tc>
          <w:tcPr>
            <w:tcW w:w="851" w:type="dxa"/>
            <w:vAlign w:val="center"/>
          </w:tcPr>
          <w:p>
            <w:pPr>
              <w:rPr>
                <w:color w:val="auto"/>
                <w:highlight w:val="none"/>
              </w:rPr>
            </w:pPr>
            <w:r>
              <w:rPr>
                <w:color w:val="auto"/>
                <w:highlight w:val="none"/>
              </w:rPr>
              <w:t>9</w:t>
            </w:r>
          </w:p>
        </w:tc>
        <w:tc>
          <w:tcPr>
            <w:tcW w:w="1417" w:type="dxa"/>
            <w:vAlign w:val="center"/>
          </w:tcPr>
          <w:p>
            <w:pPr>
              <w:rPr>
                <w:color w:val="auto"/>
                <w:highlight w:val="none"/>
              </w:rPr>
            </w:pPr>
            <w:r>
              <w:rPr>
                <w:rFonts w:hint="eastAsia"/>
                <w:color w:val="auto"/>
                <w:highlight w:val="none"/>
              </w:rPr>
              <w:t>应急照明灯具</w:t>
            </w:r>
          </w:p>
        </w:tc>
        <w:tc>
          <w:tcPr>
            <w:tcW w:w="7230" w:type="dxa"/>
            <w:vAlign w:val="center"/>
          </w:tcPr>
          <w:p>
            <w:pPr>
              <w:rPr>
                <w:color w:val="auto"/>
                <w:highlight w:val="none"/>
                <w:lang w:eastAsia="zh-CN"/>
              </w:rPr>
            </w:pPr>
            <w:r>
              <w:rPr>
                <w:rFonts w:hint="eastAsia"/>
                <w:color w:val="auto"/>
                <w:highlight w:val="none"/>
                <w:lang w:eastAsia="zh-CN"/>
              </w:rPr>
              <w:t>满足消防部门的验收要求。</w:t>
            </w:r>
          </w:p>
          <w:p>
            <w:pPr>
              <w:rPr>
                <w:color w:val="auto"/>
                <w:highlight w:val="none"/>
                <w:lang w:eastAsia="zh-CN"/>
              </w:rPr>
            </w:pPr>
            <w:r>
              <w:rPr>
                <w:color w:val="auto"/>
                <w:highlight w:val="none"/>
                <w:lang w:eastAsia="zh-CN"/>
              </w:rPr>
              <w:t>1</w:t>
            </w:r>
            <w:r>
              <w:rPr>
                <w:rFonts w:hint="eastAsia"/>
                <w:color w:val="auto"/>
                <w:highlight w:val="none"/>
                <w:lang w:eastAsia="zh-CN"/>
              </w:rPr>
              <w:t>、电子应急组件</w:t>
            </w:r>
          </w:p>
          <w:p>
            <w:pPr>
              <w:rPr>
                <w:color w:val="auto"/>
                <w:highlight w:val="none"/>
                <w:lang w:eastAsia="zh-CN"/>
              </w:rPr>
            </w:pPr>
            <w:r>
              <w:rPr>
                <w:rFonts w:hint="eastAsia"/>
                <w:color w:val="auto"/>
                <w:highlight w:val="none"/>
                <w:lang w:eastAsia="zh-CN"/>
              </w:rPr>
              <w:t>加装应急组件后，不应影响照明灯具的性能及正常使用；</w:t>
            </w:r>
          </w:p>
          <w:p>
            <w:pPr>
              <w:rPr>
                <w:color w:val="auto"/>
                <w:highlight w:val="none"/>
                <w:lang w:eastAsia="zh-CN"/>
              </w:rPr>
            </w:pPr>
            <w:r>
              <w:rPr>
                <w:rFonts w:hint="eastAsia"/>
                <w:color w:val="auto"/>
                <w:highlight w:val="none"/>
                <w:lang w:eastAsia="zh-CN"/>
              </w:rPr>
              <w:t>当正常供电中断后，加装了应急组件的灯具能在断电后</w:t>
            </w:r>
            <w:r>
              <w:rPr>
                <w:color w:val="auto"/>
                <w:highlight w:val="none"/>
                <w:lang w:eastAsia="zh-CN"/>
              </w:rPr>
              <w:t>0.1</w:t>
            </w:r>
            <w:r>
              <w:rPr>
                <w:rFonts w:hint="eastAsia"/>
                <w:color w:val="auto"/>
                <w:highlight w:val="none"/>
                <w:lang w:eastAsia="zh-CN"/>
              </w:rPr>
              <w:t>秒内起动应急电源，并维持</w:t>
            </w:r>
            <w:r>
              <w:rPr>
                <w:color w:val="auto"/>
                <w:highlight w:val="none"/>
                <w:lang w:eastAsia="zh-CN"/>
              </w:rPr>
              <w:t>90</w:t>
            </w:r>
            <w:r>
              <w:rPr>
                <w:rFonts w:hint="eastAsia"/>
                <w:color w:val="auto"/>
                <w:highlight w:val="none"/>
                <w:lang w:eastAsia="zh-CN"/>
              </w:rPr>
              <w:t>分钟以上的应急照明时间。</w:t>
            </w:r>
          </w:p>
          <w:p>
            <w:pPr>
              <w:rPr>
                <w:color w:val="auto"/>
                <w:highlight w:val="none"/>
                <w:lang w:eastAsia="zh-CN"/>
              </w:rPr>
            </w:pPr>
            <w:r>
              <w:rPr>
                <w:rFonts w:hint="eastAsia"/>
                <w:color w:val="auto"/>
                <w:highlight w:val="none"/>
                <w:lang w:eastAsia="zh-CN"/>
              </w:rPr>
              <w:t>应急组件应设有自动调压充电、过放电保护和空载保护等保护。</w:t>
            </w:r>
          </w:p>
          <w:p>
            <w:pPr>
              <w:rPr>
                <w:color w:val="auto"/>
                <w:highlight w:val="none"/>
                <w:lang w:eastAsia="zh-CN"/>
              </w:rPr>
            </w:pPr>
            <w:r>
              <w:rPr>
                <w:rFonts w:hint="eastAsia"/>
                <w:color w:val="auto"/>
                <w:highlight w:val="none"/>
                <w:lang w:eastAsia="zh-CN"/>
              </w:rPr>
              <w:t>应急组件采用浮充形式，自动恒流充电。</w:t>
            </w:r>
          </w:p>
          <w:p>
            <w:pPr>
              <w:rPr>
                <w:color w:val="auto"/>
                <w:highlight w:val="none"/>
                <w:lang w:eastAsia="zh-CN"/>
              </w:rPr>
            </w:pPr>
            <w:r>
              <w:rPr>
                <w:rFonts w:hint="eastAsia"/>
                <w:color w:val="auto"/>
                <w:highlight w:val="none"/>
                <w:lang w:eastAsia="zh-CN"/>
              </w:rPr>
              <w:t>应急组件的输入电流总谐波失真度</w:t>
            </w:r>
            <w:r>
              <w:rPr>
                <w:color w:val="auto"/>
                <w:highlight w:val="none"/>
                <w:lang w:eastAsia="zh-CN"/>
              </w:rPr>
              <w:t>THD</w:t>
            </w:r>
            <w:r>
              <w:rPr>
                <w:rFonts w:hint="eastAsia"/>
                <w:color w:val="auto"/>
                <w:highlight w:val="none"/>
                <w:lang w:eastAsia="zh-CN"/>
              </w:rPr>
              <w:t>≤</w:t>
            </w:r>
            <w:r>
              <w:rPr>
                <w:color w:val="auto"/>
                <w:highlight w:val="none"/>
                <w:lang w:eastAsia="zh-CN"/>
              </w:rPr>
              <w:t>28%</w:t>
            </w:r>
            <w:r>
              <w:rPr>
                <w:rFonts w:hint="eastAsia"/>
                <w:color w:val="auto"/>
                <w:highlight w:val="none"/>
                <w:lang w:eastAsia="zh-CN"/>
              </w:rPr>
              <w:t>。</w:t>
            </w:r>
          </w:p>
          <w:p>
            <w:pPr>
              <w:rPr>
                <w:color w:val="auto"/>
                <w:highlight w:val="none"/>
                <w:lang w:eastAsia="zh-CN"/>
              </w:rPr>
            </w:pPr>
            <w:r>
              <w:rPr>
                <w:rFonts w:hint="eastAsia"/>
                <w:color w:val="auto"/>
                <w:highlight w:val="none"/>
                <w:lang w:eastAsia="zh-CN"/>
              </w:rPr>
              <w:t>电子应急组件应通过中国国家消防电子厂品质量监督检验中心的型式检测。</w:t>
            </w:r>
          </w:p>
          <w:p>
            <w:pPr>
              <w:rPr>
                <w:color w:val="auto"/>
                <w:highlight w:val="none"/>
                <w:lang w:eastAsia="zh-CN"/>
              </w:rPr>
            </w:pPr>
            <w:r>
              <w:rPr>
                <w:rFonts w:hint="eastAsia"/>
                <w:color w:val="auto"/>
                <w:highlight w:val="none"/>
                <w:lang w:eastAsia="zh-CN"/>
              </w:rPr>
              <w:t>应急组件符合</w:t>
            </w:r>
            <w:r>
              <w:rPr>
                <w:color w:val="auto"/>
                <w:highlight w:val="none"/>
                <w:lang w:eastAsia="zh-CN"/>
              </w:rPr>
              <w:t>GB17945</w:t>
            </w:r>
            <w:r>
              <w:rPr>
                <w:rFonts w:hint="eastAsia"/>
                <w:color w:val="auto"/>
                <w:highlight w:val="none"/>
                <w:lang w:eastAsia="zh-CN"/>
              </w:rPr>
              <w:t>、</w:t>
            </w:r>
            <w:r>
              <w:rPr>
                <w:color w:val="auto"/>
                <w:highlight w:val="none"/>
                <w:lang w:eastAsia="zh-CN"/>
              </w:rPr>
              <w:t>GB7000</w:t>
            </w:r>
            <w:r>
              <w:rPr>
                <w:rFonts w:hint="eastAsia"/>
                <w:color w:val="auto"/>
                <w:highlight w:val="none"/>
                <w:lang w:eastAsia="zh-CN"/>
              </w:rPr>
              <w:t>等国家标准。</w:t>
            </w:r>
          </w:p>
          <w:p>
            <w:pPr>
              <w:rPr>
                <w:color w:val="auto"/>
                <w:highlight w:val="none"/>
                <w:lang w:eastAsia="zh-CN"/>
              </w:rPr>
            </w:pPr>
            <w:r>
              <w:rPr>
                <w:color w:val="auto"/>
                <w:highlight w:val="none"/>
                <w:lang w:eastAsia="zh-CN"/>
              </w:rPr>
              <w:t>2</w:t>
            </w:r>
            <w:r>
              <w:rPr>
                <w:rFonts w:hint="eastAsia"/>
                <w:color w:val="auto"/>
                <w:highlight w:val="none"/>
                <w:lang w:eastAsia="zh-CN"/>
              </w:rPr>
              <w:t>、消防应急灯具</w:t>
            </w:r>
          </w:p>
          <w:p>
            <w:pPr>
              <w:rPr>
                <w:color w:val="auto"/>
                <w:highlight w:val="none"/>
                <w:lang w:eastAsia="zh-CN"/>
              </w:rPr>
            </w:pPr>
            <w:r>
              <w:rPr>
                <w:rFonts w:hint="eastAsia"/>
                <w:color w:val="auto"/>
                <w:highlight w:val="none"/>
                <w:lang w:eastAsia="zh-CN"/>
              </w:rPr>
              <w:t>消防应急灯具应符合</w:t>
            </w:r>
            <w:r>
              <w:rPr>
                <w:color w:val="auto"/>
                <w:highlight w:val="none"/>
                <w:lang w:eastAsia="zh-CN"/>
              </w:rPr>
              <w:t>GB7000</w:t>
            </w:r>
            <w:r>
              <w:rPr>
                <w:rFonts w:hint="eastAsia"/>
                <w:color w:val="auto"/>
                <w:highlight w:val="none"/>
                <w:lang w:eastAsia="zh-CN"/>
              </w:rPr>
              <w:t>、</w:t>
            </w:r>
            <w:r>
              <w:rPr>
                <w:color w:val="auto"/>
                <w:highlight w:val="none"/>
                <w:lang w:eastAsia="zh-CN"/>
              </w:rPr>
              <w:t>GB7001</w:t>
            </w:r>
            <w:r>
              <w:rPr>
                <w:rFonts w:hint="eastAsia"/>
                <w:color w:val="auto"/>
                <w:highlight w:val="none"/>
                <w:lang w:eastAsia="zh-CN"/>
              </w:rPr>
              <w:t>、</w:t>
            </w:r>
            <w:r>
              <w:rPr>
                <w:color w:val="auto"/>
                <w:highlight w:val="none"/>
                <w:lang w:eastAsia="zh-CN"/>
              </w:rPr>
              <w:t>GB9467</w:t>
            </w:r>
            <w:r>
              <w:rPr>
                <w:rFonts w:hint="eastAsia"/>
                <w:color w:val="auto"/>
                <w:highlight w:val="none"/>
                <w:lang w:eastAsia="zh-CN"/>
              </w:rPr>
              <w:t>、</w:t>
            </w:r>
            <w:r>
              <w:rPr>
                <w:color w:val="auto"/>
                <w:highlight w:val="none"/>
                <w:lang w:eastAsia="zh-CN"/>
              </w:rPr>
              <w:t>GB13495</w:t>
            </w:r>
            <w:r>
              <w:rPr>
                <w:rFonts w:hint="eastAsia"/>
                <w:color w:val="auto"/>
                <w:highlight w:val="none"/>
                <w:lang w:eastAsia="zh-CN"/>
              </w:rPr>
              <w:t>和</w:t>
            </w:r>
            <w:r>
              <w:rPr>
                <w:color w:val="auto"/>
                <w:highlight w:val="none"/>
                <w:lang w:eastAsia="zh-CN"/>
              </w:rPr>
              <w:t>GB2423</w:t>
            </w:r>
            <w:r>
              <w:rPr>
                <w:rFonts w:hint="eastAsia"/>
                <w:color w:val="auto"/>
                <w:highlight w:val="none"/>
                <w:lang w:eastAsia="zh-CN"/>
              </w:rPr>
              <w:t>等国家标准。</w:t>
            </w:r>
          </w:p>
          <w:p>
            <w:pPr>
              <w:rPr>
                <w:color w:val="auto"/>
                <w:highlight w:val="none"/>
                <w:lang w:eastAsia="zh-CN"/>
              </w:rPr>
            </w:pPr>
            <w:r>
              <w:rPr>
                <w:rFonts w:hint="eastAsia"/>
                <w:color w:val="auto"/>
                <w:highlight w:val="none"/>
                <w:lang w:eastAsia="zh-CN"/>
              </w:rPr>
              <w:t>消防应急灯具能在断电后</w:t>
            </w:r>
            <w:r>
              <w:rPr>
                <w:color w:val="auto"/>
                <w:highlight w:val="none"/>
                <w:lang w:eastAsia="zh-CN"/>
              </w:rPr>
              <w:t>0.1</w:t>
            </w:r>
            <w:r>
              <w:rPr>
                <w:rFonts w:hint="eastAsia"/>
                <w:color w:val="auto"/>
                <w:highlight w:val="none"/>
                <w:lang w:eastAsia="zh-CN"/>
              </w:rPr>
              <w:t>秒内起动应急电源，并维持</w:t>
            </w:r>
            <w:r>
              <w:rPr>
                <w:color w:val="auto"/>
                <w:highlight w:val="none"/>
                <w:lang w:eastAsia="zh-CN"/>
              </w:rPr>
              <w:t>90</w:t>
            </w:r>
            <w:r>
              <w:rPr>
                <w:rFonts w:hint="eastAsia"/>
                <w:color w:val="auto"/>
                <w:highlight w:val="none"/>
                <w:lang w:eastAsia="zh-CN"/>
              </w:rPr>
              <w:t>分钟以上的应急照明时间。</w:t>
            </w:r>
          </w:p>
          <w:p>
            <w:pPr>
              <w:rPr>
                <w:color w:val="auto"/>
                <w:highlight w:val="none"/>
                <w:lang w:eastAsia="zh-CN"/>
              </w:rPr>
            </w:pPr>
          </w:p>
          <w:p>
            <w:pPr>
              <w:rPr>
                <w:color w:val="auto"/>
                <w:highlight w:val="none"/>
                <w:lang w:eastAsia="zh-CN"/>
              </w:rPr>
            </w:pPr>
            <w:r>
              <w:rPr>
                <w:rFonts w:hint="eastAsia"/>
                <w:color w:val="auto"/>
                <w:highlight w:val="none"/>
                <w:lang w:eastAsia="zh-CN"/>
              </w:rPr>
              <w:t>自带电源型消防应急照明灯具应设置等待、充电、故障状态指示灯。等待状态用不着红色，充电状态用绿色，故障状态用黄色。</w:t>
            </w:r>
          </w:p>
          <w:p>
            <w:pPr>
              <w:rPr>
                <w:color w:val="auto"/>
                <w:highlight w:val="none"/>
                <w:lang w:eastAsia="zh-CN"/>
              </w:rPr>
            </w:pPr>
            <w:r>
              <w:rPr>
                <w:rFonts w:hint="eastAsia"/>
                <w:color w:val="auto"/>
                <w:highlight w:val="none"/>
                <w:lang w:eastAsia="zh-CN"/>
              </w:rPr>
              <w:t>标志灯的表面最小亮度不应小于</w:t>
            </w:r>
            <w:r>
              <w:rPr>
                <w:color w:val="auto"/>
                <w:highlight w:val="none"/>
                <w:lang w:eastAsia="zh-CN"/>
              </w:rPr>
              <w:t>15cd/m2</w:t>
            </w:r>
            <w:r>
              <w:rPr>
                <w:rFonts w:hint="eastAsia"/>
                <w:color w:val="auto"/>
                <w:highlight w:val="none"/>
                <w:lang w:eastAsia="zh-CN"/>
              </w:rPr>
              <w:t>，最大亮度不应大于</w:t>
            </w:r>
            <w:r>
              <w:rPr>
                <w:color w:val="auto"/>
                <w:highlight w:val="none"/>
                <w:lang w:eastAsia="zh-CN"/>
              </w:rPr>
              <w:t>300cd/m2</w:t>
            </w:r>
            <w:r>
              <w:rPr>
                <w:rFonts w:hint="eastAsia"/>
                <w:color w:val="auto"/>
                <w:highlight w:val="none"/>
                <w:lang w:eastAsia="zh-CN"/>
              </w:rPr>
              <w:t>，且最大亮度与最小亮度比不大于</w:t>
            </w:r>
            <w:r>
              <w:rPr>
                <w:color w:val="auto"/>
                <w:highlight w:val="none"/>
                <w:lang w:eastAsia="zh-CN"/>
              </w:rPr>
              <w:t>10:1</w:t>
            </w:r>
            <w:r>
              <w:rPr>
                <w:rFonts w:hint="eastAsia"/>
                <w:color w:val="auto"/>
                <w:highlight w:val="none"/>
                <w:lang w:eastAsia="zh-CN"/>
              </w:rPr>
              <w:t>，图形和文字点亮时为透光部（黄绿色），其余全部墨绿色（不透光）。</w:t>
            </w:r>
          </w:p>
          <w:p>
            <w:pPr>
              <w:rPr>
                <w:color w:val="auto"/>
                <w:highlight w:val="none"/>
                <w:lang w:eastAsia="zh-CN"/>
              </w:rPr>
            </w:pPr>
            <w:r>
              <w:rPr>
                <w:rFonts w:hint="eastAsia"/>
                <w:color w:val="auto"/>
                <w:highlight w:val="none"/>
                <w:lang w:eastAsia="zh-CN"/>
              </w:rPr>
              <w:t>疏散照明灯从交流电源转到应急电源供电时，其光通量应不低于光源在额定电压时光通量的</w:t>
            </w:r>
            <w:r>
              <w:rPr>
                <w:color w:val="auto"/>
                <w:highlight w:val="none"/>
                <w:lang w:eastAsia="zh-CN"/>
              </w:rPr>
              <w:t>70%</w:t>
            </w:r>
            <w:r>
              <w:rPr>
                <w:rFonts w:hint="eastAsia"/>
                <w:color w:val="auto"/>
                <w:highlight w:val="none"/>
                <w:lang w:eastAsia="zh-CN"/>
              </w:rPr>
              <w:t>。</w:t>
            </w:r>
          </w:p>
          <w:p>
            <w:pPr>
              <w:rPr>
                <w:color w:val="auto"/>
                <w:highlight w:val="none"/>
                <w:lang w:eastAsia="zh-CN"/>
              </w:rPr>
            </w:pPr>
            <w:r>
              <w:rPr>
                <w:rFonts w:hint="eastAsia"/>
                <w:color w:val="auto"/>
                <w:highlight w:val="none"/>
                <w:lang w:eastAsia="zh-CN"/>
              </w:rPr>
              <w:t>消防应急照明灯具应设有短路保护和模拟交流电源供电故障的试验无锁按钮，但不应设其他开关。</w:t>
            </w:r>
          </w:p>
          <w:p>
            <w:pPr>
              <w:rPr>
                <w:color w:val="auto"/>
                <w:highlight w:val="none"/>
                <w:lang w:eastAsia="zh-CN"/>
              </w:rPr>
            </w:pPr>
            <w:r>
              <w:rPr>
                <w:rFonts w:hint="eastAsia"/>
                <w:color w:val="auto"/>
                <w:highlight w:val="none"/>
                <w:lang w:eastAsia="zh-CN"/>
              </w:rPr>
              <w:t>电池的再充电时间应不大于</w:t>
            </w:r>
            <w:r>
              <w:rPr>
                <w:color w:val="auto"/>
                <w:highlight w:val="none"/>
                <w:lang w:eastAsia="zh-CN"/>
              </w:rPr>
              <w:t>24h</w:t>
            </w:r>
            <w:r>
              <w:rPr>
                <w:rFonts w:hint="eastAsia"/>
                <w:color w:val="auto"/>
                <w:highlight w:val="none"/>
                <w:lang w:eastAsia="zh-CN"/>
              </w:rPr>
              <w:t>，应设有自动调压充电、过放电保护和空载保护等保护。</w:t>
            </w:r>
          </w:p>
          <w:p>
            <w:pPr>
              <w:rPr>
                <w:color w:val="auto"/>
                <w:highlight w:val="none"/>
                <w:lang w:eastAsia="zh-CN"/>
              </w:rPr>
            </w:pPr>
            <w:r>
              <w:rPr>
                <w:rFonts w:hint="eastAsia"/>
                <w:color w:val="auto"/>
                <w:highlight w:val="none"/>
                <w:lang w:eastAsia="zh-CN"/>
              </w:rPr>
              <w:t>消防应急照明灯具的交流电源输入端与壳体之间的绝缘电阻应不小于</w:t>
            </w:r>
            <w:r>
              <w:rPr>
                <w:color w:val="auto"/>
                <w:highlight w:val="none"/>
                <w:lang w:eastAsia="zh-CN"/>
              </w:rPr>
              <w:t>500M</w:t>
            </w:r>
            <w:r>
              <w:rPr>
                <w:rFonts w:hint="eastAsia"/>
                <w:color w:val="auto"/>
                <w:highlight w:val="none"/>
              </w:rPr>
              <w:t>Ω</w:t>
            </w:r>
            <w:r>
              <w:rPr>
                <w:rFonts w:hint="eastAsia"/>
                <w:color w:val="auto"/>
                <w:highlight w:val="none"/>
                <w:lang w:eastAsia="zh-CN"/>
              </w:rPr>
              <w:t>，有绝缘要求的外部带电端子与壳体之间的绝缘电阻应不小于</w:t>
            </w:r>
            <w:r>
              <w:rPr>
                <w:color w:val="auto"/>
                <w:highlight w:val="none"/>
                <w:lang w:eastAsia="zh-CN"/>
              </w:rPr>
              <w:t>20 M</w:t>
            </w:r>
            <w:r>
              <w:rPr>
                <w:rFonts w:hint="eastAsia"/>
                <w:color w:val="auto"/>
                <w:highlight w:val="none"/>
              </w:rPr>
              <w:t>Ω</w:t>
            </w:r>
            <w:r>
              <w:rPr>
                <w:rFonts w:hint="eastAsia"/>
                <w:color w:val="auto"/>
                <w:highlight w:val="none"/>
                <w:lang w:eastAsia="zh-CN"/>
              </w:rPr>
              <w:t>。</w:t>
            </w:r>
          </w:p>
          <w:p>
            <w:pPr>
              <w:rPr>
                <w:color w:val="auto"/>
                <w:highlight w:val="none"/>
                <w:lang w:eastAsia="zh-CN"/>
              </w:rPr>
            </w:pPr>
            <w:r>
              <w:rPr>
                <w:rFonts w:hint="eastAsia"/>
                <w:color w:val="auto"/>
                <w:highlight w:val="none"/>
                <w:lang w:eastAsia="zh-CN"/>
              </w:rPr>
              <w:t>消防应急照明灯具外壳、灯罩应选用非燃烧材料制造。内部连接线宜采用耐温大于</w:t>
            </w:r>
            <w:r>
              <w:rPr>
                <w:color w:val="auto"/>
                <w:highlight w:val="none"/>
                <w:lang w:eastAsia="zh-CN"/>
              </w:rPr>
              <w:t>105</w:t>
            </w:r>
            <w:r>
              <w:rPr>
                <w:rFonts w:hint="eastAsia"/>
                <w:color w:val="auto"/>
                <w:highlight w:val="none"/>
                <w:lang w:eastAsia="zh-CN"/>
              </w:rPr>
              <w:t>℃的阻燃导线。</w:t>
            </w:r>
          </w:p>
          <w:p>
            <w:pPr>
              <w:rPr>
                <w:color w:val="auto"/>
                <w:highlight w:val="none"/>
                <w:lang w:eastAsia="zh-CN"/>
              </w:rPr>
            </w:pPr>
            <w:r>
              <w:rPr>
                <w:rFonts w:hint="eastAsia"/>
                <w:color w:val="auto"/>
                <w:highlight w:val="none"/>
                <w:lang w:eastAsia="zh-CN"/>
              </w:rPr>
              <w:t>消防应急照明灯具应有清晰、耐久的标志，包括产品标志和质量检验标志。</w:t>
            </w:r>
          </w:p>
          <w:p>
            <w:pPr>
              <w:rPr>
                <w:color w:val="auto"/>
                <w:highlight w:val="none"/>
                <w:lang w:eastAsia="zh-CN"/>
              </w:rPr>
            </w:pPr>
            <w:r>
              <w:rPr>
                <w:rFonts w:hint="eastAsia"/>
                <w:color w:val="auto"/>
                <w:highlight w:val="none"/>
                <w:lang w:eastAsia="zh-CN"/>
              </w:rPr>
              <w:t>材料订货前要求提供样品，报招标人、设计、监理确认后方可订货。</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00" w:hRule="atLeast"/>
        </w:trPr>
        <w:tc>
          <w:tcPr>
            <w:tcW w:w="851" w:type="dxa"/>
            <w:vAlign w:val="center"/>
          </w:tcPr>
          <w:p>
            <w:pPr>
              <w:spacing w:line="360" w:lineRule="exact"/>
              <w:rPr>
                <w:color w:val="auto"/>
                <w:highlight w:val="none"/>
                <w:lang w:val="zh-CN"/>
              </w:rPr>
            </w:pPr>
            <w:r>
              <w:rPr>
                <w:color w:val="auto"/>
                <w:highlight w:val="none"/>
                <w:lang w:val="zh-CN"/>
              </w:rPr>
              <w:t>10</w:t>
            </w:r>
          </w:p>
        </w:tc>
        <w:tc>
          <w:tcPr>
            <w:tcW w:w="1417" w:type="dxa"/>
            <w:vAlign w:val="center"/>
          </w:tcPr>
          <w:p>
            <w:pPr>
              <w:spacing w:line="360" w:lineRule="exact"/>
              <w:rPr>
                <w:color w:val="auto"/>
                <w:highlight w:val="none"/>
                <w:lang w:val="zh-CN"/>
              </w:rPr>
            </w:pPr>
            <w:r>
              <w:rPr>
                <w:color w:val="auto"/>
                <w:highlight w:val="none"/>
                <w:lang w:val="zh-CN"/>
              </w:rPr>
              <w:t>照明灯具、光源</w:t>
            </w:r>
          </w:p>
        </w:tc>
        <w:tc>
          <w:tcPr>
            <w:tcW w:w="7230" w:type="dxa"/>
            <w:vAlign w:val="center"/>
          </w:tcPr>
          <w:p>
            <w:pPr>
              <w:spacing w:line="360" w:lineRule="exact"/>
              <w:ind w:firstLine="420"/>
              <w:rPr>
                <w:color w:val="auto"/>
                <w:highlight w:val="none"/>
                <w:lang w:eastAsia="zh-CN"/>
              </w:rPr>
            </w:pPr>
            <w:r>
              <w:rPr>
                <w:color w:val="auto"/>
                <w:highlight w:val="none"/>
                <w:lang w:eastAsia="zh-CN"/>
              </w:rPr>
              <w:t xml:space="preserve">1 </w:t>
            </w:r>
            <w:r>
              <w:rPr>
                <w:rFonts w:hint="eastAsia"/>
                <w:color w:val="auto"/>
                <w:highlight w:val="none"/>
                <w:lang w:eastAsia="zh-CN"/>
              </w:rPr>
              <w:t>基本要求（款式、色温、功率、效率、光通量、尺寸）</w:t>
            </w:r>
          </w:p>
          <w:p>
            <w:pPr>
              <w:spacing w:line="360" w:lineRule="exact"/>
              <w:ind w:firstLine="420"/>
              <w:rPr>
                <w:color w:val="auto"/>
                <w:highlight w:val="none"/>
                <w:lang w:eastAsia="zh-CN"/>
              </w:rPr>
            </w:pPr>
            <w:r>
              <w:rPr>
                <w:color w:val="auto"/>
                <w:highlight w:val="none"/>
                <w:lang w:eastAsia="zh-CN"/>
              </w:rPr>
              <w:t>1.1灯具、LED芯片应满足品牌参考范围要求</w:t>
            </w:r>
          </w:p>
          <w:p>
            <w:pPr>
              <w:spacing w:line="360" w:lineRule="exact"/>
              <w:ind w:firstLine="420"/>
              <w:rPr>
                <w:color w:val="auto"/>
                <w:highlight w:val="none"/>
                <w:lang w:eastAsia="zh-CN"/>
              </w:rPr>
            </w:pPr>
            <w:r>
              <w:rPr>
                <w:color w:val="auto"/>
                <w:highlight w:val="none"/>
                <w:lang w:eastAsia="zh-CN"/>
              </w:rPr>
              <w:t>1.2照明灯具的防护等级不低于IP20；</w:t>
            </w:r>
          </w:p>
          <w:p>
            <w:pPr>
              <w:spacing w:line="360" w:lineRule="exact"/>
              <w:ind w:firstLine="420"/>
              <w:rPr>
                <w:color w:val="auto"/>
                <w:highlight w:val="none"/>
                <w:lang w:eastAsia="zh-CN"/>
              </w:rPr>
            </w:pPr>
            <w:r>
              <w:rPr>
                <w:color w:val="auto"/>
                <w:highlight w:val="none"/>
                <w:lang w:eastAsia="zh-CN"/>
              </w:rPr>
              <w:t>1.3灯具外壳有单独的接地端子，且接地牢固。</w:t>
            </w:r>
          </w:p>
          <w:p>
            <w:pPr>
              <w:spacing w:line="360" w:lineRule="exact"/>
              <w:ind w:firstLine="420"/>
              <w:rPr>
                <w:color w:val="auto"/>
                <w:highlight w:val="none"/>
                <w:lang w:eastAsia="zh-CN"/>
              </w:rPr>
            </w:pPr>
            <w:r>
              <w:rPr>
                <w:color w:val="auto"/>
                <w:highlight w:val="none"/>
                <w:lang w:eastAsia="zh-CN"/>
              </w:rPr>
              <w:t>1.4选用高效节能灯具。</w:t>
            </w:r>
          </w:p>
          <w:p>
            <w:pPr>
              <w:spacing w:line="360" w:lineRule="exact"/>
              <w:ind w:firstLine="420"/>
              <w:rPr>
                <w:color w:val="auto"/>
                <w:highlight w:val="none"/>
                <w:lang w:eastAsia="zh-CN"/>
              </w:rPr>
            </w:pPr>
            <w:r>
              <w:rPr>
                <w:color w:val="auto"/>
                <w:highlight w:val="none"/>
                <w:lang w:eastAsia="zh-CN"/>
              </w:rPr>
              <w:t>1.5支架灯、灯盘采用稀土三基色直管荧光灯，选用电子镇流器。</w:t>
            </w:r>
          </w:p>
          <w:p>
            <w:pPr>
              <w:spacing w:line="360" w:lineRule="exact"/>
              <w:ind w:firstLine="420"/>
              <w:rPr>
                <w:color w:val="auto"/>
                <w:highlight w:val="none"/>
                <w:lang w:eastAsia="zh-CN"/>
              </w:rPr>
            </w:pPr>
            <w:r>
              <w:rPr>
                <w:color w:val="auto"/>
                <w:highlight w:val="none"/>
                <w:lang w:eastAsia="zh-CN"/>
              </w:rPr>
              <w:t>1.6 LED芯片或模组采用品牌参考范围的原厂封装产品，并提供光源及模组的检测报告以保证可靠性，以及LED光源或模组的原厂技术规格书。</w:t>
            </w:r>
          </w:p>
          <w:p>
            <w:pPr>
              <w:spacing w:line="360" w:lineRule="exact"/>
              <w:ind w:firstLine="420"/>
              <w:rPr>
                <w:color w:val="auto"/>
                <w:highlight w:val="none"/>
                <w:lang w:eastAsia="zh-CN"/>
              </w:rPr>
            </w:pPr>
            <w:r>
              <w:rPr>
                <w:color w:val="auto"/>
                <w:highlight w:val="none"/>
                <w:lang w:eastAsia="zh-CN"/>
              </w:rPr>
              <w:t xml:space="preserve">2、 </w:t>
            </w:r>
            <w:r>
              <w:rPr>
                <w:rFonts w:hint="eastAsia"/>
                <w:color w:val="auto"/>
                <w:highlight w:val="none"/>
                <w:lang w:eastAsia="zh-CN"/>
              </w:rPr>
              <w:t>照明灯具的要求</w:t>
            </w:r>
          </w:p>
          <w:p>
            <w:pPr>
              <w:spacing w:line="360" w:lineRule="exact"/>
              <w:ind w:firstLine="420"/>
              <w:rPr>
                <w:color w:val="auto"/>
                <w:highlight w:val="none"/>
                <w:lang w:eastAsia="zh-CN"/>
              </w:rPr>
            </w:pPr>
            <w:r>
              <w:rPr>
                <w:color w:val="auto"/>
                <w:highlight w:val="none"/>
                <w:lang w:eastAsia="zh-CN"/>
              </w:rPr>
              <w:t xml:space="preserve">2.1 </w:t>
            </w:r>
            <w:r>
              <w:rPr>
                <w:rFonts w:hint="eastAsia"/>
                <w:color w:val="auto"/>
                <w:highlight w:val="none"/>
                <w:lang w:eastAsia="zh-CN"/>
              </w:rPr>
              <w:t>灯管支架</w:t>
            </w:r>
          </w:p>
          <w:p>
            <w:pPr>
              <w:spacing w:line="360" w:lineRule="exact"/>
              <w:ind w:firstLine="420"/>
              <w:rPr>
                <w:color w:val="auto"/>
                <w:highlight w:val="none"/>
                <w:lang w:eastAsia="zh-CN"/>
              </w:rPr>
            </w:pPr>
            <w:r>
              <w:rPr>
                <w:rFonts w:hint="eastAsia"/>
                <w:color w:val="auto"/>
                <w:highlight w:val="none"/>
                <w:lang w:eastAsia="zh-CN"/>
              </w:rPr>
              <w:t>主体材料：≥</w:t>
            </w:r>
            <w:r>
              <w:rPr>
                <w:color w:val="auto"/>
                <w:highlight w:val="none"/>
                <w:lang w:eastAsia="zh-CN"/>
              </w:rPr>
              <w:t>0.5mm厚优质冷轧钢板；表面处理：除油、除锈、磷化处理、静电喷塑；</w:t>
            </w:r>
          </w:p>
          <w:p>
            <w:pPr>
              <w:spacing w:line="360" w:lineRule="exact"/>
              <w:ind w:firstLine="420"/>
              <w:rPr>
                <w:color w:val="auto"/>
                <w:highlight w:val="none"/>
                <w:lang w:eastAsia="zh-CN"/>
              </w:rPr>
            </w:pPr>
            <w:r>
              <w:rPr>
                <w:rFonts w:hint="eastAsia"/>
                <w:color w:val="auto"/>
                <w:highlight w:val="none"/>
                <w:lang w:eastAsia="zh-CN"/>
              </w:rPr>
              <w:t>支架脚座：高强度阻燃塑料，耐温≥</w:t>
            </w:r>
            <w:r>
              <w:rPr>
                <w:color w:val="auto"/>
                <w:highlight w:val="none"/>
                <w:lang w:eastAsia="zh-CN"/>
              </w:rPr>
              <w:t>120℃，灯管采用推进旋转方式安装；</w:t>
            </w:r>
          </w:p>
          <w:p>
            <w:pPr>
              <w:spacing w:line="360" w:lineRule="exact"/>
              <w:ind w:firstLine="420"/>
              <w:rPr>
                <w:color w:val="auto"/>
                <w:highlight w:val="none"/>
                <w:lang w:eastAsia="zh-CN"/>
              </w:rPr>
            </w:pPr>
            <w:r>
              <w:rPr>
                <w:rFonts w:hint="eastAsia"/>
                <w:color w:val="auto"/>
                <w:highlight w:val="none"/>
                <w:lang w:eastAsia="zh-CN"/>
              </w:rPr>
              <w:t>灯内接线：名优阻燃电线；配置电器：电子镇流器。</w:t>
            </w:r>
          </w:p>
          <w:p>
            <w:pPr>
              <w:spacing w:line="360" w:lineRule="exact"/>
              <w:ind w:firstLine="420"/>
              <w:rPr>
                <w:color w:val="auto"/>
                <w:highlight w:val="none"/>
                <w:lang w:eastAsia="zh-CN"/>
              </w:rPr>
            </w:pPr>
            <w:r>
              <w:rPr>
                <w:color w:val="auto"/>
                <w:highlight w:val="none"/>
                <w:lang w:eastAsia="zh-CN"/>
              </w:rPr>
              <w:t>2.2格栅灯盘</w:t>
            </w:r>
          </w:p>
          <w:p>
            <w:pPr>
              <w:spacing w:line="360" w:lineRule="exact"/>
              <w:ind w:right="22" w:firstLine="480" w:firstLineChars="200"/>
              <w:rPr>
                <w:color w:val="auto"/>
                <w:highlight w:val="none"/>
                <w:lang w:eastAsia="zh-CN"/>
              </w:rPr>
            </w:pPr>
            <w:r>
              <w:rPr>
                <w:rFonts w:hint="eastAsia"/>
                <w:color w:val="auto"/>
                <w:highlight w:val="none"/>
                <w:lang w:eastAsia="zh-CN"/>
              </w:rPr>
              <w:t>灯具材质：高强度冷轧钢板，厚度＞</w:t>
            </w:r>
            <w:r>
              <w:rPr>
                <w:color w:val="auto"/>
                <w:highlight w:val="none"/>
                <w:lang w:eastAsia="zh-CN"/>
              </w:rPr>
              <w:t>0.5 mm，采用粉体喷塑，颜色白色，材料环保加工工艺；整体采用焊接，焊接口平整光滑。</w:t>
            </w:r>
            <w:r>
              <w:rPr>
                <w:color w:val="auto"/>
                <w:highlight w:val="none"/>
                <w:lang w:eastAsia="zh-CN"/>
              </w:rPr>
              <w:tab/>
            </w:r>
            <w:r>
              <w:rPr>
                <w:rFonts w:hint="eastAsia"/>
                <w:color w:val="auto"/>
                <w:highlight w:val="none"/>
                <w:lang w:eastAsia="zh-CN"/>
              </w:rPr>
              <w:t>底盘材料：≥</w:t>
            </w:r>
            <w:r>
              <w:rPr>
                <w:color w:val="auto"/>
                <w:highlight w:val="none"/>
                <w:lang w:eastAsia="zh-CN"/>
              </w:rPr>
              <w:t>0.5mm厚优质冷轧钢板；</w:t>
            </w:r>
          </w:p>
          <w:p>
            <w:pPr>
              <w:spacing w:line="360" w:lineRule="exact"/>
              <w:ind w:right="22" w:firstLine="480" w:firstLineChars="200"/>
              <w:rPr>
                <w:color w:val="auto"/>
                <w:highlight w:val="none"/>
                <w:lang w:eastAsia="zh-CN"/>
              </w:rPr>
            </w:pPr>
            <w:r>
              <w:rPr>
                <w:rFonts w:hint="eastAsia"/>
                <w:color w:val="auto"/>
                <w:highlight w:val="none"/>
                <w:lang w:eastAsia="zh-CN"/>
              </w:rPr>
              <w:t>反射罩：磨砂电化铝，双</w:t>
            </w:r>
            <w:r>
              <w:rPr>
                <w:color w:val="auto"/>
                <w:highlight w:val="none"/>
                <w:lang w:eastAsia="zh-CN"/>
              </w:rPr>
              <w:t>V格栅；反射器材质为纯铝（99.9%）,厚度为0.4mm。</w:t>
            </w:r>
          </w:p>
          <w:p>
            <w:pPr>
              <w:spacing w:line="360" w:lineRule="exact"/>
              <w:ind w:right="22" w:firstLine="480" w:firstLineChars="200"/>
              <w:rPr>
                <w:color w:val="auto"/>
                <w:highlight w:val="none"/>
                <w:lang w:eastAsia="zh-CN"/>
              </w:rPr>
            </w:pPr>
            <w:r>
              <w:rPr>
                <w:rFonts w:hint="eastAsia"/>
                <w:color w:val="auto"/>
                <w:highlight w:val="none"/>
                <w:lang w:eastAsia="zh-CN"/>
              </w:rPr>
              <w:t>灯盘脚座：高强度阻燃塑料，耐温≥</w:t>
            </w:r>
            <w:r>
              <w:rPr>
                <w:color w:val="auto"/>
                <w:highlight w:val="none"/>
                <w:lang w:eastAsia="zh-CN"/>
              </w:rPr>
              <w:t>120℃，灯管采用推进旋转方式安装；</w:t>
            </w:r>
          </w:p>
          <w:p>
            <w:pPr>
              <w:spacing w:line="360" w:lineRule="exact"/>
              <w:ind w:right="22" w:firstLine="480" w:firstLineChars="200"/>
              <w:rPr>
                <w:color w:val="auto"/>
                <w:highlight w:val="none"/>
                <w:lang w:eastAsia="zh-CN"/>
              </w:rPr>
            </w:pPr>
            <w:r>
              <w:rPr>
                <w:rFonts w:hint="eastAsia"/>
                <w:color w:val="auto"/>
                <w:highlight w:val="none"/>
                <w:lang w:eastAsia="zh-CN"/>
              </w:rPr>
              <w:t>表面处理：除油、除锈、磷化处理、静电喷塑；</w:t>
            </w:r>
          </w:p>
          <w:p>
            <w:pPr>
              <w:spacing w:line="360" w:lineRule="exact"/>
              <w:ind w:firstLine="420"/>
              <w:rPr>
                <w:color w:val="auto"/>
                <w:highlight w:val="none"/>
                <w:lang w:eastAsia="zh-CN"/>
              </w:rPr>
            </w:pPr>
            <w:r>
              <w:rPr>
                <w:rFonts w:hint="eastAsia"/>
                <w:color w:val="auto"/>
                <w:highlight w:val="none"/>
                <w:lang w:eastAsia="zh-CN"/>
              </w:rPr>
              <w:t>灯内接线：名优阻燃电线；配置电器：电子镇流器。</w:t>
            </w:r>
          </w:p>
          <w:p>
            <w:pPr>
              <w:spacing w:line="360" w:lineRule="exact"/>
              <w:ind w:firstLine="420"/>
              <w:rPr>
                <w:color w:val="auto"/>
                <w:highlight w:val="none"/>
                <w:lang w:eastAsia="zh-CN"/>
              </w:rPr>
            </w:pPr>
          </w:p>
          <w:p>
            <w:pPr>
              <w:spacing w:line="360" w:lineRule="exact"/>
              <w:ind w:firstLine="420"/>
              <w:rPr>
                <w:color w:val="auto"/>
                <w:highlight w:val="none"/>
                <w:lang w:eastAsia="zh-CN"/>
              </w:rPr>
            </w:pPr>
            <w:r>
              <w:rPr>
                <w:rFonts w:hint="eastAsia"/>
                <w:color w:val="auto"/>
                <w:highlight w:val="none"/>
                <w:lang w:eastAsia="zh-CN"/>
              </w:rPr>
              <w:t>光源要求：</w:t>
            </w:r>
          </w:p>
          <w:p>
            <w:pPr>
              <w:spacing w:line="360" w:lineRule="exact"/>
              <w:ind w:firstLine="420"/>
              <w:rPr>
                <w:color w:val="auto"/>
                <w:highlight w:val="none"/>
                <w:lang w:eastAsia="zh-CN"/>
              </w:rPr>
            </w:pPr>
            <w:r>
              <w:rPr>
                <w:color w:val="auto"/>
                <w:highlight w:val="none"/>
                <w:lang w:eastAsia="zh-CN"/>
              </w:rPr>
              <w:t>1、T5荧光灯。</w:t>
            </w:r>
          </w:p>
          <w:p>
            <w:pPr>
              <w:spacing w:line="360" w:lineRule="exact"/>
              <w:ind w:firstLine="420"/>
              <w:rPr>
                <w:color w:val="auto"/>
                <w:highlight w:val="none"/>
                <w:lang w:eastAsia="zh-CN"/>
              </w:rPr>
            </w:pPr>
            <w:r>
              <w:rPr>
                <w:color w:val="auto"/>
                <w:highlight w:val="none"/>
                <w:lang w:eastAsia="zh-CN"/>
              </w:rPr>
              <w:t>2、显色指数≥85。</w:t>
            </w:r>
          </w:p>
          <w:p>
            <w:pPr>
              <w:spacing w:line="360" w:lineRule="exact"/>
              <w:ind w:firstLine="420"/>
              <w:rPr>
                <w:color w:val="auto"/>
                <w:highlight w:val="none"/>
                <w:lang w:eastAsia="zh-CN"/>
              </w:rPr>
            </w:pPr>
            <w:r>
              <w:rPr>
                <w:color w:val="auto"/>
                <w:highlight w:val="none"/>
                <w:lang w:eastAsia="zh-CN"/>
              </w:rPr>
              <w:t>2.3防水防尘灯：</w:t>
            </w:r>
          </w:p>
          <w:p>
            <w:pPr>
              <w:spacing w:line="360" w:lineRule="exact"/>
              <w:ind w:firstLine="420"/>
              <w:rPr>
                <w:color w:val="auto"/>
                <w:highlight w:val="none"/>
                <w:lang w:eastAsia="zh-CN"/>
              </w:rPr>
            </w:pPr>
            <w:r>
              <w:rPr>
                <w:rFonts w:hint="eastAsia"/>
                <w:color w:val="auto"/>
                <w:highlight w:val="none"/>
                <w:lang w:eastAsia="zh-CN"/>
              </w:rPr>
              <w:t>灯具本体采用乳白聚碳酸酯制成</w:t>
            </w:r>
          </w:p>
          <w:p>
            <w:pPr>
              <w:spacing w:line="360" w:lineRule="exact"/>
              <w:ind w:firstLine="420"/>
              <w:rPr>
                <w:color w:val="auto"/>
                <w:highlight w:val="none"/>
                <w:lang w:eastAsia="zh-CN"/>
              </w:rPr>
            </w:pPr>
            <w:r>
              <w:rPr>
                <w:rFonts w:hint="eastAsia"/>
                <w:color w:val="auto"/>
                <w:highlight w:val="none"/>
                <w:lang w:eastAsia="zh-CN"/>
              </w:rPr>
              <w:t>灯罩采用透明聚碳酸酯制成</w:t>
            </w:r>
          </w:p>
          <w:p>
            <w:pPr>
              <w:spacing w:line="360" w:lineRule="exact"/>
              <w:ind w:firstLine="420"/>
              <w:rPr>
                <w:color w:val="auto"/>
                <w:highlight w:val="none"/>
                <w:lang w:eastAsia="zh-CN"/>
              </w:rPr>
            </w:pPr>
            <w:r>
              <w:rPr>
                <w:rFonts w:hint="eastAsia"/>
                <w:color w:val="auto"/>
                <w:highlight w:val="none"/>
                <w:lang w:eastAsia="zh-CN"/>
              </w:rPr>
              <w:t>不锈钢夹扣和安装托架</w:t>
            </w:r>
          </w:p>
          <w:p>
            <w:pPr>
              <w:spacing w:line="360" w:lineRule="exact"/>
              <w:ind w:firstLine="420"/>
              <w:rPr>
                <w:color w:val="auto"/>
                <w:highlight w:val="none"/>
                <w:lang w:eastAsia="zh-CN"/>
              </w:rPr>
            </w:pPr>
            <w:r>
              <w:rPr>
                <w:rFonts w:hint="eastAsia"/>
                <w:color w:val="auto"/>
                <w:highlight w:val="none"/>
                <w:lang w:eastAsia="zh-CN"/>
              </w:rPr>
              <w:t>抗冲击，耐高温</w:t>
            </w:r>
          </w:p>
          <w:p>
            <w:pPr>
              <w:spacing w:line="360" w:lineRule="exact"/>
              <w:ind w:firstLine="420"/>
              <w:rPr>
                <w:color w:val="auto"/>
                <w:highlight w:val="none"/>
                <w:lang w:eastAsia="zh-CN"/>
              </w:rPr>
            </w:pPr>
            <w:r>
              <w:rPr>
                <w:rFonts w:hint="eastAsia"/>
                <w:color w:val="auto"/>
                <w:highlight w:val="none"/>
                <w:lang w:eastAsia="zh-CN"/>
              </w:rPr>
              <w:t>防护灯级：</w:t>
            </w:r>
            <w:r>
              <w:rPr>
                <w:color w:val="auto"/>
                <w:highlight w:val="none"/>
                <w:lang w:eastAsia="zh-CN"/>
              </w:rPr>
              <w:t>IP64</w:t>
            </w:r>
          </w:p>
          <w:p>
            <w:pPr>
              <w:spacing w:line="360" w:lineRule="exact"/>
              <w:ind w:firstLine="420"/>
              <w:rPr>
                <w:color w:val="auto"/>
                <w:highlight w:val="none"/>
                <w:lang w:eastAsia="zh-CN"/>
              </w:rPr>
            </w:pPr>
            <w:r>
              <w:rPr>
                <w:color w:val="auto"/>
                <w:highlight w:val="none"/>
                <w:lang w:eastAsia="zh-CN"/>
              </w:rPr>
              <w:t>2.4吸顶灯</w:t>
            </w:r>
          </w:p>
          <w:p>
            <w:pPr>
              <w:spacing w:line="360" w:lineRule="exact"/>
              <w:ind w:firstLine="420"/>
              <w:rPr>
                <w:color w:val="auto"/>
                <w:highlight w:val="none"/>
                <w:lang w:eastAsia="zh-CN"/>
              </w:rPr>
            </w:pPr>
            <w:r>
              <w:rPr>
                <w:rFonts w:hint="eastAsia"/>
                <w:color w:val="auto"/>
                <w:highlight w:val="none"/>
                <w:lang w:eastAsia="zh-CN"/>
              </w:rPr>
              <w:t>灯</w:t>
            </w:r>
            <w:r>
              <w:rPr>
                <w:color w:val="auto"/>
                <w:highlight w:val="none"/>
                <w:lang w:eastAsia="zh-CN"/>
              </w:rPr>
              <w:t xml:space="preserve">    </w:t>
            </w:r>
            <w:r>
              <w:rPr>
                <w:rFonts w:hint="eastAsia"/>
                <w:color w:val="auto"/>
                <w:highlight w:val="none"/>
                <w:lang w:eastAsia="zh-CN"/>
              </w:rPr>
              <w:t>体：高品质的</w:t>
            </w:r>
            <w:r>
              <w:rPr>
                <w:color w:val="auto"/>
                <w:highlight w:val="none"/>
                <w:lang w:eastAsia="zh-CN"/>
              </w:rPr>
              <w:t>PMMA有机玻璃灯罩</w:t>
            </w:r>
          </w:p>
          <w:p>
            <w:pPr>
              <w:spacing w:line="360" w:lineRule="exact"/>
              <w:ind w:firstLine="420"/>
              <w:rPr>
                <w:color w:val="auto"/>
                <w:highlight w:val="none"/>
                <w:lang w:eastAsia="zh-CN"/>
              </w:rPr>
            </w:pPr>
            <w:r>
              <w:rPr>
                <w:rFonts w:hint="eastAsia"/>
                <w:color w:val="auto"/>
                <w:highlight w:val="none"/>
                <w:lang w:eastAsia="zh-CN"/>
              </w:rPr>
              <w:t>光</w:t>
            </w:r>
            <w:r>
              <w:rPr>
                <w:color w:val="auto"/>
                <w:highlight w:val="none"/>
                <w:lang w:eastAsia="zh-CN"/>
              </w:rPr>
              <w:t xml:space="preserve">    </w:t>
            </w:r>
            <w:r>
              <w:rPr>
                <w:rFonts w:hint="eastAsia"/>
                <w:color w:val="auto"/>
                <w:highlight w:val="none"/>
                <w:lang w:eastAsia="zh-CN"/>
              </w:rPr>
              <w:t>源：三基色环型荧光灯</w:t>
            </w:r>
          </w:p>
          <w:p>
            <w:pPr>
              <w:spacing w:line="360" w:lineRule="exact"/>
              <w:ind w:firstLine="420"/>
              <w:rPr>
                <w:color w:val="auto"/>
                <w:highlight w:val="none"/>
                <w:lang w:eastAsia="zh-CN"/>
              </w:rPr>
            </w:pPr>
            <w:r>
              <w:rPr>
                <w:rFonts w:hint="eastAsia"/>
                <w:color w:val="auto"/>
                <w:highlight w:val="none"/>
                <w:lang w:eastAsia="zh-CN"/>
              </w:rPr>
              <w:t>变</w:t>
            </w:r>
            <w:r>
              <w:rPr>
                <w:color w:val="auto"/>
                <w:highlight w:val="none"/>
                <w:lang w:eastAsia="zh-CN"/>
              </w:rPr>
              <w:t xml:space="preserve"> </w:t>
            </w:r>
            <w:r>
              <w:rPr>
                <w:rFonts w:hint="eastAsia"/>
                <w:color w:val="auto"/>
                <w:highlight w:val="none"/>
                <w:lang w:eastAsia="zh-CN"/>
              </w:rPr>
              <w:t>压</w:t>
            </w:r>
            <w:r>
              <w:rPr>
                <w:color w:val="auto"/>
                <w:highlight w:val="none"/>
                <w:lang w:eastAsia="zh-CN"/>
              </w:rPr>
              <w:t xml:space="preserve"> </w:t>
            </w:r>
            <w:r>
              <w:rPr>
                <w:rFonts w:hint="eastAsia"/>
                <w:color w:val="auto"/>
                <w:highlight w:val="none"/>
                <w:lang w:eastAsia="zh-CN"/>
              </w:rPr>
              <w:t>器：电子镇流器</w:t>
            </w:r>
          </w:p>
          <w:p>
            <w:pPr>
              <w:spacing w:line="360" w:lineRule="exact"/>
              <w:ind w:firstLine="420"/>
              <w:rPr>
                <w:color w:val="auto"/>
                <w:highlight w:val="none"/>
                <w:lang w:eastAsia="zh-CN"/>
              </w:rPr>
            </w:pPr>
            <w:r>
              <w:rPr>
                <w:rFonts w:hint="eastAsia"/>
                <w:color w:val="auto"/>
                <w:highlight w:val="none"/>
                <w:lang w:eastAsia="zh-CN"/>
              </w:rPr>
              <w:t>灯内接线：名优阻燃电线；</w:t>
            </w:r>
          </w:p>
          <w:p>
            <w:pPr>
              <w:spacing w:line="360" w:lineRule="exact"/>
              <w:ind w:firstLine="420"/>
              <w:rPr>
                <w:color w:val="auto"/>
                <w:highlight w:val="none"/>
                <w:lang w:eastAsia="zh-CN"/>
              </w:rPr>
            </w:pPr>
            <w:r>
              <w:rPr>
                <w:rFonts w:hint="eastAsia"/>
                <w:color w:val="auto"/>
                <w:highlight w:val="none"/>
                <w:lang w:eastAsia="zh-CN"/>
              </w:rPr>
              <w:t>盘体和反射罩的连接方式：卡簧连接</w:t>
            </w:r>
          </w:p>
          <w:p>
            <w:pPr>
              <w:spacing w:line="360" w:lineRule="exact"/>
              <w:ind w:firstLine="420"/>
              <w:rPr>
                <w:color w:val="auto"/>
                <w:highlight w:val="none"/>
                <w:lang w:eastAsia="zh-CN"/>
              </w:rPr>
            </w:pPr>
            <w:r>
              <w:rPr>
                <w:color w:val="auto"/>
                <w:highlight w:val="none"/>
                <w:lang w:eastAsia="zh-CN"/>
              </w:rPr>
              <w:t>2.5节能筒灯</w:t>
            </w:r>
          </w:p>
          <w:p>
            <w:pPr>
              <w:spacing w:line="360" w:lineRule="exact"/>
              <w:ind w:firstLine="420"/>
              <w:rPr>
                <w:color w:val="auto"/>
                <w:highlight w:val="none"/>
                <w:lang w:eastAsia="zh-CN"/>
              </w:rPr>
            </w:pPr>
            <w:r>
              <w:rPr>
                <w:rFonts w:hint="eastAsia"/>
                <w:color w:val="auto"/>
                <w:highlight w:val="none"/>
                <w:lang w:eastAsia="zh-CN"/>
              </w:rPr>
              <w:t>灯</w:t>
            </w:r>
            <w:r>
              <w:rPr>
                <w:color w:val="auto"/>
                <w:highlight w:val="none"/>
                <w:lang w:eastAsia="zh-CN"/>
              </w:rPr>
              <w:t xml:space="preserve">    </w:t>
            </w:r>
            <w:r>
              <w:rPr>
                <w:rFonts w:hint="eastAsia"/>
                <w:color w:val="auto"/>
                <w:highlight w:val="none"/>
                <w:lang w:eastAsia="zh-CN"/>
              </w:rPr>
              <w:t>体：高品质铝合金，高压铸铝环</w:t>
            </w:r>
          </w:p>
          <w:p>
            <w:pPr>
              <w:spacing w:line="360" w:lineRule="exact"/>
              <w:ind w:firstLine="420"/>
              <w:rPr>
                <w:color w:val="auto"/>
                <w:highlight w:val="none"/>
                <w:lang w:eastAsia="zh-CN"/>
              </w:rPr>
            </w:pPr>
            <w:r>
              <w:rPr>
                <w:rFonts w:hint="eastAsia"/>
                <w:color w:val="auto"/>
                <w:highlight w:val="none"/>
                <w:lang w:eastAsia="zh-CN"/>
              </w:rPr>
              <w:t>反射罩材质</w:t>
            </w:r>
            <w:r>
              <w:rPr>
                <w:color w:val="auto"/>
                <w:highlight w:val="none"/>
                <w:lang w:eastAsia="zh-CN"/>
              </w:rPr>
              <w:t xml:space="preserve">: </w:t>
            </w:r>
            <w:r>
              <w:rPr>
                <w:rFonts w:hint="eastAsia"/>
                <w:color w:val="auto"/>
                <w:highlight w:val="none"/>
                <w:lang w:eastAsia="zh-CN"/>
              </w:rPr>
              <w:t>高纯铝阳极氧化反射罩</w:t>
            </w:r>
          </w:p>
          <w:p>
            <w:pPr>
              <w:spacing w:line="360" w:lineRule="exact"/>
              <w:ind w:firstLine="420"/>
              <w:rPr>
                <w:color w:val="auto"/>
                <w:highlight w:val="none"/>
                <w:lang w:eastAsia="zh-CN"/>
              </w:rPr>
            </w:pPr>
            <w:r>
              <w:rPr>
                <w:rFonts w:hint="eastAsia"/>
                <w:color w:val="auto"/>
                <w:highlight w:val="none"/>
                <w:lang w:eastAsia="zh-CN"/>
              </w:rPr>
              <w:t>防护等级</w:t>
            </w:r>
            <w:r>
              <w:rPr>
                <w:color w:val="auto"/>
                <w:highlight w:val="none"/>
                <w:lang w:eastAsia="zh-CN"/>
              </w:rPr>
              <w:t>: IP20</w:t>
            </w:r>
          </w:p>
          <w:p>
            <w:pPr>
              <w:spacing w:line="360" w:lineRule="exact"/>
              <w:ind w:firstLine="420"/>
              <w:rPr>
                <w:color w:val="auto"/>
                <w:highlight w:val="none"/>
                <w:lang w:eastAsia="zh-CN"/>
              </w:rPr>
            </w:pPr>
            <w:r>
              <w:rPr>
                <w:rFonts w:hint="eastAsia"/>
                <w:color w:val="auto"/>
                <w:highlight w:val="none"/>
                <w:lang w:eastAsia="zh-CN"/>
              </w:rPr>
              <w:t>光</w:t>
            </w:r>
            <w:r>
              <w:rPr>
                <w:color w:val="auto"/>
                <w:highlight w:val="none"/>
                <w:lang w:eastAsia="zh-CN"/>
              </w:rPr>
              <w:t xml:space="preserve">    </w:t>
            </w:r>
            <w:r>
              <w:rPr>
                <w:rFonts w:hint="eastAsia"/>
                <w:color w:val="auto"/>
                <w:highlight w:val="none"/>
                <w:lang w:eastAsia="zh-CN"/>
              </w:rPr>
              <w:t>源：插拔式荧光灯</w:t>
            </w:r>
          </w:p>
          <w:p>
            <w:pPr>
              <w:spacing w:line="360" w:lineRule="exact"/>
              <w:ind w:firstLine="420"/>
              <w:rPr>
                <w:color w:val="auto"/>
                <w:highlight w:val="none"/>
                <w:lang w:eastAsia="zh-CN"/>
              </w:rPr>
            </w:pPr>
            <w:r>
              <w:rPr>
                <w:rFonts w:hint="eastAsia"/>
                <w:color w:val="auto"/>
                <w:highlight w:val="none"/>
                <w:lang w:eastAsia="zh-CN"/>
              </w:rPr>
              <w:t>电</w:t>
            </w:r>
            <w:r>
              <w:rPr>
                <w:color w:val="auto"/>
                <w:highlight w:val="none"/>
                <w:lang w:eastAsia="zh-CN"/>
              </w:rPr>
              <w:t xml:space="preserve">    </w:t>
            </w:r>
            <w:r>
              <w:rPr>
                <w:rFonts w:hint="eastAsia"/>
                <w:color w:val="auto"/>
                <w:highlight w:val="none"/>
                <w:lang w:eastAsia="zh-CN"/>
              </w:rPr>
              <w:t>器：电感镇流器</w:t>
            </w:r>
          </w:p>
          <w:p>
            <w:pPr>
              <w:spacing w:line="360" w:lineRule="exact"/>
              <w:ind w:firstLine="420"/>
              <w:rPr>
                <w:color w:val="auto"/>
                <w:highlight w:val="none"/>
                <w:lang w:eastAsia="zh-CN"/>
              </w:rPr>
            </w:pPr>
            <w:r>
              <w:rPr>
                <w:rFonts w:hint="eastAsia"/>
                <w:color w:val="auto"/>
                <w:highlight w:val="none"/>
                <w:lang w:eastAsia="zh-CN"/>
              </w:rPr>
              <w:t>灯</w:t>
            </w:r>
            <w:r>
              <w:rPr>
                <w:color w:val="auto"/>
                <w:highlight w:val="none"/>
                <w:lang w:eastAsia="zh-CN"/>
              </w:rPr>
              <w:t xml:space="preserve">    </w:t>
            </w:r>
            <w:r>
              <w:rPr>
                <w:rFonts w:hint="eastAsia"/>
                <w:color w:val="auto"/>
                <w:highlight w:val="none"/>
                <w:lang w:eastAsia="zh-CN"/>
              </w:rPr>
              <w:t>头：</w:t>
            </w:r>
            <w:r>
              <w:rPr>
                <w:color w:val="auto"/>
                <w:highlight w:val="none"/>
                <w:lang w:eastAsia="zh-CN"/>
              </w:rPr>
              <w:t>PLC</w:t>
            </w:r>
          </w:p>
          <w:p>
            <w:pPr>
              <w:spacing w:line="360" w:lineRule="exact"/>
              <w:ind w:firstLine="420"/>
              <w:rPr>
                <w:color w:val="auto"/>
                <w:highlight w:val="none"/>
                <w:lang w:eastAsia="zh-CN"/>
              </w:rPr>
            </w:pPr>
            <w:r>
              <w:rPr>
                <w:rFonts w:hint="eastAsia"/>
                <w:color w:val="auto"/>
                <w:highlight w:val="none"/>
                <w:lang w:eastAsia="zh-CN"/>
              </w:rPr>
              <w:t>安装形式：嵌入式安装</w:t>
            </w:r>
          </w:p>
          <w:p>
            <w:pPr>
              <w:spacing w:line="360" w:lineRule="exact"/>
              <w:ind w:firstLine="420"/>
              <w:rPr>
                <w:color w:val="auto"/>
                <w:highlight w:val="none"/>
                <w:lang w:eastAsia="zh-CN"/>
              </w:rPr>
            </w:pPr>
            <w:r>
              <w:rPr>
                <w:rFonts w:hint="eastAsia"/>
                <w:color w:val="auto"/>
                <w:highlight w:val="none"/>
                <w:lang w:eastAsia="zh-CN"/>
              </w:rPr>
              <w:t>灯具供电：</w:t>
            </w:r>
            <w:r>
              <w:rPr>
                <w:color w:val="auto"/>
                <w:highlight w:val="none"/>
                <w:lang w:eastAsia="zh-CN"/>
              </w:rPr>
              <w:t>220V/50HZ</w:t>
            </w:r>
          </w:p>
          <w:p>
            <w:pPr>
              <w:spacing w:line="360" w:lineRule="exact"/>
              <w:ind w:firstLine="420"/>
              <w:rPr>
                <w:color w:val="auto"/>
                <w:highlight w:val="none"/>
                <w:lang w:eastAsia="zh-CN"/>
              </w:rPr>
            </w:pPr>
            <w:r>
              <w:rPr>
                <w:color w:val="auto"/>
                <w:highlight w:val="none"/>
                <w:lang w:eastAsia="zh-CN"/>
              </w:rPr>
              <w:t xml:space="preserve">2.6 </w:t>
            </w:r>
            <w:r>
              <w:rPr>
                <w:rFonts w:hint="eastAsia"/>
                <w:color w:val="auto"/>
                <w:highlight w:val="none"/>
                <w:lang w:eastAsia="zh-CN"/>
              </w:rPr>
              <w:t>金卤筒灯</w:t>
            </w:r>
          </w:p>
          <w:p>
            <w:pPr>
              <w:spacing w:line="360" w:lineRule="exact"/>
              <w:ind w:firstLine="420"/>
              <w:rPr>
                <w:color w:val="auto"/>
                <w:highlight w:val="none"/>
                <w:lang w:eastAsia="zh-CN"/>
              </w:rPr>
            </w:pPr>
            <w:r>
              <w:rPr>
                <w:rFonts w:hint="eastAsia"/>
                <w:color w:val="auto"/>
                <w:highlight w:val="none"/>
                <w:lang w:eastAsia="zh-CN"/>
              </w:rPr>
              <w:t>灯体材质：高品质铝合金，高压铸铝环，</w:t>
            </w:r>
          </w:p>
          <w:p>
            <w:pPr>
              <w:spacing w:line="360" w:lineRule="exact"/>
              <w:ind w:firstLine="420"/>
              <w:rPr>
                <w:color w:val="auto"/>
                <w:highlight w:val="none"/>
                <w:lang w:eastAsia="zh-CN"/>
              </w:rPr>
            </w:pPr>
            <w:r>
              <w:rPr>
                <w:rFonts w:hint="eastAsia"/>
                <w:color w:val="auto"/>
                <w:highlight w:val="none"/>
                <w:lang w:eastAsia="zh-CN"/>
              </w:rPr>
              <w:t>反射罩材质：高纯铝阳极氧化反射罩</w:t>
            </w:r>
            <w:r>
              <w:rPr>
                <w:color w:val="auto"/>
                <w:highlight w:val="none"/>
                <w:lang w:eastAsia="zh-CN"/>
              </w:rPr>
              <w:t xml:space="preserve"> </w:t>
            </w:r>
          </w:p>
          <w:p>
            <w:pPr>
              <w:spacing w:line="360" w:lineRule="exact"/>
              <w:ind w:firstLine="420"/>
              <w:rPr>
                <w:color w:val="auto"/>
                <w:highlight w:val="none"/>
                <w:lang w:eastAsia="zh-CN"/>
              </w:rPr>
            </w:pPr>
            <w:r>
              <w:rPr>
                <w:rFonts w:hint="eastAsia"/>
                <w:color w:val="auto"/>
                <w:highlight w:val="none"/>
                <w:lang w:eastAsia="zh-CN"/>
              </w:rPr>
              <w:t>防护等级：</w:t>
            </w:r>
            <w:r>
              <w:rPr>
                <w:color w:val="auto"/>
                <w:highlight w:val="none"/>
                <w:lang w:eastAsia="zh-CN"/>
              </w:rPr>
              <w:t>IP20</w:t>
            </w:r>
          </w:p>
          <w:p>
            <w:pPr>
              <w:spacing w:line="360" w:lineRule="exact"/>
              <w:ind w:firstLine="420"/>
              <w:rPr>
                <w:color w:val="auto"/>
                <w:highlight w:val="none"/>
                <w:lang w:eastAsia="zh-CN"/>
              </w:rPr>
            </w:pPr>
            <w:r>
              <w:rPr>
                <w:rFonts w:hint="eastAsia"/>
                <w:color w:val="auto"/>
                <w:highlight w:val="none"/>
                <w:lang w:eastAsia="zh-CN"/>
              </w:rPr>
              <w:t>光源类型：陶瓷金卤灯</w:t>
            </w:r>
          </w:p>
          <w:p>
            <w:pPr>
              <w:spacing w:line="360" w:lineRule="exact"/>
              <w:ind w:firstLine="420"/>
              <w:rPr>
                <w:color w:val="auto"/>
                <w:highlight w:val="none"/>
                <w:lang w:eastAsia="zh-CN"/>
              </w:rPr>
            </w:pPr>
            <w:r>
              <w:rPr>
                <w:rFonts w:hint="eastAsia"/>
                <w:color w:val="auto"/>
                <w:highlight w:val="none"/>
                <w:lang w:eastAsia="zh-CN"/>
              </w:rPr>
              <w:t>整镇器类型</w:t>
            </w:r>
            <w:r>
              <w:rPr>
                <w:color w:val="auto"/>
                <w:highlight w:val="none"/>
                <w:lang w:eastAsia="zh-CN"/>
              </w:rPr>
              <w:t xml:space="preserve">: </w:t>
            </w:r>
            <w:r>
              <w:rPr>
                <w:rFonts w:hint="eastAsia"/>
                <w:color w:val="auto"/>
                <w:highlight w:val="none"/>
                <w:lang w:eastAsia="zh-CN"/>
              </w:rPr>
              <w:t>高效节能电感镇流器</w:t>
            </w:r>
          </w:p>
          <w:p>
            <w:pPr>
              <w:spacing w:line="360" w:lineRule="exact"/>
              <w:ind w:firstLine="420"/>
              <w:rPr>
                <w:color w:val="auto"/>
                <w:highlight w:val="none"/>
                <w:lang w:eastAsia="zh-CN"/>
              </w:rPr>
            </w:pPr>
            <w:r>
              <w:rPr>
                <w:rFonts w:hint="eastAsia"/>
                <w:color w:val="auto"/>
                <w:highlight w:val="none"/>
                <w:lang w:eastAsia="zh-CN"/>
              </w:rPr>
              <w:t>装置类型</w:t>
            </w:r>
            <w:r>
              <w:rPr>
                <w:color w:val="auto"/>
                <w:highlight w:val="none"/>
                <w:lang w:eastAsia="zh-CN"/>
              </w:rPr>
              <w:t xml:space="preserve">: </w:t>
            </w:r>
            <w:r>
              <w:rPr>
                <w:rFonts w:hint="eastAsia"/>
                <w:color w:val="auto"/>
                <w:highlight w:val="none"/>
                <w:lang w:eastAsia="zh-CN"/>
              </w:rPr>
              <w:t>灯具外</w:t>
            </w:r>
          </w:p>
          <w:p>
            <w:pPr>
              <w:spacing w:line="360" w:lineRule="exact"/>
              <w:ind w:firstLine="420"/>
              <w:rPr>
                <w:color w:val="auto"/>
                <w:highlight w:val="none"/>
                <w:lang w:eastAsia="zh-CN"/>
              </w:rPr>
            </w:pPr>
            <w:r>
              <w:rPr>
                <w:rFonts w:hint="eastAsia"/>
                <w:color w:val="auto"/>
                <w:highlight w:val="none"/>
                <w:lang w:eastAsia="zh-CN"/>
              </w:rPr>
              <w:t>安装</w:t>
            </w:r>
            <w:r>
              <w:rPr>
                <w:color w:val="auto"/>
                <w:highlight w:val="none"/>
                <w:lang w:eastAsia="zh-CN"/>
              </w:rPr>
              <w:t xml:space="preserve">: </w:t>
            </w:r>
            <w:r>
              <w:rPr>
                <w:rFonts w:hint="eastAsia"/>
                <w:color w:val="auto"/>
                <w:highlight w:val="none"/>
                <w:lang w:eastAsia="zh-CN"/>
              </w:rPr>
              <w:t>嵌入式</w:t>
            </w:r>
          </w:p>
          <w:p>
            <w:pPr>
              <w:spacing w:line="360" w:lineRule="exact"/>
              <w:ind w:firstLine="420"/>
              <w:rPr>
                <w:color w:val="auto"/>
                <w:highlight w:val="none"/>
                <w:lang w:eastAsia="zh-CN"/>
              </w:rPr>
            </w:pPr>
            <w:r>
              <w:rPr>
                <w:color w:val="auto"/>
                <w:highlight w:val="none"/>
                <w:lang w:eastAsia="zh-CN"/>
              </w:rPr>
              <w:t>2.7工矿灯</w:t>
            </w:r>
          </w:p>
          <w:p>
            <w:pPr>
              <w:spacing w:line="360" w:lineRule="exact"/>
              <w:ind w:firstLine="420"/>
              <w:rPr>
                <w:color w:val="auto"/>
                <w:highlight w:val="none"/>
                <w:lang w:eastAsia="zh-CN"/>
              </w:rPr>
            </w:pPr>
            <w:r>
              <w:rPr>
                <w:rFonts w:hint="eastAsia"/>
                <w:color w:val="auto"/>
                <w:highlight w:val="none"/>
                <w:lang w:eastAsia="zh-CN"/>
              </w:rPr>
              <w:t>灯</w:t>
            </w:r>
            <w:r>
              <w:rPr>
                <w:color w:val="auto"/>
                <w:highlight w:val="none"/>
                <w:lang w:eastAsia="zh-CN"/>
              </w:rPr>
              <w:t xml:space="preserve">    </w:t>
            </w:r>
            <w:r>
              <w:rPr>
                <w:rFonts w:hint="eastAsia"/>
                <w:color w:val="auto"/>
                <w:highlight w:val="none"/>
                <w:lang w:eastAsia="zh-CN"/>
              </w:rPr>
              <w:t>体：高纯铝</w:t>
            </w:r>
          </w:p>
          <w:p>
            <w:pPr>
              <w:spacing w:line="360" w:lineRule="exact"/>
              <w:ind w:firstLine="420"/>
              <w:rPr>
                <w:color w:val="auto"/>
                <w:highlight w:val="none"/>
                <w:lang w:eastAsia="zh-CN"/>
              </w:rPr>
            </w:pPr>
            <w:r>
              <w:rPr>
                <w:rFonts w:hint="eastAsia"/>
                <w:color w:val="auto"/>
                <w:highlight w:val="none"/>
                <w:lang w:eastAsia="zh-CN"/>
              </w:rPr>
              <w:t>光</w:t>
            </w:r>
            <w:r>
              <w:rPr>
                <w:color w:val="auto"/>
                <w:highlight w:val="none"/>
                <w:lang w:eastAsia="zh-CN"/>
              </w:rPr>
              <w:t xml:space="preserve">    </w:t>
            </w:r>
            <w:r>
              <w:rPr>
                <w:rFonts w:hint="eastAsia"/>
                <w:color w:val="auto"/>
                <w:highlight w:val="none"/>
                <w:lang w:eastAsia="zh-CN"/>
              </w:rPr>
              <w:t>源：陶瓷金卤灯</w:t>
            </w:r>
          </w:p>
          <w:p>
            <w:pPr>
              <w:spacing w:line="360" w:lineRule="exact"/>
              <w:ind w:firstLine="420"/>
              <w:rPr>
                <w:color w:val="auto"/>
                <w:highlight w:val="none"/>
                <w:lang w:eastAsia="zh-CN"/>
              </w:rPr>
            </w:pPr>
            <w:r>
              <w:rPr>
                <w:rFonts w:hint="eastAsia"/>
                <w:color w:val="auto"/>
                <w:highlight w:val="none"/>
                <w:lang w:eastAsia="zh-CN"/>
              </w:rPr>
              <w:t>镇流器：电感镇流器</w:t>
            </w:r>
          </w:p>
          <w:p>
            <w:pPr>
              <w:spacing w:line="360" w:lineRule="exact"/>
              <w:ind w:firstLine="420"/>
              <w:rPr>
                <w:color w:val="auto"/>
                <w:highlight w:val="none"/>
                <w:lang w:eastAsia="zh-CN"/>
              </w:rPr>
            </w:pPr>
            <w:r>
              <w:rPr>
                <w:rFonts w:hint="eastAsia"/>
                <w:color w:val="auto"/>
                <w:highlight w:val="none"/>
                <w:lang w:eastAsia="zh-CN"/>
              </w:rPr>
              <w:t>灯具供电：</w:t>
            </w:r>
            <w:r>
              <w:rPr>
                <w:color w:val="auto"/>
                <w:highlight w:val="none"/>
                <w:lang w:eastAsia="zh-CN"/>
              </w:rPr>
              <w:t>220V/50HZ</w:t>
            </w:r>
          </w:p>
          <w:p>
            <w:pPr>
              <w:spacing w:line="360" w:lineRule="exact"/>
              <w:ind w:firstLine="420"/>
              <w:rPr>
                <w:color w:val="auto"/>
                <w:highlight w:val="none"/>
                <w:lang w:eastAsia="zh-CN"/>
              </w:rPr>
            </w:pPr>
            <w:r>
              <w:rPr>
                <w:color w:val="auto"/>
                <w:highlight w:val="none"/>
                <w:lang w:eastAsia="zh-CN"/>
              </w:rPr>
              <w:t>2.8LED灯</w:t>
            </w:r>
          </w:p>
          <w:p>
            <w:pPr>
              <w:spacing w:line="360" w:lineRule="exact"/>
              <w:ind w:firstLine="420"/>
              <w:rPr>
                <w:color w:val="auto"/>
                <w:highlight w:val="none"/>
                <w:lang w:eastAsia="zh-CN"/>
              </w:rPr>
            </w:pPr>
            <w:r>
              <w:rPr>
                <w:color w:val="auto"/>
                <w:highlight w:val="none"/>
                <w:lang w:eastAsia="zh-CN"/>
              </w:rPr>
              <w:t xml:space="preserve">LED芯片或模组性能参数： </w:t>
            </w:r>
          </w:p>
          <w:p>
            <w:pPr>
              <w:spacing w:line="360" w:lineRule="exact"/>
              <w:ind w:firstLine="420"/>
              <w:rPr>
                <w:color w:val="auto"/>
                <w:highlight w:val="none"/>
              </w:rPr>
            </w:pPr>
            <w:r>
              <w:rPr>
                <w:color w:val="auto"/>
                <w:highlight w:val="none"/>
              </w:rPr>
              <w:t xml:space="preserve">A. Ra≥90，R9&gt;0； </w:t>
            </w:r>
          </w:p>
          <w:p>
            <w:pPr>
              <w:spacing w:line="360" w:lineRule="exact"/>
              <w:ind w:firstLine="420"/>
              <w:rPr>
                <w:color w:val="auto"/>
                <w:highlight w:val="none"/>
              </w:rPr>
            </w:pPr>
            <w:r>
              <w:rPr>
                <w:color w:val="auto"/>
                <w:highlight w:val="none"/>
              </w:rPr>
              <w:t xml:space="preserve">B. 白光一致性，SDCM≤4； </w:t>
            </w:r>
          </w:p>
          <w:p>
            <w:pPr>
              <w:spacing w:line="360" w:lineRule="exact"/>
              <w:ind w:firstLine="420"/>
              <w:rPr>
                <w:color w:val="auto"/>
                <w:highlight w:val="none"/>
              </w:rPr>
            </w:pPr>
            <w:r>
              <w:rPr>
                <w:color w:val="auto"/>
                <w:highlight w:val="none"/>
              </w:rPr>
              <w:t xml:space="preserve">C. 芯片的光衰：3000h不低于96%初始亮度，6000h不低于92%初始亮度； </w:t>
            </w:r>
          </w:p>
          <w:p>
            <w:pPr>
              <w:spacing w:line="360" w:lineRule="exact"/>
              <w:ind w:firstLine="420"/>
              <w:rPr>
                <w:color w:val="auto"/>
                <w:highlight w:val="none"/>
                <w:lang w:eastAsia="zh-CN"/>
              </w:rPr>
            </w:pPr>
            <w:r>
              <w:rPr>
                <w:color w:val="auto"/>
                <w:highlight w:val="none"/>
                <w:lang w:eastAsia="zh-CN"/>
              </w:rPr>
              <w:t xml:space="preserve">D. 寿命：50000h@L70,B50。 </w:t>
            </w:r>
          </w:p>
          <w:p>
            <w:pPr>
              <w:spacing w:line="360" w:lineRule="exact"/>
              <w:ind w:firstLine="420"/>
              <w:rPr>
                <w:color w:val="auto"/>
                <w:highlight w:val="none"/>
                <w:lang w:eastAsia="zh-CN"/>
              </w:rPr>
            </w:pPr>
            <w:r>
              <w:rPr>
                <w:rFonts w:hint="eastAsia"/>
                <w:color w:val="auto"/>
                <w:highlight w:val="none"/>
                <w:lang w:eastAsia="zh-CN"/>
              </w:rPr>
              <w:t>防护等级：</w:t>
            </w:r>
            <w:r>
              <w:rPr>
                <w:color w:val="auto"/>
                <w:highlight w:val="none"/>
                <w:lang w:eastAsia="zh-CN"/>
              </w:rPr>
              <w:t xml:space="preserve">IP20； </w:t>
            </w:r>
          </w:p>
          <w:p>
            <w:pPr>
              <w:spacing w:line="360" w:lineRule="exact"/>
              <w:ind w:firstLine="420"/>
              <w:rPr>
                <w:color w:val="auto"/>
                <w:highlight w:val="none"/>
                <w:lang w:eastAsia="zh-CN"/>
              </w:rPr>
            </w:pPr>
            <w:r>
              <w:rPr>
                <w:rFonts w:hint="eastAsia"/>
                <w:color w:val="auto"/>
                <w:highlight w:val="none"/>
                <w:lang w:eastAsia="zh-CN"/>
              </w:rPr>
              <w:t>认证：</w:t>
            </w:r>
            <w:r>
              <w:rPr>
                <w:color w:val="auto"/>
                <w:highlight w:val="none"/>
                <w:lang w:eastAsia="zh-CN"/>
              </w:rPr>
              <w:t xml:space="preserve">CE/ ENEC </w:t>
            </w:r>
            <w:r>
              <w:rPr>
                <w:rFonts w:hint="eastAsia"/>
                <w:color w:val="auto"/>
                <w:highlight w:val="none"/>
                <w:lang w:eastAsia="zh-CN"/>
              </w:rPr>
              <w:t>或</w:t>
            </w:r>
            <w:r>
              <w:rPr>
                <w:color w:val="auto"/>
                <w:highlight w:val="none"/>
                <w:lang w:eastAsia="zh-CN"/>
              </w:rPr>
              <w:t xml:space="preserve"> CCC</w:t>
            </w:r>
          </w:p>
          <w:p>
            <w:pPr>
              <w:spacing w:line="360" w:lineRule="exact"/>
              <w:ind w:firstLine="420"/>
              <w:rPr>
                <w:color w:val="auto"/>
                <w:highlight w:val="none"/>
                <w:lang w:eastAsia="zh-CN"/>
              </w:rPr>
            </w:pPr>
            <w:r>
              <w:rPr>
                <w:rFonts w:hint="eastAsia"/>
                <w:color w:val="auto"/>
                <w:highlight w:val="none"/>
                <w:lang w:eastAsia="zh-CN"/>
              </w:rPr>
              <w:t>谐波</w:t>
            </w:r>
            <w:r>
              <w:rPr>
                <w:color w:val="auto"/>
                <w:highlight w:val="none"/>
                <w:lang w:eastAsia="zh-CN"/>
              </w:rPr>
              <w:t xml:space="preserve"> THD≤20%；功率因素&gt;0.9; </w:t>
            </w:r>
            <w:r>
              <w:rPr>
                <w:rFonts w:hint="eastAsia"/>
                <w:color w:val="auto"/>
                <w:highlight w:val="none"/>
                <w:lang w:eastAsia="zh-CN"/>
              </w:rPr>
              <w:t>能效转化率≥</w:t>
            </w:r>
            <w:r>
              <w:rPr>
                <w:color w:val="auto"/>
                <w:highlight w:val="none"/>
                <w:lang w:eastAsia="zh-CN"/>
              </w:rPr>
              <w:t>85%</w:t>
            </w:r>
          </w:p>
          <w:p>
            <w:pPr>
              <w:spacing w:line="360" w:lineRule="exact"/>
              <w:ind w:firstLine="420"/>
              <w:rPr>
                <w:color w:val="auto"/>
                <w:highlight w:val="none"/>
                <w:lang w:eastAsia="zh-CN"/>
              </w:rPr>
            </w:pPr>
            <w:r>
              <w:rPr>
                <w:rFonts w:hint="eastAsia"/>
                <w:color w:val="auto"/>
                <w:highlight w:val="none"/>
                <w:lang w:eastAsia="zh-CN"/>
              </w:rPr>
              <w:t>噪音等级：≤</w:t>
            </w:r>
            <w:r>
              <w:rPr>
                <w:color w:val="auto"/>
                <w:highlight w:val="none"/>
                <w:lang w:eastAsia="zh-CN"/>
              </w:rPr>
              <w:t>25dB(A)</w:t>
            </w:r>
          </w:p>
          <w:p>
            <w:pPr>
              <w:spacing w:line="360" w:lineRule="exact"/>
              <w:ind w:firstLine="420"/>
              <w:rPr>
                <w:color w:val="auto"/>
                <w:highlight w:val="none"/>
                <w:lang w:eastAsia="zh-CN"/>
              </w:rPr>
            </w:pPr>
            <w:r>
              <w:rPr>
                <w:rFonts w:hint="eastAsia"/>
                <w:color w:val="auto"/>
                <w:highlight w:val="none"/>
                <w:lang w:eastAsia="zh-CN"/>
              </w:rPr>
              <w:t>灯具材质为压铸铝，出光效率达到</w:t>
            </w:r>
            <w:r>
              <w:rPr>
                <w:color w:val="auto"/>
                <w:highlight w:val="none"/>
                <w:lang w:eastAsia="zh-CN"/>
              </w:rPr>
              <w:t>120lm/W，高光效高舒适率UGR&lt;19</w:t>
            </w:r>
          </w:p>
          <w:p>
            <w:pPr>
              <w:spacing w:line="360" w:lineRule="exact"/>
              <w:ind w:firstLine="420"/>
              <w:rPr>
                <w:color w:val="auto"/>
                <w:highlight w:val="none"/>
                <w:lang w:eastAsia="zh-CN"/>
              </w:rPr>
            </w:pPr>
            <w:r>
              <w:rPr>
                <w:rFonts w:hint="eastAsia"/>
                <w:color w:val="auto"/>
                <w:highlight w:val="none"/>
                <w:lang w:eastAsia="zh-CN"/>
              </w:rPr>
              <w:t>灯具的</w:t>
            </w:r>
            <w:r>
              <w:rPr>
                <w:color w:val="auto"/>
                <w:highlight w:val="none"/>
                <w:lang w:eastAsia="zh-CN"/>
              </w:rPr>
              <w:t>PMMA高透光材质，PMMA板为A级阻燃、抗紫外线，透光率≥90%</w:t>
            </w:r>
          </w:p>
          <w:p>
            <w:pPr>
              <w:spacing w:line="360" w:lineRule="exact"/>
              <w:ind w:firstLine="420"/>
              <w:rPr>
                <w:color w:val="auto"/>
                <w:highlight w:val="none"/>
                <w:lang w:eastAsia="zh-CN"/>
              </w:rPr>
            </w:pPr>
            <w:r>
              <w:rPr>
                <w:color w:val="auto"/>
                <w:highlight w:val="none"/>
                <w:lang w:eastAsia="zh-CN"/>
              </w:rPr>
              <w:t>3．照明光源、灯具及附属装置必须符合《建筑节能工程施工质量验收规范》GB50411-2007规定的相关要求。</w:t>
            </w:r>
          </w:p>
          <w:p>
            <w:pPr>
              <w:spacing w:line="360" w:lineRule="exact"/>
              <w:ind w:firstLine="420"/>
              <w:rPr>
                <w:color w:val="auto"/>
                <w:highlight w:val="none"/>
                <w:lang w:eastAsia="zh-CN"/>
              </w:rPr>
            </w:pPr>
            <w:r>
              <w:rPr>
                <w:color w:val="auto"/>
                <w:highlight w:val="none"/>
                <w:lang w:eastAsia="zh-CN"/>
              </w:rPr>
              <w:t>4、中标单位在灯具采购订货前必须提供样品供发包人确认后方可采购。</w:t>
            </w:r>
          </w:p>
          <w:p>
            <w:pPr>
              <w:spacing w:line="360" w:lineRule="exact"/>
              <w:rPr>
                <w:color w:val="auto"/>
                <w:highlight w:val="none"/>
                <w:lang w:eastAsia="zh-CN"/>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00" w:hRule="atLeast"/>
        </w:trPr>
        <w:tc>
          <w:tcPr>
            <w:tcW w:w="851" w:type="dxa"/>
            <w:vAlign w:val="center"/>
          </w:tcPr>
          <w:p>
            <w:pPr>
              <w:rPr>
                <w:color w:val="auto"/>
                <w:highlight w:val="none"/>
              </w:rPr>
            </w:pPr>
            <w:r>
              <w:rPr>
                <w:color w:val="auto"/>
                <w:highlight w:val="none"/>
              </w:rPr>
              <w:t>11</w:t>
            </w:r>
          </w:p>
        </w:tc>
        <w:tc>
          <w:tcPr>
            <w:tcW w:w="1417" w:type="dxa"/>
            <w:vAlign w:val="center"/>
          </w:tcPr>
          <w:p>
            <w:pPr>
              <w:rPr>
                <w:color w:val="auto"/>
                <w:highlight w:val="none"/>
              </w:rPr>
            </w:pPr>
            <w:r>
              <w:rPr>
                <w:rFonts w:hint="eastAsia"/>
                <w:color w:val="auto"/>
                <w:highlight w:val="none"/>
              </w:rPr>
              <w:t>可挠性金属电线管</w:t>
            </w:r>
          </w:p>
        </w:tc>
        <w:tc>
          <w:tcPr>
            <w:tcW w:w="7230" w:type="dxa"/>
            <w:vAlign w:val="center"/>
          </w:tcPr>
          <w:p>
            <w:pPr>
              <w:rPr>
                <w:color w:val="auto"/>
                <w:highlight w:val="none"/>
                <w:lang w:eastAsia="zh-CN"/>
              </w:rPr>
            </w:pPr>
            <w:r>
              <w:rPr>
                <w:color w:val="auto"/>
                <w:highlight w:val="none"/>
                <w:lang w:eastAsia="zh-CN"/>
              </w:rPr>
              <w:t>2</w:t>
            </w:r>
            <w:r>
              <w:rPr>
                <w:rFonts w:hint="eastAsia"/>
                <w:color w:val="auto"/>
                <w:highlight w:val="none"/>
                <w:lang w:eastAsia="zh-CN"/>
              </w:rPr>
              <w:t>、可挠性金属电线管必须外包阻燃的</w:t>
            </w:r>
            <w:r>
              <w:rPr>
                <w:color w:val="auto"/>
                <w:highlight w:val="none"/>
                <w:lang w:eastAsia="zh-CN"/>
              </w:rPr>
              <w:t>PVC</w:t>
            </w:r>
            <w:r>
              <w:rPr>
                <w:rFonts w:hint="eastAsia"/>
                <w:color w:val="auto"/>
                <w:highlight w:val="none"/>
                <w:lang w:eastAsia="zh-CN"/>
              </w:rPr>
              <w:t>护套，并配置各种类型的专用连接头。连接头必须稳固于金属管或设备外壳上，以避免由于接头连接不牢使电线、电缆暴露而受损。</w:t>
            </w:r>
          </w:p>
          <w:p>
            <w:pPr>
              <w:rPr>
                <w:color w:val="auto"/>
                <w:highlight w:val="none"/>
                <w:lang w:eastAsia="zh-CN"/>
              </w:rPr>
            </w:pPr>
            <w:r>
              <w:rPr>
                <w:color w:val="auto"/>
                <w:highlight w:val="none"/>
                <w:lang w:eastAsia="zh-CN"/>
              </w:rPr>
              <w:t>3</w:t>
            </w:r>
            <w:r>
              <w:rPr>
                <w:rFonts w:hint="eastAsia"/>
                <w:color w:val="auto"/>
                <w:highlight w:val="none"/>
                <w:lang w:eastAsia="zh-CN"/>
              </w:rPr>
              <w:t>、可挠性金属电线管在扭曲时不应脱绞。</w:t>
            </w:r>
          </w:p>
          <w:p>
            <w:pPr>
              <w:rPr>
                <w:color w:val="auto"/>
                <w:highlight w:val="none"/>
                <w:lang w:eastAsia="zh-CN"/>
              </w:rPr>
            </w:pPr>
            <w:r>
              <w:rPr>
                <w:color w:val="auto"/>
                <w:highlight w:val="none"/>
                <w:lang w:eastAsia="zh-CN"/>
              </w:rPr>
              <w:t>4</w:t>
            </w:r>
            <w:r>
              <w:rPr>
                <w:rFonts w:hint="eastAsia"/>
                <w:color w:val="auto"/>
                <w:highlight w:val="none"/>
                <w:lang w:eastAsia="zh-CN"/>
              </w:rPr>
              <w:t>、金属电线管上必须有厂家名称、生产标准等标识。</w:t>
            </w:r>
          </w:p>
          <w:p>
            <w:pPr>
              <w:rPr>
                <w:color w:val="auto"/>
                <w:highlight w:val="none"/>
                <w:lang w:eastAsia="zh-CN"/>
              </w:rPr>
            </w:pPr>
            <w:r>
              <w:rPr>
                <w:color w:val="auto"/>
                <w:highlight w:val="none"/>
                <w:lang w:eastAsia="zh-CN"/>
              </w:rPr>
              <w:t>5</w:t>
            </w:r>
            <w:r>
              <w:rPr>
                <w:rFonts w:hint="eastAsia"/>
                <w:color w:val="auto"/>
                <w:highlight w:val="none"/>
                <w:lang w:eastAsia="zh-CN"/>
              </w:rPr>
              <w:t>、材料订货前要求提供样品，报招标人、设计、监理确认后方可订货。</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00" w:hRule="atLeast"/>
        </w:trPr>
        <w:tc>
          <w:tcPr>
            <w:tcW w:w="851" w:type="dxa"/>
            <w:vAlign w:val="center"/>
          </w:tcPr>
          <w:p>
            <w:pPr>
              <w:rPr>
                <w:color w:val="auto"/>
                <w:highlight w:val="none"/>
              </w:rPr>
            </w:pPr>
            <w:r>
              <w:rPr>
                <w:color w:val="auto"/>
                <w:highlight w:val="none"/>
              </w:rPr>
              <w:t>12</w:t>
            </w:r>
          </w:p>
        </w:tc>
        <w:tc>
          <w:tcPr>
            <w:tcW w:w="1417" w:type="dxa"/>
            <w:vAlign w:val="center"/>
          </w:tcPr>
          <w:p>
            <w:pPr>
              <w:rPr>
                <w:color w:val="auto"/>
                <w:highlight w:val="none"/>
                <w:lang w:eastAsia="zh-CN"/>
              </w:rPr>
            </w:pPr>
            <w:r>
              <w:rPr>
                <w:rFonts w:hint="eastAsia"/>
                <w:color w:val="auto"/>
                <w:highlight w:val="none"/>
                <w:lang w:eastAsia="zh-CN"/>
              </w:rPr>
              <w:t>阻燃型硬质塑料管、</w:t>
            </w:r>
            <w:r>
              <w:rPr>
                <w:color w:val="auto"/>
                <w:highlight w:val="none"/>
                <w:lang w:eastAsia="zh-CN"/>
              </w:rPr>
              <w:t>PVC</w:t>
            </w:r>
            <w:r>
              <w:rPr>
                <w:rFonts w:hint="eastAsia"/>
                <w:color w:val="auto"/>
                <w:highlight w:val="none"/>
                <w:lang w:eastAsia="zh-CN"/>
              </w:rPr>
              <w:t>管</w:t>
            </w:r>
          </w:p>
        </w:tc>
        <w:tc>
          <w:tcPr>
            <w:tcW w:w="7230" w:type="dxa"/>
            <w:vAlign w:val="center"/>
          </w:tcPr>
          <w:p>
            <w:pPr>
              <w:rPr>
                <w:color w:val="auto"/>
                <w:highlight w:val="none"/>
                <w:lang w:eastAsia="zh-CN"/>
              </w:rPr>
            </w:pPr>
            <w:r>
              <w:rPr>
                <w:color w:val="auto"/>
                <w:highlight w:val="none"/>
                <w:lang w:eastAsia="zh-CN"/>
              </w:rPr>
              <w:t>2</w:t>
            </w:r>
            <w:r>
              <w:rPr>
                <w:rFonts w:hint="eastAsia"/>
                <w:color w:val="auto"/>
                <w:highlight w:val="none"/>
                <w:lang w:eastAsia="zh-CN"/>
              </w:rPr>
              <w:t>、符合</w:t>
            </w:r>
            <w:r>
              <w:rPr>
                <w:color w:val="auto"/>
                <w:highlight w:val="none"/>
                <w:lang w:eastAsia="zh-CN"/>
              </w:rPr>
              <w:t>JB3050</w:t>
            </w:r>
            <w:r>
              <w:rPr>
                <w:rFonts w:hint="eastAsia"/>
                <w:color w:val="auto"/>
                <w:highlight w:val="none"/>
                <w:lang w:eastAsia="zh-CN"/>
              </w:rPr>
              <w:t>等国家标准。</w:t>
            </w:r>
          </w:p>
          <w:p>
            <w:pPr>
              <w:rPr>
                <w:color w:val="auto"/>
                <w:highlight w:val="none"/>
                <w:lang w:eastAsia="zh-CN"/>
              </w:rPr>
            </w:pPr>
            <w:r>
              <w:rPr>
                <w:color w:val="auto"/>
                <w:highlight w:val="none"/>
                <w:lang w:eastAsia="zh-CN"/>
              </w:rPr>
              <w:t>3</w:t>
            </w:r>
            <w:r>
              <w:rPr>
                <w:rFonts w:hint="eastAsia"/>
                <w:color w:val="auto"/>
                <w:highlight w:val="none"/>
                <w:lang w:eastAsia="zh-CN"/>
              </w:rPr>
              <w:t>、硬质塑料管的材质应具有阻燃、耐热、耐冲击的性能，含氧指数不应低于</w:t>
            </w:r>
            <w:r>
              <w:rPr>
                <w:color w:val="auto"/>
                <w:highlight w:val="none"/>
                <w:lang w:eastAsia="zh-CN"/>
              </w:rPr>
              <w:t>30%</w:t>
            </w:r>
            <w:r>
              <w:rPr>
                <w:rFonts w:hint="eastAsia"/>
                <w:color w:val="auto"/>
                <w:highlight w:val="none"/>
                <w:lang w:eastAsia="zh-CN"/>
              </w:rPr>
              <w:t>。</w:t>
            </w:r>
          </w:p>
          <w:p>
            <w:pPr>
              <w:rPr>
                <w:color w:val="auto"/>
                <w:highlight w:val="none"/>
                <w:lang w:eastAsia="zh-CN"/>
              </w:rPr>
            </w:pPr>
            <w:r>
              <w:rPr>
                <w:color w:val="auto"/>
                <w:highlight w:val="none"/>
                <w:lang w:eastAsia="zh-CN"/>
              </w:rPr>
              <w:t>4</w:t>
            </w:r>
            <w:r>
              <w:rPr>
                <w:rFonts w:hint="eastAsia"/>
                <w:color w:val="auto"/>
                <w:highlight w:val="none"/>
                <w:lang w:eastAsia="zh-CN"/>
              </w:rPr>
              <w:t>、塑料管应里外光滑，无凹凸、针孔、气泡。</w:t>
            </w:r>
          </w:p>
          <w:p>
            <w:pPr>
              <w:rPr>
                <w:color w:val="auto"/>
                <w:highlight w:val="none"/>
                <w:lang w:eastAsia="zh-CN"/>
              </w:rPr>
            </w:pPr>
            <w:r>
              <w:rPr>
                <w:color w:val="auto"/>
                <w:highlight w:val="none"/>
                <w:lang w:eastAsia="zh-CN"/>
              </w:rPr>
              <w:t>5</w:t>
            </w:r>
            <w:r>
              <w:rPr>
                <w:rFonts w:hint="eastAsia"/>
                <w:color w:val="auto"/>
                <w:highlight w:val="none"/>
                <w:lang w:eastAsia="zh-CN"/>
              </w:rPr>
              <w:t>、管内外径尺寸应符合国家现行技术标准，管壁厚均匀一致。</w:t>
            </w:r>
          </w:p>
          <w:p>
            <w:pPr>
              <w:rPr>
                <w:color w:val="auto"/>
                <w:highlight w:val="none"/>
                <w:lang w:eastAsia="zh-CN"/>
              </w:rPr>
            </w:pPr>
            <w:r>
              <w:rPr>
                <w:color w:val="auto"/>
                <w:highlight w:val="none"/>
                <w:lang w:eastAsia="zh-CN"/>
              </w:rPr>
              <w:t>6</w:t>
            </w:r>
            <w:r>
              <w:rPr>
                <w:rFonts w:hint="eastAsia"/>
                <w:color w:val="auto"/>
                <w:highlight w:val="none"/>
                <w:lang w:eastAsia="zh-CN"/>
              </w:rPr>
              <w:t>、所选用阻燃型塑料管件、配件及暗配塑料型制品，必须使用同一生产厂生产的、配套的阻然性塑料制品（接线盒、插座盒、端结合、开关盒、灯头盒、管箍等）。其所属配件、附件，均应外观整齐、开孔齐全，无劈裂、损坏等现象。</w:t>
            </w:r>
          </w:p>
          <w:p>
            <w:pPr>
              <w:rPr>
                <w:color w:val="auto"/>
                <w:highlight w:val="none"/>
                <w:lang w:eastAsia="zh-CN"/>
              </w:rPr>
            </w:pPr>
            <w:r>
              <w:rPr>
                <w:color w:val="auto"/>
                <w:highlight w:val="none"/>
                <w:lang w:eastAsia="zh-CN"/>
              </w:rPr>
              <w:t>7</w:t>
            </w:r>
            <w:r>
              <w:rPr>
                <w:rFonts w:hint="eastAsia"/>
                <w:color w:val="auto"/>
                <w:highlight w:val="none"/>
                <w:lang w:eastAsia="zh-CN"/>
              </w:rPr>
              <w:t>、胶粘剂须是与阻燃型硬质塑料管匹配的定型产品，胶粘剂必须在使用期限以内。</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00" w:hRule="atLeast"/>
        </w:trPr>
        <w:tc>
          <w:tcPr>
            <w:tcW w:w="851" w:type="dxa"/>
            <w:vAlign w:val="center"/>
          </w:tcPr>
          <w:p>
            <w:pPr>
              <w:rPr>
                <w:color w:val="auto"/>
                <w:highlight w:val="none"/>
              </w:rPr>
            </w:pPr>
            <w:r>
              <w:rPr>
                <w:color w:val="auto"/>
                <w:highlight w:val="none"/>
              </w:rPr>
              <w:t>13</w:t>
            </w:r>
          </w:p>
        </w:tc>
        <w:tc>
          <w:tcPr>
            <w:tcW w:w="1417" w:type="dxa"/>
            <w:vAlign w:val="center"/>
          </w:tcPr>
          <w:p>
            <w:pPr>
              <w:rPr>
                <w:color w:val="auto"/>
                <w:highlight w:val="none"/>
              </w:rPr>
            </w:pPr>
          </w:p>
          <w:p>
            <w:pPr>
              <w:rPr>
                <w:color w:val="auto"/>
                <w:highlight w:val="none"/>
              </w:rPr>
            </w:pPr>
            <w:r>
              <w:rPr>
                <w:rFonts w:hint="eastAsia"/>
                <w:color w:val="auto"/>
                <w:highlight w:val="none"/>
              </w:rPr>
              <w:t>紧定式套接钢管</w:t>
            </w:r>
          </w:p>
        </w:tc>
        <w:tc>
          <w:tcPr>
            <w:tcW w:w="7230" w:type="dxa"/>
            <w:vAlign w:val="center"/>
          </w:tcPr>
          <w:p>
            <w:pPr>
              <w:rPr>
                <w:color w:val="auto"/>
                <w:highlight w:val="none"/>
                <w:lang w:eastAsia="zh-CN"/>
              </w:rPr>
            </w:pPr>
            <w:r>
              <w:rPr>
                <w:color w:val="auto"/>
                <w:highlight w:val="none"/>
                <w:lang w:eastAsia="zh-CN"/>
              </w:rPr>
              <w:t>2</w:t>
            </w:r>
            <w:r>
              <w:rPr>
                <w:rFonts w:hint="eastAsia"/>
                <w:color w:val="auto"/>
                <w:highlight w:val="none"/>
                <w:lang w:eastAsia="zh-CN"/>
              </w:rPr>
              <w:t>、满足《套接紧定式钢导管电线管路施工及验收规程</w:t>
            </w:r>
            <w:r>
              <w:rPr>
                <w:color w:val="auto"/>
                <w:highlight w:val="none"/>
                <w:lang w:eastAsia="zh-CN"/>
              </w:rPr>
              <w:t>CECS120:2007</w:t>
            </w:r>
            <w:r>
              <w:rPr>
                <w:rFonts w:hint="eastAsia"/>
                <w:color w:val="auto"/>
                <w:highlight w:val="none"/>
                <w:lang w:eastAsia="zh-CN"/>
              </w:rPr>
              <w:t>》。</w:t>
            </w:r>
          </w:p>
          <w:p>
            <w:pPr>
              <w:rPr>
                <w:color w:val="auto"/>
                <w:highlight w:val="none"/>
                <w:lang w:eastAsia="zh-CN"/>
              </w:rPr>
            </w:pPr>
            <w:r>
              <w:rPr>
                <w:color w:val="auto"/>
                <w:highlight w:val="none"/>
                <w:lang w:eastAsia="zh-CN"/>
              </w:rPr>
              <w:t>3</w:t>
            </w:r>
            <w:r>
              <w:rPr>
                <w:rFonts w:hint="eastAsia"/>
                <w:color w:val="auto"/>
                <w:highlight w:val="none"/>
                <w:lang w:eastAsia="zh-CN"/>
              </w:rPr>
              <w:t>、钢管的壁厚应均匀、一致，不应有折扁、裂缝、砂眼、塌陷等现象。</w:t>
            </w:r>
          </w:p>
          <w:p>
            <w:pPr>
              <w:rPr>
                <w:color w:val="auto"/>
                <w:highlight w:val="none"/>
                <w:lang w:eastAsia="zh-CN"/>
              </w:rPr>
            </w:pPr>
            <w:r>
              <w:rPr>
                <w:color w:val="auto"/>
                <w:highlight w:val="none"/>
                <w:lang w:eastAsia="zh-CN"/>
              </w:rPr>
              <w:t>4</w:t>
            </w:r>
            <w:r>
              <w:rPr>
                <w:rFonts w:hint="eastAsia"/>
                <w:color w:val="auto"/>
                <w:highlight w:val="none"/>
                <w:lang w:eastAsia="zh-CN"/>
              </w:rPr>
              <w:t>、内外表面应光滑，不应有折叠、裂缝、搭焊、缺焊、毛刺的现象。</w:t>
            </w:r>
          </w:p>
          <w:p>
            <w:pPr>
              <w:rPr>
                <w:color w:val="auto"/>
                <w:highlight w:val="none"/>
                <w:lang w:eastAsia="zh-CN"/>
              </w:rPr>
            </w:pPr>
            <w:r>
              <w:rPr>
                <w:color w:val="auto"/>
                <w:highlight w:val="none"/>
                <w:lang w:eastAsia="zh-CN"/>
              </w:rPr>
              <w:t>5</w:t>
            </w:r>
            <w:r>
              <w:rPr>
                <w:rFonts w:hint="eastAsia"/>
                <w:color w:val="auto"/>
                <w:highlight w:val="none"/>
                <w:lang w:eastAsia="zh-CN"/>
              </w:rPr>
              <w:t>、采用热浸镀锌，镀锌层应均匀一致、完好无损，不得有剥落、气泡的现象。</w:t>
            </w:r>
          </w:p>
          <w:p>
            <w:pPr>
              <w:rPr>
                <w:color w:val="auto"/>
                <w:highlight w:val="none"/>
                <w:lang w:eastAsia="zh-CN"/>
              </w:rPr>
            </w:pPr>
            <w:r>
              <w:rPr>
                <w:color w:val="auto"/>
                <w:highlight w:val="none"/>
                <w:lang w:eastAsia="zh-CN"/>
              </w:rPr>
              <w:t>6</w:t>
            </w:r>
            <w:r>
              <w:rPr>
                <w:rFonts w:hint="eastAsia"/>
                <w:color w:val="auto"/>
                <w:highlight w:val="none"/>
                <w:lang w:eastAsia="zh-CN"/>
              </w:rPr>
              <w:t>、国内大型钢铁厂产品，在钢管上必须有厂家名称、生产标准等标识。</w:t>
            </w:r>
          </w:p>
          <w:p>
            <w:pPr>
              <w:rPr>
                <w:color w:val="auto"/>
                <w:highlight w:val="none"/>
                <w:lang w:eastAsia="zh-CN"/>
              </w:rPr>
            </w:pPr>
            <w:r>
              <w:rPr>
                <w:color w:val="auto"/>
                <w:highlight w:val="none"/>
                <w:lang w:eastAsia="zh-CN"/>
              </w:rPr>
              <w:t>7</w:t>
            </w:r>
            <w:r>
              <w:rPr>
                <w:rFonts w:hint="eastAsia"/>
                <w:color w:val="auto"/>
                <w:highlight w:val="none"/>
                <w:lang w:eastAsia="zh-CN"/>
              </w:rPr>
              <w:t>、紧顶管（</w:t>
            </w:r>
            <w:r>
              <w:rPr>
                <w:color w:val="auto"/>
                <w:highlight w:val="none"/>
                <w:lang w:eastAsia="zh-CN"/>
              </w:rPr>
              <w:t>JDG</w:t>
            </w:r>
            <w:r>
              <w:rPr>
                <w:rFonts w:hint="eastAsia"/>
                <w:color w:val="auto"/>
                <w:highlight w:val="none"/>
                <w:lang w:eastAsia="zh-CN"/>
              </w:rPr>
              <w:t>）的壁厚不小于规范要求，不低于</w:t>
            </w:r>
            <w:r>
              <w:rPr>
                <w:color w:val="auto"/>
                <w:highlight w:val="none"/>
                <w:lang w:eastAsia="zh-CN"/>
              </w:rPr>
              <w:t>1.6mm</w:t>
            </w:r>
            <w:r>
              <w:rPr>
                <w:rFonts w:hint="eastAsia"/>
                <w:color w:val="auto"/>
                <w:highlight w:val="none"/>
                <w:lang w:eastAsia="zh-CN"/>
              </w:rPr>
              <w:t>。</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00" w:hRule="atLeast"/>
        </w:trPr>
        <w:tc>
          <w:tcPr>
            <w:tcW w:w="851" w:type="dxa"/>
            <w:vAlign w:val="center"/>
          </w:tcPr>
          <w:p>
            <w:pPr>
              <w:rPr>
                <w:color w:val="auto"/>
                <w:highlight w:val="none"/>
              </w:rPr>
            </w:pPr>
            <w:r>
              <w:rPr>
                <w:color w:val="auto"/>
                <w:highlight w:val="none"/>
              </w:rPr>
              <w:t>14</w:t>
            </w:r>
          </w:p>
        </w:tc>
        <w:tc>
          <w:tcPr>
            <w:tcW w:w="1417" w:type="dxa"/>
            <w:vAlign w:val="center"/>
          </w:tcPr>
          <w:p>
            <w:pPr>
              <w:rPr>
                <w:color w:val="auto"/>
                <w:highlight w:val="none"/>
                <w:lang w:eastAsia="zh-CN"/>
              </w:rPr>
            </w:pPr>
            <w:r>
              <w:rPr>
                <w:rFonts w:hint="eastAsia"/>
                <w:color w:val="auto"/>
                <w:highlight w:val="none"/>
                <w:lang w:eastAsia="zh-CN"/>
              </w:rPr>
              <w:t>隔离电源系统（医疗</w:t>
            </w:r>
            <w:r>
              <w:rPr>
                <w:color w:val="auto"/>
                <w:highlight w:val="none"/>
                <w:lang w:eastAsia="zh-CN"/>
              </w:rPr>
              <w:t>IT</w:t>
            </w:r>
            <w:r>
              <w:rPr>
                <w:rFonts w:hint="eastAsia"/>
                <w:color w:val="auto"/>
                <w:highlight w:val="none"/>
                <w:lang w:eastAsia="zh-CN"/>
              </w:rPr>
              <w:t>系统）</w:t>
            </w:r>
          </w:p>
          <w:p>
            <w:pPr>
              <w:rPr>
                <w:color w:val="auto"/>
                <w:highlight w:val="none"/>
                <w:lang w:eastAsia="zh-CN"/>
              </w:rPr>
            </w:pPr>
          </w:p>
        </w:tc>
        <w:tc>
          <w:tcPr>
            <w:tcW w:w="7230" w:type="dxa"/>
            <w:vAlign w:val="center"/>
          </w:tcPr>
          <w:p>
            <w:pPr>
              <w:rPr>
                <w:color w:val="auto"/>
                <w:highlight w:val="none"/>
                <w:lang w:eastAsia="zh-CN"/>
              </w:rPr>
            </w:pPr>
            <w:r>
              <w:rPr>
                <w:rFonts w:hint="eastAsia"/>
                <w:color w:val="auto"/>
                <w:highlight w:val="none"/>
                <w:lang w:eastAsia="zh-CN"/>
              </w:rPr>
              <w:t>隔离电源系统（医疗</w:t>
            </w:r>
            <w:r>
              <w:rPr>
                <w:color w:val="auto"/>
                <w:highlight w:val="none"/>
                <w:lang w:eastAsia="zh-CN"/>
              </w:rPr>
              <w:t>IT</w:t>
            </w:r>
            <w:r>
              <w:rPr>
                <w:rFonts w:hint="eastAsia"/>
                <w:color w:val="auto"/>
                <w:highlight w:val="none"/>
                <w:lang w:eastAsia="zh-CN"/>
              </w:rPr>
              <w:t>系统）满足</w:t>
            </w:r>
            <w:r>
              <w:rPr>
                <w:color w:val="auto"/>
                <w:highlight w:val="none"/>
                <w:lang w:eastAsia="zh-CN"/>
              </w:rPr>
              <w:t>GB16895/IEC60364</w:t>
            </w:r>
            <w:r>
              <w:rPr>
                <w:rFonts w:hint="eastAsia"/>
                <w:color w:val="auto"/>
                <w:highlight w:val="none"/>
                <w:lang w:eastAsia="zh-CN"/>
              </w:rPr>
              <w:t>标准、</w:t>
            </w:r>
            <w:r>
              <w:rPr>
                <w:color w:val="auto"/>
                <w:highlight w:val="none"/>
                <w:lang w:eastAsia="zh-CN"/>
              </w:rPr>
              <w:t>IEC60364-70710</w:t>
            </w:r>
            <w:r>
              <w:rPr>
                <w:rFonts w:hint="eastAsia"/>
                <w:color w:val="auto"/>
                <w:highlight w:val="none"/>
                <w:lang w:eastAsia="zh-CN"/>
              </w:rPr>
              <w:t>标准要求。应包括隔离变压器、绝缘监视仪、变压器负载和温控监视设备、报警显示设备</w:t>
            </w:r>
          </w:p>
          <w:p>
            <w:pPr>
              <w:rPr>
                <w:color w:val="auto"/>
                <w:highlight w:val="none"/>
                <w:lang w:eastAsia="zh-CN"/>
              </w:rPr>
            </w:pPr>
            <w:r>
              <w:rPr>
                <w:rFonts w:hint="eastAsia"/>
                <w:color w:val="auto"/>
                <w:highlight w:val="none"/>
                <w:lang w:eastAsia="zh-CN"/>
              </w:rPr>
              <w:t>一、隔离变压器</w:t>
            </w:r>
          </w:p>
          <w:p>
            <w:pPr>
              <w:rPr>
                <w:color w:val="auto"/>
                <w:highlight w:val="none"/>
                <w:lang w:eastAsia="zh-CN"/>
              </w:rPr>
            </w:pPr>
            <w:r>
              <w:rPr>
                <w:color w:val="auto"/>
                <w:highlight w:val="none"/>
                <w:lang w:eastAsia="zh-CN"/>
              </w:rPr>
              <w:t>1) </w:t>
            </w:r>
            <w:r>
              <w:rPr>
                <w:rFonts w:hint="eastAsia"/>
                <w:color w:val="auto"/>
                <w:highlight w:val="none"/>
                <w:lang w:eastAsia="zh-CN"/>
              </w:rPr>
              <w:t>满足《建筑物电气装置</w:t>
            </w:r>
            <w:r>
              <w:rPr>
                <w:color w:val="auto"/>
                <w:highlight w:val="none"/>
                <w:lang w:eastAsia="zh-CN"/>
              </w:rPr>
              <w:t xml:space="preserve"> </w:t>
            </w:r>
            <w:r>
              <w:rPr>
                <w:rFonts w:hint="eastAsia"/>
                <w:color w:val="auto"/>
                <w:highlight w:val="none"/>
                <w:lang w:eastAsia="zh-CN"/>
              </w:rPr>
              <w:t>第</w:t>
            </w:r>
            <w:r>
              <w:rPr>
                <w:color w:val="auto"/>
                <w:highlight w:val="none"/>
                <w:lang w:eastAsia="zh-CN"/>
              </w:rPr>
              <w:t>7-710</w:t>
            </w:r>
            <w:r>
              <w:rPr>
                <w:rFonts w:hint="eastAsia"/>
                <w:color w:val="auto"/>
                <w:highlight w:val="none"/>
                <w:lang w:eastAsia="zh-CN"/>
              </w:rPr>
              <w:t>部分：特殊装置或场所的要求</w:t>
            </w:r>
            <w:r>
              <w:rPr>
                <w:color w:val="auto"/>
                <w:highlight w:val="none"/>
                <w:lang w:eastAsia="zh-CN"/>
              </w:rPr>
              <w:t>—</w:t>
            </w:r>
            <w:r>
              <w:rPr>
                <w:rFonts w:hint="eastAsia"/>
                <w:color w:val="auto"/>
                <w:highlight w:val="none"/>
                <w:lang w:eastAsia="zh-CN"/>
              </w:rPr>
              <w:t>医疗场所》</w:t>
            </w:r>
            <w:r>
              <w:rPr>
                <w:color w:val="auto"/>
                <w:highlight w:val="none"/>
                <w:lang w:eastAsia="zh-CN"/>
              </w:rPr>
              <w:t>GB16895.24-2005 / IEC60364-7-710:2002 710.512.1.6</w:t>
            </w:r>
            <w:r>
              <w:rPr>
                <w:rFonts w:hint="eastAsia"/>
                <w:color w:val="auto"/>
                <w:highlight w:val="none"/>
                <w:lang w:eastAsia="zh-CN"/>
              </w:rPr>
              <w:t>中规定</w:t>
            </w:r>
            <w:r>
              <w:rPr>
                <w:color w:val="auto"/>
                <w:highlight w:val="none"/>
                <w:lang w:eastAsia="zh-CN"/>
              </w:rPr>
              <w:t>:</w:t>
            </w:r>
            <w:r>
              <w:rPr>
                <w:rFonts w:hint="eastAsia"/>
                <w:color w:val="auto"/>
                <w:highlight w:val="none"/>
                <w:lang w:eastAsia="zh-CN"/>
              </w:rPr>
              <w:t>医用隔离变压器应符合</w:t>
            </w:r>
            <w:r>
              <w:rPr>
                <w:color w:val="auto"/>
                <w:highlight w:val="none"/>
                <w:lang w:eastAsia="zh-CN"/>
              </w:rPr>
              <w:t>IEC61558-2-15</w:t>
            </w:r>
            <w:r>
              <w:rPr>
                <w:rFonts w:hint="eastAsia"/>
                <w:color w:val="auto"/>
                <w:highlight w:val="none"/>
                <w:lang w:eastAsia="zh-CN"/>
              </w:rPr>
              <w:t>的要求。</w:t>
            </w:r>
            <w:r>
              <w:rPr>
                <w:color w:val="auto"/>
                <w:highlight w:val="none"/>
                <w:lang w:eastAsia="zh-CN"/>
              </w:rPr>
              <w:t> </w:t>
            </w:r>
          </w:p>
          <w:p>
            <w:pPr>
              <w:rPr>
                <w:color w:val="auto"/>
                <w:highlight w:val="none"/>
                <w:lang w:eastAsia="zh-CN"/>
              </w:rPr>
            </w:pPr>
            <w:r>
              <w:rPr>
                <w:color w:val="auto"/>
                <w:highlight w:val="none"/>
                <w:lang w:eastAsia="zh-CN"/>
              </w:rPr>
              <w:t>2) </w:t>
            </w:r>
            <w:r>
              <w:rPr>
                <w:rFonts w:hint="eastAsia"/>
                <w:color w:val="auto"/>
                <w:highlight w:val="none"/>
                <w:lang w:eastAsia="zh-CN"/>
              </w:rPr>
              <w:t>变压器应紧靠医疗场所安装，可在其内或其外，而且要安装在柜内或外护物内以免被无意地接触期带电部分。</w:t>
            </w:r>
          </w:p>
          <w:p>
            <w:pPr>
              <w:rPr>
                <w:color w:val="auto"/>
                <w:highlight w:val="none"/>
                <w:lang w:eastAsia="zh-CN"/>
              </w:rPr>
            </w:pPr>
            <w:r>
              <w:rPr>
                <w:color w:val="auto"/>
                <w:highlight w:val="none"/>
                <w:lang w:eastAsia="zh-CN"/>
              </w:rPr>
              <w:t>3) </w:t>
            </w:r>
            <w:r>
              <w:rPr>
                <w:rFonts w:hint="eastAsia"/>
                <w:color w:val="auto"/>
                <w:highlight w:val="none"/>
                <w:lang w:eastAsia="zh-CN"/>
              </w:rPr>
              <w:t>变压器的二次侧额定电压</w:t>
            </w:r>
            <w:r>
              <w:rPr>
                <w:color w:val="auto"/>
                <w:highlight w:val="none"/>
                <w:lang w:eastAsia="zh-CN"/>
              </w:rPr>
              <w:t>Un</w:t>
            </w:r>
            <w:r>
              <w:rPr>
                <w:rFonts w:hint="eastAsia"/>
                <w:color w:val="auto"/>
                <w:highlight w:val="none"/>
                <w:lang w:eastAsia="zh-CN"/>
              </w:rPr>
              <w:t>不应超过</w:t>
            </w:r>
            <w:r>
              <w:rPr>
                <w:color w:val="auto"/>
                <w:highlight w:val="none"/>
                <w:lang w:eastAsia="zh-CN"/>
              </w:rPr>
              <w:t>250V</w:t>
            </w:r>
            <w:r>
              <w:rPr>
                <w:rFonts w:hint="eastAsia"/>
                <w:color w:val="auto"/>
                <w:highlight w:val="none"/>
                <w:lang w:eastAsia="zh-CN"/>
              </w:rPr>
              <w:t>，用于移动式和固定式设备的医疗</w:t>
            </w:r>
            <w:r>
              <w:rPr>
                <w:color w:val="auto"/>
                <w:highlight w:val="none"/>
                <w:lang w:eastAsia="zh-CN"/>
              </w:rPr>
              <w:t>IT</w:t>
            </w:r>
            <w:r>
              <w:rPr>
                <w:rFonts w:hint="eastAsia"/>
                <w:color w:val="auto"/>
                <w:highlight w:val="none"/>
                <w:lang w:eastAsia="zh-CN"/>
              </w:rPr>
              <w:t>系统应采用单相变压器，其额定输出容量不应小于</w:t>
            </w:r>
            <w:r>
              <w:rPr>
                <w:color w:val="auto"/>
                <w:highlight w:val="none"/>
                <w:lang w:eastAsia="zh-CN"/>
              </w:rPr>
              <w:t>0.5Kva</w:t>
            </w:r>
            <w:r>
              <w:rPr>
                <w:rFonts w:hint="eastAsia"/>
                <w:color w:val="auto"/>
                <w:highlight w:val="none"/>
                <w:lang w:eastAsia="zh-CN"/>
              </w:rPr>
              <w:t>，但不应超过</w:t>
            </w:r>
            <w:r>
              <w:rPr>
                <w:color w:val="auto"/>
                <w:highlight w:val="none"/>
                <w:lang w:eastAsia="zh-CN"/>
              </w:rPr>
              <w:t>10Kva</w:t>
            </w:r>
            <w:r>
              <w:rPr>
                <w:rFonts w:hint="eastAsia"/>
                <w:color w:val="auto"/>
                <w:highlight w:val="none"/>
                <w:lang w:eastAsia="zh-CN"/>
              </w:rPr>
              <w:t>。</w:t>
            </w:r>
            <w:r>
              <w:rPr>
                <w:color w:val="auto"/>
                <w:highlight w:val="none"/>
                <w:lang w:eastAsia="zh-CN"/>
              </w:rPr>
              <w:t xml:space="preserve">    </w:t>
            </w:r>
          </w:p>
          <w:p>
            <w:pPr>
              <w:rPr>
                <w:color w:val="auto"/>
                <w:highlight w:val="none"/>
                <w:lang w:eastAsia="zh-CN"/>
              </w:rPr>
            </w:pPr>
            <w:r>
              <w:rPr>
                <w:color w:val="auto"/>
                <w:highlight w:val="none"/>
                <w:lang w:eastAsia="zh-CN"/>
              </w:rPr>
              <w:t>4) </w:t>
            </w:r>
            <w:r>
              <w:rPr>
                <w:rFonts w:hint="eastAsia"/>
                <w:color w:val="auto"/>
                <w:highlight w:val="none"/>
                <w:lang w:eastAsia="zh-CN"/>
              </w:rPr>
              <w:t>医用隔离变压器的金属外壳需与局部等电位联结端子板联结。</w:t>
            </w:r>
            <w:r>
              <w:rPr>
                <w:color w:val="auto"/>
                <w:highlight w:val="none"/>
                <w:lang w:eastAsia="zh-CN"/>
              </w:rPr>
              <w:t xml:space="preserve">      </w:t>
            </w:r>
          </w:p>
          <w:p>
            <w:pPr>
              <w:rPr>
                <w:color w:val="auto"/>
                <w:highlight w:val="none"/>
                <w:lang w:eastAsia="zh-CN"/>
              </w:rPr>
            </w:pPr>
            <w:r>
              <w:rPr>
                <w:rFonts w:hint="eastAsia"/>
                <w:color w:val="auto"/>
                <w:highlight w:val="none"/>
                <w:lang w:eastAsia="zh-CN"/>
              </w:rPr>
              <w:t>二、绝缘监测仪</w:t>
            </w:r>
          </w:p>
          <w:p>
            <w:pPr>
              <w:rPr>
                <w:color w:val="auto"/>
                <w:highlight w:val="none"/>
                <w:lang w:eastAsia="zh-CN"/>
              </w:rPr>
            </w:pPr>
            <w:r>
              <w:rPr>
                <w:color w:val="auto"/>
                <w:highlight w:val="none"/>
                <w:lang w:eastAsia="zh-CN"/>
              </w:rPr>
              <w:t>1</w:t>
            </w:r>
            <w:r>
              <w:rPr>
                <w:rFonts w:hint="eastAsia"/>
                <w:color w:val="auto"/>
                <w:highlight w:val="none"/>
                <w:lang w:eastAsia="zh-CN"/>
              </w:rPr>
              <w:t>、绝缘监视报警系统应符合</w:t>
            </w:r>
            <w:r>
              <w:rPr>
                <w:color w:val="auto"/>
                <w:highlight w:val="none"/>
                <w:lang w:eastAsia="zh-CN"/>
              </w:rPr>
              <w:t>IEC61557-8</w:t>
            </w:r>
            <w:r>
              <w:rPr>
                <w:rFonts w:hint="eastAsia"/>
                <w:color w:val="auto"/>
                <w:highlight w:val="none"/>
                <w:lang w:eastAsia="zh-CN"/>
              </w:rPr>
              <w:t>和</w:t>
            </w:r>
            <w:r>
              <w:rPr>
                <w:color w:val="auto"/>
                <w:highlight w:val="none"/>
                <w:lang w:eastAsia="zh-CN"/>
              </w:rPr>
              <w:t>IEC60364-7-710</w:t>
            </w:r>
            <w:r>
              <w:rPr>
                <w:rFonts w:hint="eastAsia"/>
                <w:color w:val="auto"/>
                <w:highlight w:val="none"/>
                <w:lang w:eastAsia="zh-CN"/>
              </w:rPr>
              <w:t>标准。</w:t>
            </w:r>
          </w:p>
          <w:p>
            <w:pPr>
              <w:rPr>
                <w:color w:val="auto"/>
                <w:highlight w:val="none"/>
                <w:lang w:eastAsia="zh-CN"/>
              </w:rPr>
            </w:pPr>
            <w:r>
              <w:rPr>
                <w:color w:val="auto"/>
                <w:highlight w:val="none"/>
                <w:lang w:eastAsia="zh-CN"/>
              </w:rPr>
              <w:t>2</w:t>
            </w:r>
            <w:r>
              <w:rPr>
                <w:rFonts w:hint="eastAsia"/>
                <w:color w:val="auto"/>
                <w:highlight w:val="none"/>
                <w:lang w:eastAsia="zh-CN"/>
              </w:rPr>
              <w:t>、交流内阻抗应至少为</w:t>
            </w:r>
            <w:r>
              <w:rPr>
                <w:color w:val="auto"/>
                <w:highlight w:val="none"/>
                <w:lang w:eastAsia="zh-CN"/>
              </w:rPr>
              <w:t>100k</w:t>
            </w:r>
            <w:r>
              <w:rPr>
                <w:rFonts w:hint="eastAsia"/>
                <w:color w:val="auto"/>
                <w:highlight w:val="none"/>
              </w:rPr>
              <w:t>Ω</w:t>
            </w:r>
            <w:r>
              <w:rPr>
                <w:color w:val="auto"/>
                <w:highlight w:val="none"/>
                <w:lang w:eastAsia="zh-CN"/>
              </w:rPr>
              <w:t>;</w:t>
            </w:r>
          </w:p>
          <w:p>
            <w:pPr>
              <w:rPr>
                <w:color w:val="auto"/>
                <w:highlight w:val="none"/>
                <w:lang w:eastAsia="zh-CN"/>
              </w:rPr>
            </w:pPr>
            <w:r>
              <w:rPr>
                <w:color w:val="auto"/>
                <w:highlight w:val="none"/>
                <w:lang w:eastAsia="zh-CN"/>
              </w:rPr>
              <w:t xml:space="preserve">   </w:t>
            </w:r>
            <w:r>
              <w:rPr>
                <w:rFonts w:hint="eastAsia"/>
                <w:color w:val="auto"/>
                <w:highlight w:val="none"/>
                <w:lang w:eastAsia="zh-CN"/>
              </w:rPr>
              <w:t>测试电压不应大于直流</w:t>
            </w:r>
            <w:r>
              <w:rPr>
                <w:color w:val="auto"/>
                <w:highlight w:val="none"/>
                <w:lang w:eastAsia="zh-CN"/>
              </w:rPr>
              <w:t>25V;</w:t>
            </w:r>
          </w:p>
          <w:p>
            <w:pPr>
              <w:rPr>
                <w:color w:val="auto"/>
                <w:highlight w:val="none"/>
                <w:lang w:eastAsia="zh-CN"/>
              </w:rPr>
            </w:pPr>
            <w:r>
              <w:rPr>
                <w:color w:val="auto"/>
                <w:highlight w:val="none"/>
                <w:lang w:eastAsia="zh-CN"/>
              </w:rPr>
              <w:t xml:space="preserve">   </w:t>
            </w:r>
            <w:r>
              <w:rPr>
                <w:rFonts w:hint="eastAsia"/>
                <w:color w:val="auto"/>
                <w:highlight w:val="none"/>
                <w:lang w:eastAsia="zh-CN"/>
              </w:rPr>
              <w:t>即使在故障情况下，其注入电流的峰值不应大于</w:t>
            </w:r>
            <w:r>
              <w:rPr>
                <w:color w:val="auto"/>
                <w:highlight w:val="none"/>
                <w:lang w:eastAsia="zh-CN"/>
              </w:rPr>
              <w:t>1Ma;</w:t>
            </w:r>
          </w:p>
          <w:p>
            <w:pPr>
              <w:rPr>
                <w:color w:val="auto"/>
                <w:highlight w:val="none"/>
                <w:lang w:eastAsia="zh-CN"/>
              </w:rPr>
            </w:pPr>
            <w:r>
              <w:rPr>
                <w:color w:val="auto"/>
                <w:highlight w:val="none"/>
                <w:lang w:eastAsia="zh-CN"/>
              </w:rPr>
              <w:t xml:space="preserve">   </w:t>
            </w:r>
            <w:r>
              <w:rPr>
                <w:rFonts w:hint="eastAsia"/>
                <w:color w:val="auto"/>
                <w:highlight w:val="none"/>
                <w:lang w:eastAsia="zh-CN"/>
              </w:rPr>
              <w:t>最迟在绝缘电阻降至</w:t>
            </w:r>
            <w:r>
              <w:rPr>
                <w:color w:val="auto"/>
                <w:highlight w:val="none"/>
                <w:lang w:eastAsia="zh-CN"/>
              </w:rPr>
              <w:t>50 k</w:t>
            </w:r>
            <w:r>
              <w:rPr>
                <w:rFonts w:hint="eastAsia"/>
                <w:color w:val="auto"/>
                <w:highlight w:val="none"/>
              </w:rPr>
              <w:t>Ω</w:t>
            </w:r>
            <w:r>
              <w:rPr>
                <w:rFonts w:hint="eastAsia"/>
                <w:color w:val="auto"/>
                <w:highlight w:val="none"/>
                <w:lang w:eastAsia="zh-CN"/>
              </w:rPr>
              <w:t>时，应发出信号。应配置试验此功能的器具。</w:t>
            </w:r>
          </w:p>
          <w:p>
            <w:pPr>
              <w:rPr>
                <w:color w:val="auto"/>
                <w:highlight w:val="none"/>
                <w:lang w:eastAsia="zh-CN"/>
              </w:rPr>
            </w:pPr>
            <w:r>
              <w:rPr>
                <w:rFonts w:hint="eastAsia"/>
                <w:color w:val="auto"/>
                <w:highlight w:val="none"/>
                <w:lang w:eastAsia="zh-CN"/>
              </w:rPr>
              <w:t>三、报警显示系统</w:t>
            </w:r>
          </w:p>
          <w:p>
            <w:pPr>
              <w:rPr>
                <w:color w:val="auto"/>
                <w:highlight w:val="none"/>
                <w:lang w:eastAsia="zh-CN"/>
              </w:rPr>
            </w:pPr>
            <w:r>
              <w:rPr>
                <w:color w:val="auto"/>
                <w:highlight w:val="none"/>
                <w:lang w:eastAsia="zh-CN"/>
              </w:rPr>
              <w:t>1</w:t>
            </w:r>
            <w:r>
              <w:rPr>
                <w:rFonts w:hint="eastAsia"/>
                <w:color w:val="auto"/>
                <w:highlight w:val="none"/>
                <w:lang w:eastAsia="zh-CN"/>
              </w:rPr>
              <w:t>）、实时监视隔离变压器负荷状况及变压器的绕阻温度。</w:t>
            </w:r>
          </w:p>
          <w:p>
            <w:pPr>
              <w:rPr>
                <w:color w:val="auto"/>
                <w:highlight w:val="none"/>
                <w:lang w:eastAsia="zh-CN"/>
              </w:rPr>
            </w:pPr>
            <w:r>
              <w:rPr>
                <w:color w:val="auto"/>
                <w:highlight w:val="none"/>
                <w:lang w:eastAsia="zh-CN"/>
              </w:rPr>
              <w:t>2</w:t>
            </w:r>
            <w:r>
              <w:rPr>
                <w:rFonts w:hint="eastAsia"/>
                <w:color w:val="auto"/>
                <w:highlight w:val="none"/>
                <w:lang w:eastAsia="zh-CN"/>
              </w:rPr>
              <w:t>）、一只绿灯亮表示工作正常；</w:t>
            </w:r>
          </w:p>
          <w:p>
            <w:pPr>
              <w:rPr>
                <w:color w:val="auto"/>
                <w:highlight w:val="none"/>
                <w:lang w:eastAsia="zh-CN"/>
              </w:rPr>
            </w:pPr>
            <w:r>
              <w:rPr>
                <w:rFonts w:hint="eastAsia"/>
                <w:color w:val="auto"/>
                <w:highlight w:val="none"/>
                <w:lang w:eastAsia="zh-CN"/>
              </w:rPr>
              <w:t>当绝缘电阻下降到最小整定值时，一只黄灯亮。应不能消除或断开这个亮灯指示；</w:t>
            </w:r>
          </w:p>
          <w:p>
            <w:pPr>
              <w:rPr>
                <w:color w:val="auto"/>
                <w:highlight w:val="none"/>
                <w:lang w:eastAsia="zh-CN"/>
              </w:rPr>
            </w:pPr>
            <w:r>
              <w:rPr>
                <w:rFonts w:hint="eastAsia"/>
                <w:color w:val="auto"/>
                <w:highlight w:val="none"/>
                <w:lang w:eastAsia="zh-CN"/>
              </w:rPr>
              <w:t>当绝缘电阻下降到最小整定值时，音响报警动作。该音响报警可以解除；</w:t>
            </w:r>
          </w:p>
          <w:p>
            <w:pPr>
              <w:rPr>
                <w:color w:val="auto"/>
                <w:highlight w:val="none"/>
                <w:lang w:eastAsia="zh-CN"/>
              </w:rPr>
            </w:pPr>
            <w:r>
              <w:rPr>
                <w:rFonts w:hint="eastAsia"/>
                <w:color w:val="auto"/>
                <w:highlight w:val="none"/>
                <w:lang w:eastAsia="zh-CN"/>
              </w:rPr>
              <w:t>当故障被清除恢复正常后，黄色信号应熄灭。要求监测医疗</w:t>
            </w:r>
            <w:r>
              <w:rPr>
                <w:color w:val="auto"/>
                <w:highlight w:val="none"/>
                <w:lang w:eastAsia="zh-CN"/>
              </w:rPr>
              <w:t>IT</w:t>
            </w:r>
            <w:r>
              <w:rPr>
                <w:rFonts w:hint="eastAsia"/>
                <w:color w:val="auto"/>
                <w:highlight w:val="none"/>
                <w:lang w:eastAsia="zh-CN"/>
              </w:rPr>
              <w:t>变压器的负荷过热。</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00" w:hRule="atLeast"/>
        </w:trPr>
        <w:tc>
          <w:tcPr>
            <w:tcW w:w="851" w:type="dxa"/>
            <w:vAlign w:val="center"/>
          </w:tcPr>
          <w:p>
            <w:pPr>
              <w:rPr>
                <w:color w:val="auto"/>
                <w:highlight w:val="none"/>
              </w:rPr>
            </w:pPr>
            <w:r>
              <w:rPr>
                <w:color w:val="auto"/>
                <w:highlight w:val="none"/>
              </w:rPr>
              <w:t>15</w:t>
            </w:r>
          </w:p>
        </w:tc>
        <w:tc>
          <w:tcPr>
            <w:tcW w:w="1417" w:type="dxa"/>
            <w:vAlign w:val="center"/>
          </w:tcPr>
          <w:p>
            <w:pPr>
              <w:rPr>
                <w:color w:val="auto"/>
                <w:highlight w:val="none"/>
              </w:rPr>
            </w:pPr>
            <w:r>
              <w:rPr>
                <w:color w:val="auto"/>
                <w:highlight w:val="none"/>
              </w:rPr>
              <w:t>UPS</w:t>
            </w:r>
          </w:p>
        </w:tc>
        <w:tc>
          <w:tcPr>
            <w:tcW w:w="7230" w:type="dxa"/>
            <w:vAlign w:val="center"/>
          </w:tcPr>
          <w:p>
            <w:pPr>
              <w:rPr>
                <w:color w:val="auto"/>
                <w:highlight w:val="none"/>
                <w:lang w:eastAsia="zh-CN"/>
              </w:rPr>
            </w:pPr>
            <w:r>
              <w:rPr>
                <w:rFonts w:hint="eastAsia"/>
                <w:color w:val="auto"/>
                <w:highlight w:val="none"/>
                <w:lang w:eastAsia="zh-CN"/>
              </w:rPr>
              <w:t>洁净工程应保证用电可靠性，按</w:t>
            </w:r>
            <w:r>
              <w:rPr>
                <w:color w:val="auto"/>
                <w:highlight w:val="none"/>
                <w:lang w:eastAsia="zh-CN"/>
              </w:rPr>
              <w:t>GB50333-2002</w:t>
            </w:r>
            <w:r>
              <w:rPr>
                <w:rFonts w:hint="eastAsia"/>
                <w:color w:val="auto"/>
                <w:highlight w:val="none"/>
                <w:lang w:eastAsia="zh-CN"/>
              </w:rPr>
              <w:t>第</w:t>
            </w:r>
            <w:r>
              <w:rPr>
                <w:color w:val="auto"/>
                <w:highlight w:val="none"/>
                <w:lang w:eastAsia="zh-CN"/>
              </w:rPr>
              <w:t>8.3.1</w:t>
            </w:r>
            <w:r>
              <w:rPr>
                <w:rFonts w:hint="eastAsia"/>
                <w:color w:val="auto"/>
                <w:highlight w:val="none"/>
                <w:lang w:eastAsia="zh-CN"/>
              </w:rPr>
              <w:t>条执行。手术室配置在线</w:t>
            </w:r>
            <w:r>
              <w:rPr>
                <w:color w:val="auto"/>
                <w:highlight w:val="none"/>
                <w:lang w:eastAsia="zh-CN"/>
              </w:rPr>
              <w:t>UPS</w:t>
            </w:r>
            <w:r>
              <w:rPr>
                <w:rFonts w:hint="eastAsia"/>
                <w:strike/>
                <w:color w:val="auto"/>
                <w:highlight w:val="none"/>
                <w:lang w:eastAsia="zh-CN"/>
              </w:rPr>
              <w:t>（知名品牌）</w:t>
            </w:r>
            <w:r>
              <w:rPr>
                <w:rFonts w:hint="eastAsia"/>
                <w:color w:val="auto"/>
                <w:highlight w:val="none"/>
                <w:lang w:eastAsia="zh-CN"/>
              </w:rPr>
              <w:t>不间断电源（供电电源不少于一定时间，具体规定见工程量清单）。</w:t>
            </w:r>
          </w:p>
          <w:p>
            <w:pPr>
              <w:rPr>
                <w:color w:val="auto"/>
                <w:highlight w:val="none"/>
                <w:lang w:eastAsia="zh-CN"/>
              </w:rPr>
            </w:pPr>
            <w:r>
              <w:rPr>
                <w:rFonts w:hint="eastAsia"/>
                <w:color w:val="auto"/>
                <w:highlight w:val="none"/>
                <w:lang w:eastAsia="zh-CN"/>
              </w:rPr>
              <w:t>输入电压：</w:t>
            </w:r>
            <w:r>
              <w:rPr>
                <w:color w:val="auto"/>
                <w:highlight w:val="none"/>
                <w:lang w:eastAsia="zh-CN"/>
              </w:rPr>
              <w:t>380/220vac</w:t>
            </w:r>
            <w:r>
              <w:rPr>
                <w:rFonts w:hint="eastAsia"/>
                <w:color w:val="auto"/>
                <w:highlight w:val="none"/>
                <w:lang w:eastAsia="zh-CN"/>
              </w:rPr>
              <w:t>；输入电压范围：</w:t>
            </w:r>
            <w:r>
              <w:rPr>
                <w:color w:val="auto"/>
                <w:highlight w:val="none"/>
                <w:lang w:eastAsia="zh-CN"/>
              </w:rPr>
              <w:t>-20%</w:t>
            </w:r>
            <w:r>
              <w:rPr>
                <w:rFonts w:hint="eastAsia"/>
                <w:color w:val="auto"/>
                <w:highlight w:val="none"/>
                <w:lang w:eastAsia="zh-CN"/>
              </w:rPr>
              <w:t>～</w:t>
            </w:r>
            <w:r>
              <w:rPr>
                <w:color w:val="auto"/>
                <w:highlight w:val="none"/>
                <w:lang w:eastAsia="zh-CN"/>
              </w:rPr>
              <w:t xml:space="preserve">+25% </w:t>
            </w:r>
            <w:r>
              <w:rPr>
                <w:rFonts w:hint="eastAsia"/>
                <w:color w:val="auto"/>
                <w:highlight w:val="none"/>
                <w:lang w:eastAsia="zh-CN"/>
              </w:rPr>
              <w:t>；输入频率范围：</w:t>
            </w:r>
            <w:r>
              <w:rPr>
                <w:color w:val="auto"/>
                <w:highlight w:val="none"/>
                <w:lang w:eastAsia="zh-CN"/>
              </w:rPr>
              <w:t>46</w:t>
            </w:r>
            <w:r>
              <w:rPr>
                <w:rFonts w:hint="eastAsia"/>
                <w:color w:val="auto"/>
                <w:highlight w:val="none"/>
                <w:lang w:eastAsia="zh-CN"/>
              </w:rPr>
              <w:t>～</w:t>
            </w:r>
            <w:r>
              <w:rPr>
                <w:color w:val="auto"/>
                <w:highlight w:val="none"/>
                <w:lang w:eastAsia="zh-CN"/>
              </w:rPr>
              <w:t>54HZ</w:t>
            </w:r>
            <w:r>
              <w:rPr>
                <w:rFonts w:hint="eastAsia"/>
                <w:color w:val="auto"/>
                <w:highlight w:val="none"/>
                <w:lang w:eastAsia="zh-CN"/>
              </w:rPr>
              <w:t>；</w:t>
            </w:r>
          </w:p>
          <w:p>
            <w:pPr>
              <w:rPr>
                <w:color w:val="auto"/>
                <w:highlight w:val="none"/>
                <w:lang w:eastAsia="zh-CN"/>
              </w:rPr>
            </w:pPr>
            <w:r>
              <w:rPr>
                <w:rFonts w:hint="eastAsia"/>
                <w:color w:val="auto"/>
                <w:highlight w:val="none"/>
                <w:lang w:eastAsia="zh-CN"/>
              </w:rPr>
              <w:t>输出电压：</w:t>
            </w:r>
            <w:r>
              <w:rPr>
                <w:color w:val="auto"/>
                <w:highlight w:val="none"/>
                <w:lang w:eastAsia="zh-CN"/>
              </w:rPr>
              <w:t>220</w:t>
            </w:r>
            <w:r>
              <w:rPr>
                <w:rFonts w:hint="eastAsia"/>
                <w:color w:val="auto"/>
                <w:highlight w:val="none"/>
                <w:lang w:eastAsia="zh-CN"/>
              </w:rPr>
              <w:t>×（</w:t>
            </w:r>
            <w:r>
              <w:rPr>
                <w:color w:val="auto"/>
                <w:highlight w:val="none"/>
                <w:lang w:eastAsia="zh-CN"/>
              </w:rPr>
              <w:t>1</w:t>
            </w:r>
            <w:r>
              <w:rPr>
                <w:rFonts w:hint="eastAsia"/>
                <w:color w:val="auto"/>
                <w:highlight w:val="none"/>
                <w:lang w:eastAsia="zh-CN"/>
              </w:rPr>
              <w:t>±</w:t>
            </w:r>
            <w:r>
              <w:rPr>
                <w:color w:val="auto"/>
                <w:highlight w:val="none"/>
                <w:lang w:eastAsia="zh-CN"/>
              </w:rPr>
              <w:t>0.1%</w:t>
            </w:r>
            <w:r>
              <w:rPr>
                <w:rFonts w:hint="eastAsia"/>
                <w:color w:val="auto"/>
                <w:highlight w:val="none"/>
                <w:lang w:eastAsia="zh-CN"/>
              </w:rPr>
              <w:t>）</w:t>
            </w:r>
            <w:r>
              <w:rPr>
                <w:color w:val="auto"/>
                <w:highlight w:val="none"/>
                <w:lang w:eastAsia="zh-CN"/>
              </w:rPr>
              <w:t>VAC</w:t>
            </w:r>
            <w:r>
              <w:rPr>
                <w:rFonts w:hint="eastAsia"/>
                <w:color w:val="auto"/>
                <w:highlight w:val="none"/>
                <w:lang w:eastAsia="zh-CN"/>
              </w:rPr>
              <w:t>；频率：</w:t>
            </w:r>
            <w:r>
              <w:rPr>
                <w:color w:val="auto"/>
                <w:highlight w:val="none"/>
                <w:lang w:eastAsia="zh-CN"/>
              </w:rPr>
              <w:t>50</w:t>
            </w:r>
            <w:r>
              <w:rPr>
                <w:rFonts w:hint="eastAsia"/>
                <w:color w:val="auto"/>
                <w:highlight w:val="none"/>
                <w:lang w:eastAsia="zh-CN"/>
              </w:rPr>
              <w:t>×（</w:t>
            </w:r>
            <w:r>
              <w:rPr>
                <w:color w:val="auto"/>
                <w:highlight w:val="none"/>
                <w:lang w:eastAsia="zh-CN"/>
              </w:rPr>
              <w:t>1</w:t>
            </w:r>
            <w:r>
              <w:rPr>
                <w:rFonts w:hint="eastAsia"/>
                <w:color w:val="auto"/>
                <w:highlight w:val="none"/>
                <w:lang w:eastAsia="zh-CN"/>
              </w:rPr>
              <w:t>±</w:t>
            </w:r>
            <w:r>
              <w:rPr>
                <w:color w:val="auto"/>
                <w:highlight w:val="none"/>
                <w:lang w:eastAsia="zh-CN"/>
              </w:rPr>
              <w:t>0.1%</w:t>
            </w:r>
            <w:r>
              <w:rPr>
                <w:rFonts w:hint="eastAsia"/>
                <w:color w:val="auto"/>
                <w:highlight w:val="none"/>
                <w:lang w:eastAsia="zh-CN"/>
              </w:rPr>
              <w:t>）</w:t>
            </w:r>
            <w:r>
              <w:rPr>
                <w:color w:val="auto"/>
                <w:highlight w:val="none"/>
                <w:lang w:eastAsia="zh-CN"/>
              </w:rPr>
              <w:t>HZ</w:t>
            </w:r>
            <w:r>
              <w:rPr>
                <w:rFonts w:hint="eastAsia"/>
                <w:color w:val="auto"/>
                <w:highlight w:val="none"/>
                <w:lang w:eastAsia="zh-CN"/>
              </w:rPr>
              <w:t>；波形：正弦波；</w:t>
            </w:r>
          </w:p>
          <w:p>
            <w:pPr>
              <w:rPr>
                <w:color w:val="auto"/>
                <w:highlight w:val="none"/>
                <w:lang w:eastAsia="zh-CN"/>
              </w:rPr>
            </w:pPr>
            <w:r>
              <w:rPr>
                <w:rFonts w:hint="eastAsia"/>
                <w:color w:val="auto"/>
                <w:highlight w:val="none"/>
                <w:lang w:eastAsia="zh-CN"/>
              </w:rPr>
              <w:t>转换时间：纯在线式零转换</w:t>
            </w:r>
          </w:p>
          <w:p>
            <w:pPr>
              <w:rPr>
                <w:color w:val="auto"/>
                <w:highlight w:val="none"/>
                <w:lang w:eastAsia="zh-CN"/>
              </w:rPr>
            </w:pPr>
            <w:r>
              <w:rPr>
                <w:rFonts w:hint="eastAsia"/>
                <w:color w:val="auto"/>
                <w:highlight w:val="none"/>
                <w:lang w:eastAsia="zh-CN"/>
              </w:rPr>
              <w:t>主机技术要求；</w:t>
            </w:r>
          </w:p>
          <w:p>
            <w:pPr>
              <w:rPr>
                <w:color w:val="auto"/>
                <w:highlight w:val="none"/>
                <w:lang w:eastAsia="zh-CN"/>
              </w:rPr>
            </w:pPr>
            <w:r>
              <w:rPr>
                <w:rFonts w:hint="eastAsia"/>
                <w:color w:val="auto"/>
                <w:highlight w:val="none"/>
                <w:lang w:eastAsia="zh-CN"/>
              </w:rPr>
              <w:t>在线式双转换</w:t>
            </w:r>
            <w:r>
              <w:rPr>
                <w:color w:val="auto"/>
                <w:highlight w:val="none"/>
                <w:lang w:eastAsia="zh-CN"/>
              </w:rPr>
              <w:t>UPS</w:t>
            </w:r>
            <w:r>
              <w:rPr>
                <w:rFonts w:hint="eastAsia"/>
                <w:color w:val="auto"/>
                <w:highlight w:val="none"/>
                <w:lang w:eastAsia="zh-CN"/>
              </w:rPr>
              <w:t>产品</w:t>
            </w:r>
            <w:r>
              <w:rPr>
                <w:color w:val="auto"/>
                <w:highlight w:val="none"/>
                <w:lang w:eastAsia="zh-CN"/>
              </w:rPr>
              <w:t>,</w:t>
            </w:r>
            <w:r>
              <w:rPr>
                <w:rFonts w:hint="eastAsia"/>
                <w:color w:val="auto"/>
                <w:highlight w:val="none"/>
                <w:lang w:eastAsia="zh-CN"/>
              </w:rPr>
              <w:t>采用第四代</w:t>
            </w:r>
            <w:r>
              <w:rPr>
                <w:color w:val="auto"/>
                <w:highlight w:val="none"/>
                <w:lang w:eastAsia="zh-CN"/>
              </w:rPr>
              <w:t>DSP</w:t>
            </w:r>
            <w:r>
              <w:rPr>
                <w:rFonts w:hint="eastAsia"/>
                <w:color w:val="auto"/>
                <w:highlight w:val="none"/>
                <w:lang w:eastAsia="zh-CN"/>
              </w:rPr>
              <w:t>数字控制技术</w:t>
            </w:r>
            <w:r>
              <w:rPr>
                <w:color w:val="auto"/>
                <w:highlight w:val="none"/>
                <w:lang w:eastAsia="zh-CN"/>
              </w:rPr>
              <w:t>,</w:t>
            </w:r>
            <w:r>
              <w:rPr>
                <w:rFonts w:hint="eastAsia"/>
                <w:color w:val="auto"/>
                <w:highlight w:val="none"/>
                <w:lang w:eastAsia="zh-CN"/>
              </w:rPr>
              <w:t>保证长期连续运行</w:t>
            </w:r>
            <w:r>
              <w:rPr>
                <w:color w:val="auto"/>
                <w:highlight w:val="none"/>
                <w:lang w:eastAsia="zh-CN"/>
              </w:rPr>
              <w:t>,</w:t>
            </w:r>
            <w:r>
              <w:rPr>
                <w:rFonts w:hint="eastAsia"/>
                <w:color w:val="auto"/>
                <w:highlight w:val="none"/>
                <w:lang w:eastAsia="zh-CN"/>
              </w:rPr>
              <w:t>且输出电压、频率、谐波失真度等稳定精度在规定技术指标以内，标配内置输出隔离变压器。</w:t>
            </w:r>
          </w:p>
          <w:p>
            <w:pPr>
              <w:rPr>
                <w:color w:val="auto"/>
                <w:highlight w:val="none"/>
                <w:lang w:eastAsia="zh-CN"/>
              </w:rPr>
            </w:pPr>
            <w:r>
              <w:rPr>
                <w:rFonts w:hint="eastAsia"/>
                <w:color w:val="auto"/>
                <w:highlight w:val="none"/>
                <w:lang w:eastAsia="zh-CN"/>
              </w:rPr>
              <w:t>正常情况下由</w:t>
            </w:r>
            <w:r>
              <w:rPr>
                <w:color w:val="auto"/>
                <w:highlight w:val="none"/>
                <w:lang w:eastAsia="zh-CN"/>
              </w:rPr>
              <w:t>380/220V</w:t>
            </w:r>
            <w:r>
              <w:rPr>
                <w:rFonts w:hint="eastAsia"/>
                <w:color w:val="auto"/>
                <w:highlight w:val="none"/>
                <w:lang w:eastAsia="zh-CN"/>
              </w:rPr>
              <w:t>交流电供电，经整流器整流滤波为纯净直流电，由逆变器变换为稳频、稳压、无波形畸变，无干扰、同市电电网完全隔离的交流电，通过静态开关向负载供电；当交流电或整流器发生故障时，逆变器利用蓄电池直流电能无间断地继续向负载提供优质可靠的交流电。当交流电断电，负载由蓄电池供电后，如果交流电恢复供电，要求毫秒级转换为</w:t>
            </w:r>
            <w:r>
              <w:rPr>
                <w:color w:val="auto"/>
                <w:highlight w:val="none"/>
                <w:lang w:eastAsia="zh-CN"/>
              </w:rPr>
              <w:t>UPS</w:t>
            </w:r>
            <w:r>
              <w:rPr>
                <w:rFonts w:hint="eastAsia"/>
                <w:color w:val="auto"/>
                <w:highlight w:val="none"/>
                <w:lang w:eastAsia="zh-CN"/>
              </w:rPr>
              <w:t>的正常工作方式。当交流电工作电源断电，由旁路电源供电时，如果交流电恢复供电，要求</w:t>
            </w:r>
            <w:r>
              <w:rPr>
                <w:color w:val="auto"/>
                <w:highlight w:val="none"/>
                <w:lang w:eastAsia="zh-CN"/>
              </w:rPr>
              <w:t>UPS</w:t>
            </w:r>
            <w:r>
              <w:rPr>
                <w:rFonts w:hint="eastAsia"/>
                <w:color w:val="auto"/>
                <w:highlight w:val="none"/>
                <w:lang w:eastAsia="zh-CN"/>
              </w:rPr>
              <w:t>能毫秒级转换到正常工作方式。</w:t>
            </w:r>
          </w:p>
          <w:p>
            <w:pPr>
              <w:rPr>
                <w:color w:val="auto"/>
                <w:highlight w:val="none"/>
                <w:lang w:eastAsia="zh-CN"/>
              </w:rPr>
            </w:pPr>
            <w:r>
              <w:rPr>
                <w:rFonts w:hint="eastAsia"/>
                <w:color w:val="auto"/>
                <w:highlight w:val="none"/>
                <w:lang w:eastAsia="zh-CN"/>
              </w:rPr>
              <w:t>内部应采用智能化控制系统进行控制信息处理，对蓄电池进行有效地管理</w:t>
            </w:r>
          </w:p>
          <w:p>
            <w:pPr>
              <w:rPr>
                <w:color w:val="auto"/>
                <w:highlight w:val="none"/>
                <w:lang w:eastAsia="zh-CN"/>
              </w:rPr>
            </w:pPr>
            <w:r>
              <w:rPr>
                <w:rFonts w:hint="eastAsia"/>
                <w:color w:val="auto"/>
                <w:highlight w:val="none"/>
                <w:lang w:eastAsia="zh-CN"/>
              </w:rPr>
              <w:t>逆变输出具有输出隔离变压器，保证</w:t>
            </w:r>
            <w:r>
              <w:rPr>
                <w:color w:val="auto"/>
                <w:highlight w:val="none"/>
                <w:lang w:eastAsia="zh-CN"/>
              </w:rPr>
              <w:t>UPS</w:t>
            </w:r>
            <w:r>
              <w:rPr>
                <w:rFonts w:hint="eastAsia"/>
                <w:color w:val="auto"/>
                <w:highlight w:val="none"/>
                <w:lang w:eastAsia="zh-CN"/>
              </w:rPr>
              <w:t>的输出侧与市电的完全隔离，能够带三相</w:t>
            </w:r>
            <w:r>
              <w:rPr>
                <w:color w:val="auto"/>
                <w:highlight w:val="none"/>
                <w:lang w:eastAsia="zh-CN"/>
              </w:rPr>
              <w:t>100%</w:t>
            </w:r>
            <w:r>
              <w:rPr>
                <w:rFonts w:hint="eastAsia"/>
                <w:color w:val="auto"/>
                <w:highlight w:val="none"/>
                <w:lang w:eastAsia="zh-CN"/>
              </w:rPr>
              <w:t>不平衡负载，降低零地电压。须提供设备详细的产品说明书及系统原理图。若是高频机则按其产品制造设计选择是否配置隔离变压器。</w:t>
            </w:r>
          </w:p>
          <w:p>
            <w:pPr>
              <w:rPr>
                <w:color w:val="auto"/>
                <w:highlight w:val="none"/>
                <w:lang w:eastAsia="zh-CN"/>
              </w:rPr>
            </w:pPr>
            <w:r>
              <w:rPr>
                <w:rFonts w:hint="eastAsia"/>
                <w:color w:val="auto"/>
                <w:highlight w:val="none"/>
                <w:lang w:eastAsia="zh-CN"/>
              </w:rPr>
              <w:t>具有输出电缆线路压降自动补偿功能，可确保向用户终端负载提供高精度的稳压电源。</w:t>
            </w:r>
          </w:p>
          <w:p>
            <w:pPr>
              <w:rPr>
                <w:color w:val="auto"/>
                <w:highlight w:val="none"/>
                <w:lang w:eastAsia="zh-CN"/>
              </w:rPr>
            </w:pPr>
            <w:r>
              <w:rPr>
                <w:rFonts w:hint="eastAsia"/>
                <w:color w:val="auto"/>
                <w:highlight w:val="none"/>
                <w:lang w:eastAsia="zh-CN"/>
              </w:rPr>
              <w:t>配置手动维修旁路，保证实现不停电维护；静态开关可以带电热插拔，便于在线维修</w:t>
            </w:r>
          </w:p>
          <w:p>
            <w:pPr>
              <w:rPr>
                <w:color w:val="auto"/>
                <w:highlight w:val="none"/>
                <w:lang w:eastAsia="zh-CN"/>
              </w:rPr>
            </w:pPr>
            <w:r>
              <w:rPr>
                <w:rFonts w:hint="eastAsia"/>
                <w:color w:val="auto"/>
                <w:highlight w:val="none"/>
                <w:lang w:eastAsia="zh-CN"/>
              </w:rPr>
              <w:t>标准配置防雷器件，内置</w:t>
            </w:r>
            <w:r>
              <w:rPr>
                <w:color w:val="auto"/>
                <w:highlight w:val="none"/>
                <w:lang w:eastAsia="zh-CN"/>
              </w:rPr>
              <w:t>D</w:t>
            </w:r>
            <w:r>
              <w:rPr>
                <w:rFonts w:hint="eastAsia"/>
                <w:color w:val="auto"/>
                <w:highlight w:val="none"/>
                <w:lang w:eastAsia="zh-CN"/>
              </w:rPr>
              <w:t>级防雷器</w:t>
            </w:r>
          </w:p>
          <w:p>
            <w:pPr>
              <w:rPr>
                <w:color w:val="auto"/>
                <w:highlight w:val="none"/>
                <w:lang w:eastAsia="zh-CN"/>
              </w:rPr>
            </w:pPr>
            <w:r>
              <w:rPr>
                <w:rFonts w:hint="eastAsia"/>
                <w:color w:val="auto"/>
                <w:highlight w:val="none"/>
                <w:lang w:eastAsia="zh-CN"/>
              </w:rPr>
              <w:t>配置冗余式风扇散热系统，转速故障检测，可以热更换，并提供故障报警。</w:t>
            </w:r>
          </w:p>
          <w:p>
            <w:pPr>
              <w:rPr>
                <w:color w:val="auto"/>
                <w:highlight w:val="none"/>
                <w:lang w:eastAsia="zh-CN"/>
              </w:rPr>
            </w:pPr>
            <w:r>
              <w:rPr>
                <w:rFonts w:hint="eastAsia"/>
                <w:color w:val="auto"/>
                <w:highlight w:val="none"/>
                <w:lang w:eastAsia="zh-CN"/>
              </w:rPr>
              <w:t>智能化开机，开机过程自动完成。所有器件可以板前维护，节省空问。</w:t>
            </w:r>
            <w:r>
              <w:rPr>
                <w:color w:val="auto"/>
                <w:highlight w:val="none"/>
                <w:lang w:eastAsia="zh-CN"/>
              </w:rPr>
              <w:t xml:space="preserve"> </w:t>
            </w:r>
          </w:p>
          <w:p>
            <w:pPr>
              <w:rPr>
                <w:color w:val="auto"/>
                <w:highlight w:val="none"/>
                <w:lang w:eastAsia="zh-CN"/>
              </w:rPr>
            </w:pPr>
            <w:r>
              <w:rPr>
                <w:rFonts w:hint="eastAsia"/>
                <w:color w:val="auto"/>
                <w:highlight w:val="none"/>
                <w:lang w:eastAsia="zh-CN"/>
              </w:rPr>
              <w:t>具有优良的输入缓启动特性，采用输入功率“爬升”调控技术＋</w:t>
            </w:r>
            <w:r>
              <w:rPr>
                <w:color w:val="auto"/>
                <w:highlight w:val="none"/>
                <w:lang w:eastAsia="zh-CN"/>
              </w:rPr>
              <w:t xml:space="preserve"> </w:t>
            </w:r>
            <w:r>
              <w:rPr>
                <w:rFonts w:hint="eastAsia"/>
                <w:color w:val="auto"/>
                <w:highlight w:val="none"/>
                <w:lang w:eastAsia="zh-CN"/>
              </w:rPr>
              <w:t>“三阶”输入限流技术，大大缓和</w:t>
            </w:r>
            <w:r>
              <w:rPr>
                <w:color w:val="auto"/>
                <w:highlight w:val="none"/>
                <w:lang w:eastAsia="zh-CN"/>
              </w:rPr>
              <w:t>UPS</w:t>
            </w:r>
            <w:r>
              <w:rPr>
                <w:rFonts w:hint="eastAsia"/>
                <w:color w:val="auto"/>
                <w:highlight w:val="none"/>
                <w:lang w:eastAsia="zh-CN"/>
              </w:rPr>
              <w:t>电源对供电电网的“冲击”。</w:t>
            </w:r>
          </w:p>
          <w:p>
            <w:pPr>
              <w:rPr>
                <w:color w:val="auto"/>
                <w:highlight w:val="none"/>
                <w:lang w:eastAsia="zh-CN"/>
              </w:rPr>
            </w:pPr>
            <w:r>
              <w:rPr>
                <w:rFonts w:hint="eastAsia"/>
                <w:color w:val="auto"/>
                <w:highlight w:val="none"/>
                <w:lang w:eastAsia="zh-CN"/>
              </w:rPr>
              <w:t>提供</w:t>
            </w:r>
            <w:r>
              <w:rPr>
                <w:color w:val="auto"/>
                <w:highlight w:val="none"/>
                <w:lang w:eastAsia="zh-CN"/>
              </w:rPr>
              <w:t xml:space="preserve"> Rs232 </w:t>
            </w:r>
            <w:r>
              <w:rPr>
                <w:rFonts w:hint="eastAsia"/>
                <w:color w:val="auto"/>
                <w:highlight w:val="none"/>
                <w:lang w:eastAsia="zh-CN"/>
              </w:rPr>
              <w:t>通讯接口，具备报警信号输入输出接口，提供开放协议，可连接配电监控系统，系统可读取</w:t>
            </w:r>
            <w:r>
              <w:rPr>
                <w:color w:val="auto"/>
                <w:highlight w:val="none"/>
                <w:lang w:eastAsia="zh-CN"/>
              </w:rPr>
              <w:t xml:space="preserve"> UPS </w:t>
            </w:r>
            <w:r>
              <w:rPr>
                <w:rFonts w:hint="eastAsia"/>
                <w:color w:val="auto"/>
                <w:highlight w:val="none"/>
                <w:lang w:eastAsia="zh-CN"/>
              </w:rPr>
              <w:t>的输入输出参数、工作状态、报警纪录，电池状态等参数，并免费配合配电监控系统的调试工作。</w:t>
            </w:r>
            <w:r>
              <w:rPr>
                <w:color w:val="auto"/>
                <w:highlight w:val="none"/>
                <w:lang w:eastAsia="zh-CN"/>
              </w:rPr>
              <w:t xml:space="preserve"> </w:t>
            </w:r>
          </w:p>
          <w:p>
            <w:pPr>
              <w:rPr>
                <w:color w:val="auto"/>
                <w:highlight w:val="none"/>
                <w:lang w:eastAsia="zh-CN"/>
              </w:rPr>
            </w:pPr>
            <w:r>
              <w:rPr>
                <w:rFonts w:hint="eastAsia"/>
                <w:color w:val="auto"/>
                <w:highlight w:val="none"/>
                <w:lang w:eastAsia="zh-CN"/>
              </w:rPr>
              <w:t>要求</w:t>
            </w:r>
            <w:r>
              <w:rPr>
                <w:color w:val="auto"/>
                <w:highlight w:val="none"/>
                <w:lang w:eastAsia="zh-CN"/>
              </w:rPr>
              <w:t xml:space="preserve"> UPS </w:t>
            </w:r>
            <w:r>
              <w:rPr>
                <w:rFonts w:hint="eastAsia"/>
                <w:color w:val="auto"/>
                <w:highlight w:val="none"/>
                <w:lang w:eastAsia="zh-CN"/>
              </w:rPr>
              <w:t>必须有屏幕操作及监控界面，具备智能监控接口，可传送工作状态及事故报警信号。采用易看和易操作的屏幕液晶显示屏，随机记录</w:t>
            </w:r>
            <w:r>
              <w:rPr>
                <w:color w:val="auto"/>
                <w:highlight w:val="none"/>
                <w:lang w:eastAsia="zh-CN"/>
              </w:rPr>
              <w:t>UPS</w:t>
            </w:r>
            <w:r>
              <w:rPr>
                <w:rFonts w:hint="eastAsia"/>
                <w:color w:val="auto"/>
                <w:highlight w:val="none"/>
                <w:lang w:eastAsia="zh-CN"/>
              </w:rPr>
              <w:t>运行状态，提供可靠的原始数据，便于分拆故障原因。用户可获得如下信息：</w:t>
            </w:r>
            <w:r>
              <w:rPr>
                <w:color w:val="auto"/>
                <w:highlight w:val="none"/>
                <w:lang w:eastAsia="zh-CN"/>
              </w:rPr>
              <w:t xml:space="preserve"> UPS</w:t>
            </w:r>
            <w:r>
              <w:rPr>
                <w:rFonts w:hint="eastAsia"/>
                <w:color w:val="auto"/>
                <w:highlight w:val="none"/>
                <w:lang w:eastAsia="zh-CN"/>
              </w:rPr>
              <w:t>实际运行参数、</w:t>
            </w:r>
            <w:r>
              <w:rPr>
                <w:color w:val="auto"/>
                <w:highlight w:val="none"/>
                <w:lang w:eastAsia="zh-CN"/>
              </w:rPr>
              <w:t xml:space="preserve"> UPS</w:t>
            </w:r>
            <w:r>
              <w:rPr>
                <w:rFonts w:hint="eastAsia"/>
                <w:color w:val="auto"/>
                <w:highlight w:val="none"/>
                <w:lang w:eastAsia="zh-CN"/>
              </w:rPr>
              <w:t>运行的状态</w:t>
            </w:r>
            <w:r>
              <w:rPr>
                <w:color w:val="auto"/>
                <w:highlight w:val="none"/>
                <w:lang w:eastAsia="zh-CN"/>
              </w:rPr>
              <w:t xml:space="preserve"> </w:t>
            </w:r>
            <w:r>
              <w:rPr>
                <w:rFonts w:hint="eastAsia"/>
                <w:color w:val="auto"/>
                <w:highlight w:val="none"/>
                <w:lang w:eastAsia="zh-CN"/>
              </w:rPr>
              <w:t>、</w:t>
            </w:r>
            <w:r>
              <w:rPr>
                <w:color w:val="auto"/>
                <w:highlight w:val="none"/>
                <w:lang w:eastAsia="zh-CN"/>
              </w:rPr>
              <w:t>UPS</w:t>
            </w:r>
            <w:r>
              <w:rPr>
                <w:rFonts w:hint="eastAsia"/>
                <w:color w:val="auto"/>
                <w:highlight w:val="none"/>
                <w:lang w:eastAsia="zh-CN"/>
              </w:rPr>
              <w:t>各关键部件的运行统计资料。</w:t>
            </w:r>
          </w:p>
          <w:p>
            <w:pPr>
              <w:rPr>
                <w:color w:val="auto"/>
                <w:highlight w:val="none"/>
                <w:lang w:eastAsia="zh-CN"/>
              </w:rPr>
            </w:pPr>
            <w:r>
              <w:rPr>
                <w:rFonts w:hint="eastAsia"/>
                <w:color w:val="auto"/>
                <w:highlight w:val="none"/>
                <w:lang w:eastAsia="zh-CN"/>
              </w:rPr>
              <w:t>内部应采用智能化控制系统进行控制信息处理，对蓄电池进行有效地管理。</w:t>
            </w:r>
          </w:p>
          <w:p>
            <w:pPr>
              <w:rPr>
                <w:color w:val="auto"/>
                <w:highlight w:val="none"/>
                <w:lang w:eastAsia="zh-CN"/>
              </w:rPr>
            </w:pPr>
            <w:r>
              <w:rPr>
                <w:rFonts w:hint="eastAsia"/>
                <w:color w:val="auto"/>
                <w:highlight w:val="none"/>
                <w:lang w:eastAsia="zh-CN"/>
              </w:rPr>
              <w:t>提供国家级相关权威机构的型式检测报告。</w:t>
            </w:r>
          </w:p>
          <w:p>
            <w:pPr>
              <w:rPr>
                <w:color w:val="auto"/>
                <w:highlight w:val="none"/>
                <w:lang w:eastAsia="zh-CN"/>
              </w:rPr>
            </w:pPr>
            <w:r>
              <w:rPr>
                <w:rFonts w:hint="eastAsia"/>
                <w:color w:val="auto"/>
                <w:highlight w:val="none"/>
                <w:lang w:eastAsia="zh-CN"/>
              </w:rPr>
              <w:t>蓄电池技术要求</w:t>
            </w:r>
          </w:p>
          <w:p>
            <w:pPr>
              <w:rPr>
                <w:color w:val="auto"/>
                <w:highlight w:val="none"/>
                <w:lang w:eastAsia="zh-CN"/>
              </w:rPr>
            </w:pPr>
            <w:r>
              <w:rPr>
                <w:rFonts w:hint="eastAsia"/>
                <w:color w:val="auto"/>
                <w:highlight w:val="none"/>
                <w:lang w:eastAsia="zh-CN"/>
              </w:rPr>
              <w:t>蓄电池采用阀控式密封铅酸蓄电池。提供蓄电池配置的详细计算依据及输出功率与时间对照关系表。</w:t>
            </w:r>
          </w:p>
          <w:p>
            <w:pPr>
              <w:rPr>
                <w:color w:val="auto"/>
                <w:highlight w:val="none"/>
                <w:lang w:eastAsia="zh-CN"/>
              </w:rPr>
            </w:pPr>
            <w:r>
              <w:rPr>
                <w:rFonts w:hint="eastAsia"/>
                <w:color w:val="auto"/>
                <w:highlight w:val="none"/>
                <w:lang w:eastAsia="zh-CN"/>
              </w:rPr>
              <w:t>电池存储：蓄电池要便于存储，自放电率每月不大于</w:t>
            </w:r>
            <w:r>
              <w:rPr>
                <w:color w:val="auto"/>
                <w:highlight w:val="none"/>
                <w:lang w:eastAsia="zh-CN"/>
              </w:rPr>
              <w:t>3%</w:t>
            </w:r>
            <w:r>
              <w:rPr>
                <w:rFonts w:hint="eastAsia"/>
                <w:color w:val="auto"/>
                <w:highlight w:val="none"/>
                <w:lang w:eastAsia="zh-CN"/>
              </w:rPr>
              <w:t>。</w:t>
            </w:r>
          </w:p>
          <w:p>
            <w:pPr>
              <w:rPr>
                <w:color w:val="auto"/>
                <w:highlight w:val="none"/>
                <w:lang w:eastAsia="zh-CN"/>
              </w:rPr>
            </w:pPr>
            <w:r>
              <w:rPr>
                <w:rFonts w:hint="eastAsia"/>
                <w:color w:val="auto"/>
                <w:highlight w:val="none"/>
                <w:lang w:eastAsia="zh-CN"/>
              </w:rPr>
              <w:t>气密性能：蓄电池应能承受</w:t>
            </w:r>
            <w:r>
              <w:rPr>
                <w:color w:val="auto"/>
                <w:highlight w:val="none"/>
                <w:lang w:eastAsia="zh-CN"/>
              </w:rPr>
              <w:t>50KPa</w:t>
            </w:r>
            <w:r>
              <w:rPr>
                <w:rFonts w:hint="eastAsia"/>
                <w:color w:val="auto"/>
                <w:highlight w:val="none"/>
                <w:lang w:eastAsia="zh-CN"/>
              </w:rPr>
              <w:t>的正压或负压不破裂、不开胶，压力释放后壳件无残余变形。</w:t>
            </w:r>
          </w:p>
          <w:p>
            <w:pPr>
              <w:rPr>
                <w:color w:val="auto"/>
                <w:highlight w:val="none"/>
                <w:lang w:eastAsia="zh-CN"/>
              </w:rPr>
            </w:pPr>
            <w:r>
              <w:rPr>
                <w:rFonts w:hint="eastAsia"/>
                <w:color w:val="auto"/>
                <w:highlight w:val="none"/>
                <w:lang w:eastAsia="zh-CN"/>
              </w:rPr>
              <w:t>防酸雾性能：蓄电池在正常工作过程中应无酸雾逸出。</w:t>
            </w:r>
          </w:p>
          <w:p>
            <w:pPr>
              <w:rPr>
                <w:color w:val="auto"/>
                <w:highlight w:val="none"/>
                <w:lang w:eastAsia="zh-CN"/>
              </w:rPr>
            </w:pPr>
            <w:r>
              <w:rPr>
                <w:rFonts w:hint="eastAsia"/>
                <w:color w:val="auto"/>
                <w:highlight w:val="none"/>
                <w:lang w:eastAsia="zh-CN"/>
              </w:rPr>
              <w:t>蓄电池间接线板、终端接头应选用导电性能优良的材料、并具有防腐蚀措施。</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00" w:hRule="atLeast"/>
        </w:trPr>
        <w:tc>
          <w:tcPr>
            <w:tcW w:w="851" w:type="dxa"/>
            <w:vAlign w:val="center"/>
          </w:tcPr>
          <w:p>
            <w:pPr>
              <w:rPr>
                <w:color w:val="auto"/>
                <w:highlight w:val="none"/>
              </w:rPr>
            </w:pPr>
            <w:r>
              <w:rPr>
                <w:rFonts w:hint="eastAsia"/>
                <w:color w:val="auto"/>
                <w:highlight w:val="none"/>
              </w:rPr>
              <w:t>16</w:t>
            </w:r>
          </w:p>
        </w:tc>
        <w:tc>
          <w:tcPr>
            <w:tcW w:w="1417" w:type="dxa"/>
            <w:vAlign w:val="center"/>
          </w:tcPr>
          <w:p>
            <w:pPr>
              <w:rPr>
                <w:color w:val="auto"/>
                <w:highlight w:val="none"/>
              </w:rPr>
            </w:pPr>
            <w:r>
              <w:rPr>
                <w:rFonts w:hint="eastAsia"/>
                <w:color w:val="auto"/>
                <w:highlight w:val="none"/>
              </w:rPr>
              <w:t>洁净灯具</w:t>
            </w:r>
          </w:p>
        </w:tc>
        <w:tc>
          <w:tcPr>
            <w:tcW w:w="7230" w:type="dxa"/>
            <w:vAlign w:val="center"/>
          </w:tcPr>
          <w:p>
            <w:pPr>
              <w:rPr>
                <w:color w:val="auto"/>
                <w:highlight w:val="none"/>
                <w:lang w:eastAsia="zh-CN"/>
              </w:rPr>
            </w:pPr>
            <w:r>
              <w:rPr>
                <w:rFonts w:hint="eastAsia"/>
                <w:color w:val="auto"/>
                <w:highlight w:val="none"/>
                <w:lang w:eastAsia="zh-CN"/>
              </w:rPr>
              <w:t>LED面板灯盘</w:t>
            </w:r>
          </w:p>
          <w:p>
            <w:pPr>
              <w:rPr>
                <w:color w:val="auto"/>
                <w:highlight w:val="none"/>
                <w:lang w:eastAsia="zh-CN"/>
              </w:rPr>
            </w:pPr>
            <w:r>
              <w:rPr>
                <w:rFonts w:hint="eastAsia"/>
                <w:color w:val="auto"/>
                <w:highlight w:val="none"/>
                <w:lang w:eastAsia="zh-CN"/>
              </w:rPr>
              <w:t>输入电压：AC220~240V,50~60Hz</w:t>
            </w:r>
          </w:p>
          <w:p>
            <w:pPr>
              <w:rPr>
                <w:color w:val="auto"/>
                <w:highlight w:val="none"/>
                <w:lang w:eastAsia="zh-CN"/>
              </w:rPr>
            </w:pPr>
            <w:r>
              <w:rPr>
                <w:rFonts w:hint="eastAsia"/>
                <w:color w:val="auto"/>
                <w:highlight w:val="none"/>
                <w:lang w:eastAsia="zh-CN"/>
              </w:rPr>
              <w:t>光效：≥90Lm/W</w:t>
            </w:r>
          </w:p>
          <w:p>
            <w:pPr>
              <w:rPr>
                <w:color w:val="auto"/>
                <w:highlight w:val="none"/>
                <w:lang w:eastAsia="zh-CN"/>
              </w:rPr>
            </w:pPr>
            <w:r>
              <w:rPr>
                <w:rFonts w:hint="eastAsia"/>
                <w:color w:val="auto"/>
                <w:highlight w:val="none"/>
                <w:lang w:eastAsia="zh-CN"/>
              </w:rPr>
              <w:t>色温：4000K</w:t>
            </w:r>
          </w:p>
          <w:p>
            <w:pPr>
              <w:rPr>
                <w:color w:val="auto"/>
                <w:highlight w:val="none"/>
                <w:lang w:eastAsia="zh-CN"/>
              </w:rPr>
            </w:pPr>
            <w:r>
              <w:rPr>
                <w:rFonts w:hint="eastAsia"/>
                <w:color w:val="auto"/>
                <w:highlight w:val="none"/>
                <w:lang w:eastAsia="zh-CN"/>
              </w:rPr>
              <w:t>显色指数：Ra85</w:t>
            </w:r>
          </w:p>
          <w:p>
            <w:pPr>
              <w:rPr>
                <w:color w:val="auto"/>
                <w:highlight w:val="none"/>
                <w:lang w:eastAsia="zh-CN"/>
              </w:rPr>
            </w:pPr>
            <w:r>
              <w:rPr>
                <w:rFonts w:hint="eastAsia"/>
                <w:color w:val="auto"/>
                <w:highlight w:val="none"/>
                <w:lang w:eastAsia="zh-CN"/>
              </w:rPr>
              <w:t>平均寿命：30000小时</w:t>
            </w:r>
          </w:p>
          <w:p>
            <w:pPr>
              <w:rPr>
                <w:color w:val="auto"/>
                <w:highlight w:val="none"/>
                <w:lang w:eastAsia="zh-CN"/>
              </w:rPr>
            </w:pPr>
            <w:r>
              <w:rPr>
                <w:rFonts w:hint="eastAsia"/>
                <w:color w:val="auto"/>
                <w:highlight w:val="none"/>
                <w:lang w:eastAsia="zh-CN"/>
              </w:rPr>
              <w:t>功率因数：≥0.95</w:t>
            </w:r>
          </w:p>
          <w:p>
            <w:pPr>
              <w:rPr>
                <w:color w:val="auto"/>
                <w:highlight w:val="none"/>
                <w:lang w:eastAsia="zh-CN"/>
              </w:rPr>
            </w:pPr>
            <w:r>
              <w:rPr>
                <w:rFonts w:hint="eastAsia"/>
                <w:color w:val="auto"/>
                <w:highlight w:val="none"/>
                <w:lang w:eastAsia="zh-CN"/>
              </w:rPr>
              <w:t>工作环境温度：-20℃-45℃</w:t>
            </w:r>
          </w:p>
          <w:p>
            <w:pPr>
              <w:rPr>
                <w:color w:val="auto"/>
                <w:highlight w:val="none"/>
                <w:lang w:eastAsia="zh-CN"/>
              </w:rPr>
            </w:pPr>
            <w:r>
              <w:rPr>
                <w:rFonts w:hint="eastAsia"/>
                <w:color w:val="auto"/>
                <w:highlight w:val="none"/>
                <w:lang w:eastAsia="zh-CN"/>
              </w:rPr>
              <w:t>材料要求：灯体采用钢板或合金铝压制成型，表层白色喷涂；灯具面板采用不锈钢；透光面采用优质精密PC胶片。采用ROHS标准的环保材料，全部材料均可再生利用。</w:t>
            </w:r>
          </w:p>
          <w:p>
            <w:pPr>
              <w:rPr>
                <w:color w:val="auto"/>
                <w:highlight w:val="none"/>
                <w:lang w:eastAsia="zh-CN"/>
              </w:rPr>
            </w:pPr>
            <w:r>
              <w:rPr>
                <w:rFonts w:hint="eastAsia"/>
                <w:color w:val="auto"/>
                <w:highlight w:val="none"/>
                <w:lang w:eastAsia="zh-CN"/>
              </w:rPr>
              <w:t>灯具结构要求：灯珠均匀分布在灯盘背部，使光线可以垂直照射，保证表面光线均匀；整灯散热效果好，保证灯珠使用寿命。</w:t>
            </w:r>
          </w:p>
          <w:p>
            <w:pPr>
              <w:rPr>
                <w:color w:val="auto"/>
                <w:highlight w:val="none"/>
                <w:lang w:eastAsia="zh-CN"/>
              </w:rPr>
            </w:pPr>
            <w:r>
              <w:rPr>
                <w:rFonts w:hint="eastAsia"/>
                <w:color w:val="auto"/>
                <w:highlight w:val="none"/>
                <w:lang w:eastAsia="zh-CN"/>
              </w:rPr>
              <w:t xml:space="preserve">电气安全等级：Class Ⅱ </w:t>
            </w:r>
          </w:p>
          <w:p>
            <w:pPr>
              <w:rPr>
                <w:color w:val="auto"/>
                <w:highlight w:val="none"/>
                <w:lang w:eastAsia="zh-CN"/>
              </w:rPr>
            </w:pPr>
            <w:r>
              <w:rPr>
                <w:rFonts w:hint="eastAsia"/>
                <w:color w:val="auto"/>
                <w:highlight w:val="none"/>
                <w:lang w:eastAsia="zh-CN"/>
              </w:rPr>
              <w:t>灯具防护等级：IP44以上，达到病房、手术室等洁净要求。手术室、ICU、CCU等洁净区域内照明灯具应采用嵌入式洁净气密封照明灯盘（带），禁用普通灯盘（带）代替。灯具必须符合中华人民共和国国家标准（GB50591-2010）：洁净室施工及验收规范及设计要求。</w:t>
            </w:r>
          </w:p>
          <w:p>
            <w:pPr>
              <w:rPr>
                <w:color w:val="auto"/>
                <w:highlight w:val="none"/>
                <w:lang w:eastAsia="zh-CN"/>
              </w:rPr>
            </w:pPr>
            <w:r>
              <w:rPr>
                <w:rFonts w:hint="eastAsia"/>
                <w:color w:val="auto"/>
                <w:highlight w:val="none"/>
                <w:lang w:eastAsia="zh-CN"/>
              </w:rPr>
              <w:t>尺寸、样式须经甲方、使用方、设计认可。</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00" w:hRule="atLeast"/>
        </w:trPr>
        <w:tc>
          <w:tcPr>
            <w:tcW w:w="851" w:type="dxa"/>
            <w:vAlign w:val="center"/>
          </w:tcPr>
          <w:p>
            <w:pPr>
              <w:rPr>
                <w:color w:val="auto"/>
                <w:highlight w:val="none"/>
              </w:rPr>
            </w:pPr>
            <w:r>
              <w:rPr>
                <w:rFonts w:hint="eastAsia"/>
                <w:color w:val="auto"/>
                <w:highlight w:val="none"/>
              </w:rPr>
              <w:t>17</w:t>
            </w:r>
          </w:p>
        </w:tc>
        <w:tc>
          <w:tcPr>
            <w:tcW w:w="1417" w:type="dxa"/>
            <w:vAlign w:val="center"/>
          </w:tcPr>
          <w:p>
            <w:pPr>
              <w:rPr>
                <w:color w:val="auto"/>
                <w:highlight w:val="none"/>
              </w:rPr>
            </w:pPr>
            <w:r>
              <w:rPr>
                <w:rFonts w:hint="eastAsia"/>
                <w:color w:val="auto"/>
                <w:highlight w:val="none"/>
              </w:rPr>
              <w:t>变频器</w:t>
            </w:r>
          </w:p>
        </w:tc>
        <w:tc>
          <w:tcPr>
            <w:tcW w:w="7230" w:type="dxa"/>
            <w:vAlign w:val="center"/>
          </w:tcPr>
          <w:p>
            <w:pPr>
              <w:rPr>
                <w:color w:val="auto"/>
                <w:highlight w:val="none"/>
                <w:lang w:eastAsia="zh-CN"/>
              </w:rPr>
            </w:pPr>
            <w:r>
              <w:rPr>
                <w:rFonts w:hint="eastAsia"/>
                <w:color w:val="auto"/>
                <w:highlight w:val="none"/>
                <w:lang w:eastAsia="zh-CN"/>
              </w:rPr>
              <w:t>变频器按照工业级的标准设计，完善全面的变频器保护及自诊断功能.其体积小，节省空间。强大的通讯接口，可让它以任何的PLC/DCS集成。</w:t>
            </w:r>
          </w:p>
          <w:p>
            <w:pPr>
              <w:rPr>
                <w:color w:val="auto"/>
                <w:highlight w:val="none"/>
                <w:lang w:eastAsia="zh-CN"/>
              </w:rPr>
            </w:pPr>
            <w:r>
              <w:rPr>
                <w:rFonts w:hint="eastAsia"/>
                <w:color w:val="auto"/>
                <w:highlight w:val="none"/>
                <w:lang w:eastAsia="zh-CN"/>
              </w:rPr>
              <w:t>1） 全数字式脉冲宽度制仿正弦波系统，在任何负荷和转速都不须接驳任何外置矫正电容器而能够在基波上提供单一功率数。</w:t>
            </w:r>
          </w:p>
          <w:p>
            <w:pPr>
              <w:rPr>
                <w:color w:val="auto"/>
                <w:highlight w:val="none"/>
                <w:lang w:eastAsia="zh-CN"/>
              </w:rPr>
            </w:pPr>
            <w:r>
              <w:rPr>
                <w:rFonts w:hint="eastAsia"/>
                <w:color w:val="auto"/>
                <w:highlight w:val="none"/>
                <w:lang w:eastAsia="zh-CN"/>
              </w:rPr>
              <w:t>2） 额定输入电源为380～480V，频率范围48～63Hz，额定输出电压为0～460V，可变频率范围0-320Hz, 功率因数：0.98，额定电流和额定电压条件下效率为97.5%。功率等级为2.2至250kw。</w:t>
            </w:r>
          </w:p>
          <w:p>
            <w:pPr>
              <w:rPr>
                <w:color w:val="auto"/>
                <w:highlight w:val="none"/>
                <w:lang w:eastAsia="zh-CN"/>
              </w:rPr>
            </w:pPr>
            <w:r>
              <w:rPr>
                <w:rFonts w:hint="eastAsia"/>
                <w:color w:val="auto"/>
                <w:highlight w:val="none"/>
                <w:lang w:eastAsia="zh-CN"/>
              </w:rPr>
              <w:t>3） 能够把电动机转速随意控制在极速之0至100%以内之任何转速运行。</w:t>
            </w:r>
          </w:p>
          <w:p>
            <w:pPr>
              <w:rPr>
                <w:color w:val="auto"/>
                <w:highlight w:val="none"/>
                <w:lang w:eastAsia="zh-CN"/>
              </w:rPr>
            </w:pPr>
            <w:r>
              <w:rPr>
                <w:rFonts w:hint="eastAsia"/>
                <w:color w:val="auto"/>
                <w:highlight w:val="none"/>
                <w:lang w:eastAsia="zh-CN"/>
              </w:rPr>
              <w:t>4） 能维持110%过载电流达1分钟。</w:t>
            </w:r>
          </w:p>
          <w:p>
            <w:pPr>
              <w:rPr>
                <w:color w:val="auto"/>
                <w:highlight w:val="none"/>
                <w:lang w:eastAsia="zh-CN"/>
              </w:rPr>
            </w:pPr>
            <w:r>
              <w:rPr>
                <w:rFonts w:hint="eastAsia"/>
                <w:color w:val="auto"/>
                <w:highlight w:val="none"/>
                <w:lang w:eastAsia="zh-CN"/>
              </w:rPr>
              <w:t>5） 集成的LCD显示屏带简体中文显示。可以记录运行的总时间、变频器的功率因数、输出频率等,在需要时可显示于显示器上。</w:t>
            </w:r>
          </w:p>
          <w:p>
            <w:pPr>
              <w:rPr>
                <w:color w:val="auto"/>
                <w:highlight w:val="none"/>
                <w:lang w:eastAsia="zh-CN"/>
              </w:rPr>
            </w:pPr>
            <w:r>
              <w:rPr>
                <w:rFonts w:hint="eastAsia"/>
                <w:color w:val="auto"/>
                <w:highlight w:val="none"/>
                <w:lang w:eastAsia="zh-CN"/>
              </w:rPr>
              <w:t>6） 内置DC电抗器，可以抑制电网高次谐波干扰,提高功率因数。</w:t>
            </w:r>
          </w:p>
          <w:p>
            <w:pPr>
              <w:rPr>
                <w:color w:val="auto"/>
                <w:highlight w:val="none"/>
                <w:lang w:eastAsia="zh-CN"/>
              </w:rPr>
            </w:pPr>
            <w:r>
              <w:rPr>
                <w:rFonts w:hint="eastAsia"/>
                <w:color w:val="auto"/>
                <w:highlight w:val="none"/>
                <w:lang w:eastAsia="zh-CN"/>
              </w:rPr>
              <w:t>7)  设有内置电子电动机过载保护；设有定限保护。如限流和限压输出等及跳闸保护包括过电流、过电压、失压停、过热及接地等。</w:t>
            </w:r>
          </w:p>
          <w:p>
            <w:pPr>
              <w:rPr>
                <w:color w:val="auto"/>
                <w:highlight w:val="none"/>
                <w:lang w:eastAsia="zh-CN"/>
              </w:rPr>
            </w:pPr>
            <w:r>
              <w:rPr>
                <w:rFonts w:hint="eastAsia"/>
                <w:color w:val="auto"/>
                <w:highlight w:val="none"/>
                <w:lang w:eastAsia="zh-CN"/>
              </w:rPr>
              <w:t>8)  能检测供电电源在暂停电及故障后自动起动，并能提供最后3次故障记录及其故障时间，包括故障时的电流及频率,直流侧电压等。</w:t>
            </w:r>
          </w:p>
          <w:p>
            <w:pPr>
              <w:rPr>
                <w:color w:val="auto"/>
                <w:highlight w:val="none"/>
                <w:lang w:eastAsia="zh-CN"/>
              </w:rPr>
            </w:pPr>
            <w:r>
              <w:rPr>
                <w:rFonts w:hint="eastAsia"/>
                <w:color w:val="auto"/>
                <w:highlight w:val="none"/>
                <w:lang w:eastAsia="zh-CN"/>
              </w:rPr>
              <w:t>9)  动作在可调校的载波频率调频模式，使得变频器及电动机能达到最佳的效能。</w:t>
            </w:r>
          </w:p>
          <w:p>
            <w:pPr>
              <w:rPr>
                <w:color w:val="auto"/>
                <w:highlight w:val="none"/>
                <w:lang w:eastAsia="zh-CN"/>
              </w:rPr>
            </w:pPr>
            <w:r>
              <w:rPr>
                <w:rFonts w:hint="eastAsia"/>
                <w:color w:val="auto"/>
                <w:highlight w:val="none"/>
                <w:lang w:eastAsia="zh-CN"/>
              </w:rPr>
              <w:t>10) 主电源电压如下降或上升10%的时候，依然可以保持额定输出容量。</w:t>
            </w:r>
          </w:p>
          <w:p>
            <w:pPr>
              <w:rPr>
                <w:color w:val="auto"/>
                <w:highlight w:val="none"/>
                <w:lang w:eastAsia="zh-CN"/>
              </w:rPr>
            </w:pPr>
            <w:r>
              <w:rPr>
                <w:rFonts w:hint="eastAsia"/>
                <w:color w:val="auto"/>
                <w:highlight w:val="none"/>
                <w:lang w:eastAsia="zh-CN"/>
              </w:rPr>
              <w:t>11) 附设3个可变宽频的跨越频率，能够克服由机械系统或空气系统引起的共振。</w:t>
            </w:r>
          </w:p>
          <w:p>
            <w:pPr>
              <w:rPr>
                <w:color w:val="auto"/>
                <w:highlight w:val="none"/>
                <w:lang w:eastAsia="zh-CN"/>
              </w:rPr>
            </w:pPr>
            <w:r>
              <w:rPr>
                <w:rFonts w:hint="eastAsia"/>
                <w:color w:val="auto"/>
                <w:highlight w:val="none"/>
                <w:lang w:eastAsia="zh-CN"/>
              </w:rPr>
              <w:t>12) 提供两个可选择及能调节的加速/减速坡道。</w:t>
            </w:r>
          </w:p>
          <w:p>
            <w:pPr>
              <w:rPr>
                <w:color w:val="auto"/>
                <w:highlight w:val="none"/>
                <w:lang w:eastAsia="zh-CN"/>
              </w:rPr>
            </w:pPr>
            <w:r>
              <w:rPr>
                <w:rFonts w:hint="eastAsia"/>
                <w:color w:val="auto"/>
                <w:highlight w:val="none"/>
                <w:lang w:eastAsia="zh-CN"/>
              </w:rPr>
              <w:t>13) 内置PID控制器，不需加接任何调节器就能提供配套设备的压力或流量之循环控制。能接收由发送器发出的0－10V，4－20MA，有2个模拟输入和2个模拟量输出。</w:t>
            </w:r>
          </w:p>
          <w:p>
            <w:pPr>
              <w:rPr>
                <w:color w:val="auto"/>
                <w:highlight w:val="none"/>
                <w:lang w:eastAsia="zh-CN"/>
              </w:rPr>
            </w:pPr>
            <w:r>
              <w:rPr>
                <w:rFonts w:hint="eastAsia"/>
                <w:color w:val="auto"/>
                <w:highlight w:val="none"/>
                <w:lang w:eastAsia="zh-CN"/>
              </w:rPr>
              <w:t>14) 支持飞速起动，能立刻自动把仍在转动中的风机、水泵重新起动及运行至指定速度。</w:t>
            </w:r>
          </w:p>
          <w:p>
            <w:pPr>
              <w:rPr>
                <w:color w:val="auto"/>
                <w:highlight w:val="none"/>
                <w:lang w:eastAsia="zh-CN"/>
              </w:rPr>
            </w:pPr>
            <w:r>
              <w:rPr>
                <w:rFonts w:hint="eastAsia"/>
                <w:color w:val="auto"/>
                <w:highlight w:val="none"/>
                <w:lang w:eastAsia="zh-CN"/>
              </w:rPr>
              <w:t>15）设有现场操作及遥控操作二者选择，以配合管理系统应用。</w:t>
            </w:r>
          </w:p>
          <w:p>
            <w:pPr>
              <w:rPr>
                <w:color w:val="auto"/>
                <w:highlight w:val="none"/>
                <w:lang w:eastAsia="zh-CN"/>
              </w:rPr>
            </w:pPr>
            <w:r>
              <w:rPr>
                <w:rFonts w:hint="eastAsia"/>
                <w:color w:val="auto"/>
                <w:highlight w:val="none"/>
                <w:lang w:eastAsia="zh-CN"/>
              </w:rPr>
              <w:t>16) 设有软件锁以防止未经批准之设定更改。</w:t>
            </w:r>
          </w:p>
          <w:p>
            <w:pPr>
              <w:rPr>
                <w:color w:val="auto"/>
                <w:highlight w:val="none"/>
                <w:lang w:eastAsia="zh-CN"/>
              </w:rPr>
            </w:pPr>
            <w:r>
              <w:rPr>
                <w:rFonts w:hint="eastAsia"/>
                <w:color w:val="auto"/>
                <w:highlight w:val="none"/>
                <w:lang w:eastAsia="zh-CN"/>
              </w:rPr>
              <w:t>17) 具有继电器输出卡,最多可以控制三台线电源驱动的电机和一台变频器驱动的电机；若电机为一用一备,自身可以实现定时自动切换。</w:t>
            </w:r>
          </w:p>
          <w:p>
            <w:pPr>
              <w:rPr>
                <w:color w:val="auto"/>
                <w:highlight w:val="none"/>
                <w:lang w:eastAsia="zh-CN"/>
              </w:rPr>
            </w:pPr>
            <w:r>
              <w:rPr>
                <w:rFonts w:hint="eastAsia"/>
                <w:color w:val="auto"/>
                <w:highlight w:val="none"/>
                <w:lang w:eastAsia="zh-CN"/>
              </w:rPr>
              <w:t>18)变频器之间允许采用零间隙并排式安装(书架式设计), 在500C的工作环境下不需降容使用。</w:t>
            </w:r>
          </w:p>
          <w:p>
            <w:pPr>
              <w:rPr>
                <w:color w:val="auto"/>
                <w:highlight w:val="none"/>
                <w:lang w:eastAsia="zh-CN"/>
              </w:rPr>
            </w:pPr>
            <w:r>
              <w:rPr>
                <w:rFonts w:hint="eastAsia"/>
                <w:color w:val="auto"/>
                <w:highlight w:val="none"/>
                <w:lang w:eastAsia="zh-CN"/>
              </w:rPr>
              <w:t>19)控制模式：可以编程选择使用无速度传感器矢量控制模式或电压/频率控制模式。电压/频率控制模式可以设置为直线、风机/水泵曲线或完全自定义模式。</w:t>
            </w:r>
          </w:p>
          <w:p>
            <w:pPr>
              <w:rPr>
                <w:color w:val="auto"/>
                <w:highlight w:val="none"/>
                <w:lang w:eastAsia="zh-CN"/>
              </w:rPr>
            </w:pPr>
            <w:r>
              <w:rPr>
                <w:rFonts w:hint="eastAsia"/>
                <w:color w:val="auto"/>
                <w:highlight w:val="none"/>
                <w:lang w:eastAsia="zh-CN"/>
              </w:rPr>
              <w:t>20)变频器有多种可编程停止模式，包括：斜坡运行、惯性、直流制动、斜坡保持和S曲线运行</w:t>
            </w:r>
          </w:p>
          <w:p>
            <w:pPr>
              <w:rPr>
                <w:color w:val="auto"/>
                <w:highlight w:val="none"/>
                <w:lang w:eastAsia="zh-CN"/>
              </w:rPr>
            </w:pPr>
            <w:r>
              <w:rPr>
                <w:rFonts w:hint="eastAsia"/>
                <w:color w:val="auto"/>
                <w:highlight w:val="none"/>
                <w:lang w:eastAsia="zh-CN"/>
              </w:rPr>
              <w:t>21)PF400P变频器可以有总线控制、端子控制和操作面板控制三种方式，这几种方式可通过逻辑输入/或平稳切换，切换时不会影响系统的正常运行,自动到手动的切换没有速度波动。</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00" w:hRule="atLeast"/>
        </w:trPr>
        <w:tc>
          <w:tcPr>
            <w:tcW w:w="851" w:type="dxa"/>
            <w:vAlign w:val="center"/>
          </w:tcPr>
          <w:p>
            <w:pPr>
              <w:rPr>
                <w:color w:val="auto"/>
                <w:highlight w:val="none"/>
              </w:rPr>
            </w:pPr>
            <w:r>
              <w:rPr>
                <w:color w:val="auto"/>
                <w:highlight w:val="none"/>
              </w:rPr>
              <w:t>17</w:t>
            </w:r>
          </w:p>
        </w:tc>
        <w:tc>
          <w:tcPr>
            <w:tcW w:w="1417" w:type="dxa"/>
            <w:vAlign w:val="center"/>
          </w:tcPr>
          <w:p>
            <w:pPr>
              <w:rPr>
                <w:color w:val="auto"/>
                <w:highlight w:val="none"/>
              </w:rPr>
            </w:pPr>
            <w:r>
              <w:rPr>
                <w:rFonts w:hint="eastAsia"/>
                <w:color w:val="auto"/>
                <w:highlight w:val="none"/>
              </w:rPr>
              <w:t>观片灯</w:t>
            </w:r>
          </w:p>
        </w:tc>
        <w:tc>
          <w:tcPr>
            <w:tcW w:w="7230" w:type="dxa"/>
            <w:vAlign w:val="center"/>
          </w:tcPr>
          <w:tbl>
            <w:tblPr>
              <w:tblStyle w:val="85"/>
              <w:tblW w:w="5984" w:type="dxa"/>
              <w:tblInd w:w="0" w:type="dxa"/>
              <w:tblLayout w:type="fixed"/>
              <w:tblCellMar>
                <w:top w:w="0" w:type="dxa"/>
                <w:left w:w="108" w:type="dxa"/>
                <w:bottom w:w="0" w:type="dxa"/>
                <w:right w:w="108" w:type="dxa"/>
              </w:tblCellMar>
            </w:tblPr>
            <w:tblGrid>
              <w:gridCol w:w="5984"/>
            </w:tblGrid>
            <w:tr>
              <w:tblPrEx>
                <w:tblCellMar>
                  <w:top w:w="0" w:type="dxa"/>
                  <w:left w:w="108" w:type="dxa"/>
                  <w:bottom w:w="0" w:type="dxa"/>
                  <w:right w:w="108" w:type="dxa"/>
                </w:tblCellMar>
              </w:tblPrEx>
              <w:trPr>
                <w:trHeight w:val="232" w:hRule="atLeast"/>
              </w:trPr>
              <w:tc>
                <w:tcPr>
                  <w:tcW w:w="5984" w:type="dxa"/>
                  <w:vAlign w:val="bottom"/>
                </w:tcPr>
                <w:p>
                  <w:pPr>
                    <w:rPr>
                      <w:color w:val="auto"/>
                      <w:highlight w:val="none"/>
                      <w:lang w:eastAsia="zh-CN"/>
                    </w:rPr>
                  </w:pPr>
                  <w:r>
                    <w:rPr>
                      <w:color w:val="auto"/>
                      <w:highlight w:val="none"/>
                      <w:lang w:eastAsia="zh-CN"/>
                    </w:rPr>
                    <w:t>1</w:t>
                  </w:r>
                  <w:r>
                    <w:rPr>
                      <w:rFonts w:hint="eastAsia"/>
                      <w:color w:val="auto"/>
                      <w:highlight w:val="none"/>
                      <w:lang w:eastAsia="zh-CN"/>
                    </w:rPr>
                    <w:t>、采用高强度铝合金外壳，外表面氟碳喷涂（颜</w:t>
                  </w:r>
                </w:p>
                <w:p>
                  <w:pPr>
                    <w:rPr>
                      <w:color w:val="auto"/>
                      <w:highlight w:val="none"/>
                      <w:lang w:eastAsia="zh-CN"/>
                    </w:rPr>
                  </w:pPr>
                  <w:r>
                    <w:rPr>
                      <w:rFonts w:hint="eastAsia"/>
                      <w:color w:val="auto"/>
                      <w:highlight w:val="none"/>
                      <w:lang w:eastAsia="zh-CN"/>
                    </w:rPr>
                    <w:t>色施工采购之前申报审批）</w:t>
                  </w:r>
                </w:p>
                <w:p>
                  <w:pPr>
                    <w:rPr>
                      <w:color w:val="auto"/>
                      <w:highlight w:val="none"/>
                      <w:lang w:eastAsia="zh-CN"/>
                    </w:rPr>
                  </w:pPr>
                  <w:r>
                    <w:rPr>
                      <w:color w:val="auto"/>
                      <w:highlight w:val="none"/>
                      <w:lang w:eastAsia="zh-CN"/>
                    </w:rPr>
                    <w:t>2</w:t>
                  </w:r>
                  <w:r>
                    <w:rPr>
                      <w:rFonts w:hint="eastAsia"/>
                      <w:color w:val="auto"/>
                      <w:highlight w:val="none"/>
                      <w:lang w:eastAsia="zh-CN"/>
                    </w:rPr>
                    <w:t>、光源均匀度≥</w:t>
                  </w:r>
                  <w:r>
                    <w:rPr>
                      <w:color w:val="auto"/>
                      <w:highlight w:val="none"/>
                      <w:lang w:eastAsia="zh-CN"/>
                    </w:rPr>
                    <w:t>90%</w:t>
                  </w:r>
                </w:p>
                <w:p>
                  <w:pPr>
                    <w:rPr>
                      <w:color w:val="auto"/>
                      <w:highlight w:val="none"/>
                      <w:lang w:eastAsia="zh-CN"/>
                    </w:rPr>
                  </w:pPr>
                  <w:r>
                    <w:rPr>
                      <w:color w:val="auto"/>
                      <w:highlight w:val="none"/>
                      <w:lang w:eastAsia="zh-CN"/>
                    </w:rPr>
                    <w:t>3</w:t>
                  </w:r>
                  <w:r>
                    <w:rPr>
                      <w:rFonts w:hint="eastAsia"/>
                      <w:color w:val="auto"/>
                      <w:highlight w:val="none"/>
                      <w:lang w:eastAsia="zh-CN"/>
                    </w:rPr>
                    <w:t>、调光方式：多档调光</w:t>
                  </w:r>
                </w:p>
                <w:p>
                  <w:pPr>
                    <w:rPr>
                      <w:color w:val="auto"/>
                      <w:highlight w:val="none"/>
                      <w:lang w:eastAsia="zh-CN"/>
                    </w:rPr>
                  </w:pPr>
                  <w:r>
                    <w:rPr>
                      <w:color w:val="auto"/>
                      <w:highlight w:val="none"/>
                      <w:lang w:eastAsia="zh-CN"/>
                    </w:rPr>
                    <w:t>4</w:t>
                  </w:r>
                  <w:r>
                    <w:rPr>
                      <w:rFonts w:hint="eastAsia"/>
                      <w:color w:val="auto"/>
                      <w:highlight w:val="none"/>
                      <w:lang w:eastAsia="zh-CN"/>
                    </w:rPr>
                    <w:t>、安装方式：带有专业的净化手术室安装外框，方便安装和维修（要求带实）</w:t>
                  </w:r>
                </w:p>
                <w:p>
                  <w:pPr>
                    <w:rPr>
                      <w:color w:val="auto"/>
                      <w:highlight w:val="none"/>
                      <w:lang w:eastAsia="zh-CN"/>
                    </w:rPr>
                  </w:pPr>
                  <w:r>
                    <w:rPr>
                      <w:color w:val="auto"/>
                      <w:highlight w:val="none"/>
                      <w:lang w:eastAsia="zh-CN"/>
                    </w:rPr>
                    <w:t>5</w:t>
                  </w:r>
                  <w:r>
                    <w:rPr>
                      <w:rFonts w:hint="eastAsia"/>
                      <w:color w:val="auto"/>
                      <w:highlight w:val="none"/>
                      <w:lang w:eastAsia="zh-CN"/>
                    </w:rPr>
                    <w:t>、规格尺寸、功率、光源类型见设计图纸。</w:t>
                  </w:r>
                </w:p>
              </w:tc>
            </w:tr>
          </w:tbl>
          <w:p>
            <w:pPr>
              <w:rPr>
                <w:color w:val="auto"/>
                <w:highlight w:val="none"/>
                <w:lang w:eastAsia="zh-CN"/>
              </w:rPr>
            </w:pPr>
          </w:p>
        </w:tc>
      </w:tr>
    </w:tbl>
    <w:p>
      <w:pPr>
        <w:rPr>
          <w:color w:val="auto"/>
          <w:highlight w:val="none"/>
          <w:lang w:eastAsia="zh-CN"/>
        </w:rPr>
      </w:pPr>
      <w:r>
        <w:rPr>
          <w:rFonts w:hint="eastAsia"/>
          <w:color w:val="auto"/>
          <w:highlight w:val="none"/>
          <w:lang w:eastAsia="zh-CN"/>
        </w:rPr>
        <w:t>说明：</w:t>
      </w:r>
    </w:p>
    <w:p>
      <w:pPr>
        <w:rPr>
          <w:color w:val="auto"/>
          <w:highlight w:val="none"/>
          <w:lang w:eastAsia="zh-CN"/>
        </w:rPr>
      </w:pPr>
      <w:r>
        <w:rPr>
          <w:rFonts w:hint="eastAsia"/>
          <w:color w:val="auto"/>
          <w:highlight w:val="none"/>
          <w:lang w:eastAsia="zh-CN"/>
        </w:rPr>
        <w:t>一、投标人设备进场时应提供的文件：</w:t>
      </w:r>
    </w:p>
    <w:p>
      <w:pPr>
        <w:rPr>
          <w:color w:val="auto"/>
          <w:highlight w:val="none"/>
          <w:lang w:eastAsia="zh-CN"/>
        </w:rPr>
      </w:pPr>
      <w:r>
        <w:rPr>
          <w:color w:val="auto"/>
          <w:highlight w:val="none"/>
          <w:lang w:eastAsia="zh-CN"/>
        </w:rPr>
        <w:t>1</w:t>
      </w:r>
      <w:r>
        <w:rPr>
          <w:rFonts w:hint="eastAsia"/>
          <w:color w:val="auto"/>
          <w:highlight w:val="none"/>
          <w:lang w:eastAsia="zh-CN"/>
        </w:rPr>
        <w:t>、投标人所提供的技术文件应为中文，并应使用</w:t>
      </w:r>
      <w:r>
        <w:rPr>
          <w:color w:val="auto"/>
          <w:highlight w:val="none"/>
          <w:lang w:eastAsia="zh-CN"/>
        </w:rPr>
        <w:t>IEC</w:t>
      </w:r>
      <w:r>
        <w:rPr>
          <w:rFonts w:hint="eastAsia"/>
          <w:color w:val="auto"/>
          <w:highlight w:val="none"/>
          <w:lang w:eastAsia="zh-CN"/>
        </w:rPr>
        <w:t>和</w:t>
      </w:r>
      <w:r>
        <w:rPr>
          <w:color w:val="auto"/>
          <w:highlight w:val="none"/>
          <w:lang w:eastAsia="zh-CN"/>
        </w:rPr>
        <w:t>GB</w:t>
      </w:r>
      <w:r>
        <w:rPr>
          <w:rFonts w:hint="eastAsia"/>
          <w:color w:val="auto"/>
          <w:highlight w:val="none"/>
          <w:lang w:eastAsia="zh-CN"/>
        </w:rPr>
        <w:t>所规定的标准符号和术语。</w:t>
      </w:r>
    </w:p>
    <w:p>
      <w:pPr>
        <w:rPr>
          <w:color w:val="auto"/>
          <w:highlight w:val="none"/>
          <w:lang w:eastAsia="zh-CN"/>
        </w:rPr>
      </w:pPr>
      <w:r>
        <w:rPr>
          <w:color w:val="auto"/>
          <w:highlight w:val="none"/>
          <w:lang w:eastAsia="zh-CN"/>
        </w:rPr>
        <w:t>2</w:t>
      </w:r>
      <w:r>
        <w:rPr>
          <w:rFonts w:hint="eastAsia"/>
          <w:color w:val="auto"/>
          <w:highlight w:val="none"/>
          <w:lang w:eastAsia="zh-CN"/>
        </w:rPr>
        <w:t>、投标人至少应提供以下文件：</w:t>
      </w:r>
    </w:p>
    <w:p>
      <w:pPr>
        <w:rPr>
          <w:color w:val="auto"/>
          <w:highlight w:val="none"/>
          <w:lang w:eastAsia="zh-CN"/>
        </w:rPr>
      </w:pPr>
      <w:r>
        <w:rPr>
          <w:rFonts w:hint="eastAsia"/>
          <w:color w:val="auto"/>
          <w:highlight w:val="none"/>
          <w:lang w:eastAsia="zh-CN"/>
        </w:rPr>
        <w:t>设备的主要特点介绍及有关的电气图纸、型式试验报告；</w:t>
      </w:r>
    </w:p>
    <w:p>
      <w:pPr>
        <w:rPr>
          <w:color w:val="auto"/>
          <w:highlight w:val="none"/>
          <w:lang w:eastAsia="zh-CN"/>
        </w:rPr>
      </w:pPr>
      <w:r>
        <w:rPr>
          <w:rFonts w:hint="eastAsia"/>
          <w:color w:val="auto"/>
          <w:highlight w:val="none"/>
          <w:lang w:eastAsia="zh-CN"/>
        </w:rPr>
        <w:t>产品鉴定证书及国家认可的型号证书；</w:t>
      </w:r>
    </w:p>
    <w:p>
      <w:pPr>
        <w:rPr>
          <w:color w:val="auto"/>
          <w:highlight w:val="none"/>
          <w:lang w:eastAsia="zh-CN"/>
        </w:rPr>
      </w:pPr>
      <w:r>
        <w:rPr>
          <w:rFonts w:hint="eastAsia"/>
          <w:color w:val="auto"/>
          <w:highlight w:val="none"/>
          <w:lang w:eastAsia="zh-CN"/>
        </w:rPr>
        <w:t>设备主要材料清单及相关技术资料</w:t>
      </w:r>
      <w:r>
        <w:rPr>
          <w:color w:val="auto"/>
          <w:highlight w:val="none"/>
          <w:lang w:eastAsia="zh-CN"/>
        </w:rPr>
        <w:t>/</w:t>
      </w:r>
      <w:r>
        <w:rPr>
          <w:rFonts w:hint="eastAsia"/>
          <w:color w:val="auto"/>
          <w:highlight w:val="none"/>
          <w:lang w:eastAsia="zh-CN"/>
        </w:rPr>
        <w:t>介绍；</w:t>
      </w:r>
    </w:p>
    <w:p>
      <w:pPr>
        <w:rPr>
          <w:color w:val="auto"/>
          <w:highlight w:val="none"/>
          <w:lang w:eastAsia="zh-CN"/>
        </w:rPr>
      </w:pPr>
      <w:r>
        <w:rPr>
          <w:rFonts w:hint="eastAsia"/>
          <w:color w:val="auto"/>
          <w:highlight w:val="none"/>
          <w:lang w:eastAsia="zh-CN"/>
        </w:rPr>
        <w:t>配套设备的相关技术资料、介绍及制造厂家介绍；</w:t>
      </w:r>
    </w:p>
    <w:p>
      <w:pPr>
        <w:rPr>
          <w:color w:val="auto"/>
          <w:highlight w:val="none"/>
          <w:lang w:eastAsia="zh-CN"/>
        </w:rPr>
      </w:pPr>
      <w:r>
        <w:rPr>
          <w:rFonts w:hint="eastAsia"/>
          <w:color w:val="auto"/>
          <w:highlight w:val="none"/>
          <w:lang w:eastAsia="zh-CN"/>
        </w:rPr>
        <w:t>设备的产品介绍及安装、操作指南</w:t>
      </w:r>
    </w:p>
    <w:p>
      <w:pPr>
        <w:rPr>
          <w:color w:val="auto"/>
          <w:highlight w:val="none"/>
          <w:lang w:eastAsia="zh-CN"/>
        </w:rPr>
      </w:pPr>
      <w:r>
        <w:rPr>
          <w:rFonts w:hint="eastAsia"/>
          <w:color w:val="auto"/>
          <w:highlight w:val="none"/>
          <w:lang w:eastAsia="zh-CN"/>
        </w:rPr>
        <w:t>主要元器件、材料的制造厂家</w:t>
      </w:r>
      <w:r>
        <w:rPr>
          <w:color w:val="auto"/>
          <w:highlight w:val="none"/>
          <w:lang w:eastAsia="zh-CN"/>
        </w:rPr>
        <w:t>/</w:t>
      </w:r>
      <w:r>
        <w:rPr>
          <w:rFonts w:hint="eastAsia"/>
          <w:color w:val="auto"/>
          <w:highlight w:val="none"/>
          <w:lang w:eastAsia="zh-CN"/>
        </w:rPr>
        <w:t>产地及相关技术资料</w:t>
      </w:r>
    </w:p>
    <w:p>
      <w:pPr>
        <w:rPr>
          <w:color w:val="auto"/>
          <w:highlight w:val="none"/>
          <w:lang w:eastAsia="zh-CN"/>
        </w:rPr>
      </w:pPr>
      <w:r>
        <w:rPr>
          <w:color w:val="auto"/>
          <w:highlight w:val="none"/>
          <w:lang w:eastAsia="zh-CN"/>
        </w:rPr>
        <w:t>3</w:t>
      </w:r>
      <w:r>
        <w:rPr>
          <w:rFonts w:hint="eastAsia"/>
          <w:color w:val="auto"/>
          <w:highlight w:val="none"/>
          <w:lang w:eastAsia="zh-CN"/>
        </w:rPr>
        <w:t>、投标人中标后供货时须提供以下文件：</w:t>
      </w:r>
    </w:p>
    <w:p>
      <w:pPr>
        <w:rPr>
          <w:color w:val="auto"/>
          <w:highlight w:val="none"/>
          <w:lang w:eastAsia="zh-CN"/>
        </w:rPr>
      </w:pPr>
      <w:r>
        <w:rPr>
          <w:rFonts w:hint="eastAsia"/>
          <w:color w:val="auto"/>
          <w:highlight w:val="none"/>
          <w:lang w:eastAsia="zh-CN"/>
        </w:rPr>
        <w:t>（</w:t>
      </w:r>
      <w:r>
        <w:rPr>
          <w:color w:val="auto"/>
          <w:highlight w:val="none"/>
          <w:lang w:eastAsia="zh-CN"/>
        </w:rPr>
        <w:t>1</w:t>
      </w:r>
      <w:r>
        <w:rPr>
          <w:rFonts w:hint="eastAsia"/>
          <w:color w:val="auto"/>
          <w:highlight w:val="none"/>
          <w:lang w:eastAsia="zh-CN"/>
        </w:rPr>
        <w:t>）装箱清单</w:t>
      </w:r>
    </w:p>
    <w:p>
      <w:pPr>
        <w:rPr>
          <w:color w:val="auto"/>
          <w:highlight w:val="none"/>
          <w:lang w:eastAsia="zh-CN"/>
        </w:rPr>
      </w:pPr>
      <w:r>
        <w:rPr>
          <w:rFonts w:hint="eastAsia"/>
          <w:color w:val="auto"/>
          <w:highlight w:val="none"/>
          <w:lang w:eastAsia="zh-CN"/>
        </w:rPr>
        <w:t>（</w:t>
      </w:r>
      <w:r>
        <w:rPr>
          <w:color w:val="auto"/>
          <w:highlight w:val="none"/>
          <w:lang w:eastAsia="zh-CN"/>
        </w:rPr>
        <w:t>2</w:t>
      </w:r>
      <w:r>
        <w:rPr>
          <w:rFonts w:hint="eastAsia"/>
          <w:color w:val="auto"/>
          <w:highlight w:val="none"/>
          <w:lang w:eastAsia="zh-CN"/>
        </w:rPr>
        <w:t>）设备合格证</w:t>
      </w:r>
    </w:p>
    <w:p>
      <w:pPr>
        <w:rPr>
          <w:color w:val="auto"/>
          <w:highlight w:val="none"/>
          <w:lang w:eastAsia="zh-CN"/>
        </w:rPr>
      </w:pPr>
      <w:r>
        <w:rPr>
          <w:rFonts w:hint="eastAsia"/>
          <w:color w:val="auto"/>
          <w:highlight w:val="none"/>
          <w:lang w:eastAsia="zh-CN"/>
        </w:rPr>
        <w:t>（</w:t>
      </w:r>
      <w:r>
        <w:rPr>
          <w:color w:val="auto"/>
          <w:highlight w:val="none"/>
          <w:lang w:eastAsia="zh-CN"/>
        </w:rPr>
        <w:t>3</w:t>
      </w:r>
      <w:r>
        <w:rPr>
          <w:rFonts w:hint="eastAsia"/>
          <w:color w:val="auto"/>
          <w:highlight w:val="none"/>
          <w:lang w:eastAsia="zh-CN"/>
        </w:rPr>
        <w:t>）设备使用说明书</w:t>
      </w:r>
    </w:p>
    <w:p>
      <w:pPr>
        <w:rPr>
          <w:color w:val="auto"/>
          <w:highlight w:val="none"/>
          <w:lang w:eastAsia="zh-CN"/>
        </w:rPr>
      </w:pPr>
      <w:r>
        <w:rPr>
          <w:rFonts w:hint="eastAsia"/>
          <w:color w:val="auto"/>
          <w:highlight w:val="none"/>
          <w:lang w:eastAsia="zh-CN"/>
        </w:rPr>
        <w:t>（</w:t>
      </w:r>
      <w:r>
        <w:rPr>
          <w:color w:val="auto"/>
          <w:highlight w:val="none"/>
          <w:lang w:eastAsia="zh-CN"/>
        </w:rPr>
        <w:t>4</w:t>
      </w:r>
      <w:r>
        <w:rPr>
          <w:rFonts w:hint="eastAsia"/>
          <w:color w:val="auto"/>
          <w:highlight w:val="none"/>
          <w:lang w:eastAsia="zh-CN"/>
        </w:rPr>
        <w:t>）出厂试验报告</w:t>
      </w:r>
    </w:p>
    <w:p>
      <w:pPr>
        <w:rPr>
          <w:color w:val="auto"/>
          <w:highlight w:val="none"/>
          <w:lang w:eastAsia="zh-CN"/>
        </w:rPr>
      </w:pPr>
      <w:r>
        <w:rPr>
          <w:rFonts w:hint="eastAsia"/>
          <w:color w:val="auto"/>
          <w:highlight w:val="none"/>
          <w:lang w:eastAsia="zh-CN"/>
        </w:rPr>
        <w:t>（</w:t>
      </w:r>
      <w:r>
        <w:rPr>
          <w:color w:val="auto"/>
          <w:highlight w:val="none"/>
          <w:lang w:eastAsia="zh-CN"/>
        </w:rPr>
        <w:t>5</w:t>
      </w:r>
      <w:r>
        <w:rPr>
          <w:rFonts w:hint="eastAsia"/>
          <w:color w:val="auto"/>
          <w:highlight w:val="none"/>
          <w:lang w:eastAsia="zh-CN"/>
        </w:rPr>
        <w:t>）有关电气图纸</w:t>
      </w:r>
    </w:p>
    <w:p>
      <w:pPr>
        <w:rPr>
          <w:color w:val="auto"/>
          <w:highlight w:val="none"/>
          <w:lang w:eastAsia="zh-CN"/>
        </w:rPr>
      </w:pPr>
      <w:r>
        <w:rPr>
          <w:rFonts w:hint="eastAsia"/>
          <w:color w:val="auto"/>
          <w:highlight w:val="none"/>
          <w:lang w:eastAsia="zh-CN"/>
        </w:rPr>
        <w:t>（</w:t>
      </w:r>
      <w:r>
        <w:rPr>
          <w:color w:val="auto"/>
          <w:highlight w:val="none"/>
          <w:lang w:eastAsia="zh-CN"/>
        </w:rPr>
        <w:t>6</w:t>
      </w:r>
      <w:r>
        <w:rPr>
          <w:rFonts w:hint="eastAsia"/>
          <w:color w:val="auto"/>
          <w:highlight w:val="none"/>
          <w:lang w:eastAsia="zh-CN"/>
        </w:rPr>
        <w:t>）柜门钥匙、操作手柄及合同规定的备品配件</w:t>
      </w:r>
    </w:p>
    <w:p>
      <w:pPr>
        <w:rPr>
          <w:color w:val="auto"/>
          <w:highlight w:val="none"/>
          <w:lang w:eastAsia="zh-CN"/>
        </w:rPr>
      </w:pPr>
      <w:r>
        <w:rPr>
          <w:rFonts w:hint="eastAsia"/>
          <w:color w:val="auto"/>
          <w:highlight w:val="none"/>
          <w:lang w:eastAsia="zh-CN"/>
        </w:rPr>
        <w:t>（</w:t>
      </w:r>
      <w:r>
        <w:rPr>
          <w:color w:val="auto"/>
          <w:highlight w:val="none"/>
          <w:lang w:eastAsia="zh-CN"/>
        </w:rPr>
        <w:t>7</w:t>
      </w:r>
      <w:r>
        <w:rPr>
          <w:rFonts w:hint="eastAsia"/>
          <w:color w:val="auto"/>
          <w:highlight w:val="none"/>
          <w:lang w:eastAsia="zh-CN"/>
        </w:rPr>
        <w:t>）主要元器件的出厂合格证</w:t>
      </w:r>
    </w:p>
    <w:p>
      <w:pPr>
        <w:pStyle w:val="6"/>
        <w:ind w:left="0" w:firstLine="0"/>
        <w:rPr>
          <w:color w:val="auto"/>
          <w:highlight w:val="none"/>
        </w:rPr>
      </w:pPr>
      <w:r>
        <w:rPr>
          <w:rFonts w:hint="eastAsia"/>
          <w:color w:val="auto"/>
          <w:highlight w:val="none"/>
        </w:rPr>
        <w:t>（</w:t>
      </w:r>
      <w:r>
        <w:rPr>
          <w:color w:val="auto"/>
          <w:highlight w:val="none"/>
        </w:rPr>
        <w:t>8</w:t>
      </w:r>
      <w:r>
        <w:rPr>
          <w:rFonts w:hint="eastAsia"/>
          <w:color w:val="auto"/>
          <w:highlight w:val="none"/>
        </w:rPr>
        <w:t>）主要元器件的安装使用说明书</w:t>
      </w:r>
    </w:p>
    <w:p>
      <w:pPr>
        <w:pStyle w:val="6"/>
        <w:ind w:left="0" w:firstLine="0"/>
        <w:rPr>
          <w:color w:val="auto"/>
          <w:highlight w:val="none"/>
        </w:rPr>
      </w:pPr>
    </w:p>
    <w:p>
      <w:pPr>
        <w:rPr>
          <w:color w:val="auto"/>
          <w:highlight w:val="none"/>
          <w:lang w:eastAsia="zh-CN"/>
        </w:rPr>
      </w:pPr>
    </w:p>
    <w:p>
      <w:pPr>
        <w:ind w:firstLine="581"/>
        <w:rPr>
          <w:rFonts w:ascii="Times New Roman" w:hAnsi="Times New Roman" w:eastAsia="黑体" w:cs="Times New Roman"/>
          <w:color w:val="auto"/>
          <w:sz w:val="36"/>
          <w:szCs w:val="36"/>
          <w:highlight w:val="none"/>
          <w:lang w:eastAsia="zh-CN"/>
        </w:rPr>
      </w:pPr>
      <w:r>
        <w:rPr>
          <w:rFonts w:ascii="Times New Roman" w:hAnsi="Times New Roman" w:cs="Times New Roman"/>
          <w:color w:val="auto"/>
          <w:highlight w:val="none"/>
          <w:lang w:eastAsia="zh-CN"/>
        </w:rPr>
        <w:br w:type="page"/>
      </w:r>
    </w:p>
    <w:p>
      <w:pPr>
        <w:pStyle w:val="2"/>
        <w:rPr>
          <w:color w:val="auto"/>
          <w:highlight w:val="none"/>
          <w:lang w:eastAsia="zh-CN"/>
        </w:rPr>
        <w:sectPr>
          <w:headerReference r:id="rId5" w:type="default"/>
          <w:pgSz w:w="11910" w:h="16840"/>
          <w:pgMar w:top="1340" w:right="1000" w:bottom="1600" w:left="1320" w:header="538" w:footer="1394" w:gutter="0"/>
          <w:cols w:space="720" w:num="1"/>
        </w:sectPr>
      </w:pPr>
    </w:p>
    <w:p>
      <w:pPr>
        <w:pStyle w:val="3"/>
        <w:rPr>
          <w:color w:val="auto"/>
          <w:highlight w:val="none"/>
        </w:rPr>
      </w:pPr>
      <w:bookmarkStart w:id="63" w:name="_Toc122371854"/>
      <w:r>
        <w:rPr>
          <w:color w:val="auto"/>
          <w:highlight w:val="none"/>
        </w:rPr>
        <w:t>EHS</w:t>
      </w:r>
      <w:r>
        <w:rPr>
          <w:color w:val="auto"/>
          <w:spacing w:val="-90"/>
          <w:highlight w:val="none"/>
        </w:rPr>
        <w:t xml:space="preserve"> </w:t>
      </w:r>
      <w:r>
        <w:rPr>
          <w:rFonts w:hint="eastAsia"/>
          <w:color w:val="auto"/>
          <w:highlight w:val="none"/>
        </w:rPr>
        <w:t>管理规定</w:t>
      </w:r>
      <w:bookmarkEnd w:id="63"/>
    </w:p>
    <w:p>
      <w:pPr>
        <w:pStyle w:val="4"/>
        <w:rPr>
          <w:color w:val="auto"/>
          <w:highlight w:val="none"/>
        </w:rPr>
      </w:pPr>
      <w:bookmarkStart w:id="64" w:name="_Toc122371855"/>
      <w:r>
        <w:rPr>
          <w:rFonts w:hint="eastAsia"/>
          <w:color w:val="auto"/>
          <w:highlight w:val="none"/>
        </w:rPr>
        <w:t>总则</w:t>
      </w:r>
      <w:bookmarkEnd w:id="64"/>
    </w:p>
    <w:p>
      <w:pPr>
        <w:pStyle w:val="5"/>
        <w:rPr>
          <w:color w:val="auto"/>
          <w:highlight w:val="none"/>
        </w:rPr>
      </w:pPr>
      <w:r>
        <w:rPr>
          <w:rFonts w:hint="eastAsia"/>
          <w:color w:val="auto"/>
          <w:highlight w:val="none"/>
        </w:rPr>
        <w:t>定义</w:t>
      </w:r>
    </w:p>
    <w:p>
      <w:pPr>
        <w:pStyle w:val="8"/>
        <w:numPr>
          <w:ilvl w:val="0"/>
          <w:numId w:val="189"/>
        </w:numPr>
        <w:rPr>
          <w:color w:val="auto"/>
          <w:highlight w:val="none"/>
        </w:rPr>
      </w:pPr>
      <w:r>
        <w:rPr>
          <w:color w:val="auto"/>
          <w:highlight w:val="none"/>
        </w:rPr>
        <w:t xml:space="preserve">EHS </w:t>
      </w:r>
      <w:r>
        <w:rPr>
          <w:rFonts w:hint="eastAsia"/>
          <w:color w:val="auto"/>
          <w:highlight w:val="none"/>
        </w:rPr>
        <w:t>的定义为</w:t>
      </w:r>
      <w:r>
        <w:rPr>
          <w:color w:val="auto"/>
          <w:highlight w:val="none"/>
        </w:rPr>
        <w:t>:</w:t>
      </w:r>
      <w:r>
        <w:rPr>
          <w:rFonts w:hint="eastAsia"/>
          <w:color w:val="auto"/>
          <w:highlight w:val="none"/>
        </w:rPr>
        <w:t>安全生产、职业健康、环境保护。</w:t>
      </w:r>
    </w:p>
    <w:p>
      <w:pPr>
        <w:pStyle w:val="8"/>
        <w:numPr>
          <w:ilvl w:val="0"/>
          <w:numId w:val="107"/>
        </w:numPr>
        <w:rPr>
          <w:color w:val="auto"/>
          <w:highlight w:val="none"/>
        </w:rPr>
      </w:pPr>
      <w:r>
        <w:rPr>
          <w:rFonts w:hint="eastAsia"/>
          <w:color w:val="auto"/>
          <w:highlight w:val="none"/>
        </w:rPr>
        <w:t>对专业工程承包人的</w:t>
      </w:r>
      <w:r>
        <w:rPr>
          <w:color w:val="auto"/>
          <w:highlight w:val="none"/>
        </w:rPr>
        <w:t xml:space="preserve"> EHS </w:t>
      </w:r>
      <w:r>
        <w:rPr>
          <w:rFonts w:hint="eastAsia"/>
          <w:color w:val="auto"/>
          <w:highlight w:val="none"/>
        </w:rPr>
        <w:t>管理规定以下简称为</w:t>
      </w:r>
      <w:r>
        <w:rPr>
          <w:color w:val="auto"/>
          <w:highlight w:val="none"/>
        </w:rPr>
        <w:t>“</w:t>
      </w:r>
      <w:r>
        <w:rPr>
          <w:rFonts w:hint="eastAsia"/>
          <w:color w:val="auto"/>
          <w:highlight w:val="none"/>
        </w:rPr>
        <w:t>本规定</w:t>
      </w:r>
      <w:r>
        <w:rPr>
          <w:color w:val="auto"/>
          <w:highlight w:val="none"/>
        </w:rPr>
        <w:t>”</w:t>
      </w:r>
      <w:r>
        <w:rPr>
          <w:rFonts w:hint="eastAsia"/>
          <w:color w:val="auto"/>
          <w:highlight w:val="none"/>
        </w:rPr>
        <w:t>。</w:t>
      </w:r>
    </w:p>
    <w:p>
      <w:pPr>
        <w:pStyle w:val="5"/>
        <w:rPr>
          <w:color w:val="auto"/>
          <w:highlight w:val="none"/>
        </w:rPr>
      </w:pPr>
      <w:r>
        <w:rPr>
          <w:rFonts w:hint="eastAsia"/>
          <w:color w:val="auto"/>
          <w:highlight w:val="none"/>
        </w:rPr>
        <w:t>专业工程承包人</w:t>
      </w:r>
      <w:r>
        <w:rPr>
          <w:color w:val="auto"/>
          <w:highlight w:val="none"/>
        </w:rPr>
        <w:t>EHS</w:t>
      </w:r>
      <w:r>
        <w:rPr>
          <w:rFonts w:hint="eastAsia"/>
          <w:color w:val="auto"/>
          <w:highlight w:val="none"/>
        </w:rPr>
        <w:t>管理要求</w:t>
      </w:r>
    </w:p>
    <w:p>
      <w:pPr>
        <w:pStyle w:val="8"/>
        <w:numPr>
          <w:ilvl w:val="0"/>
          <w:numId w:val="190"/>
        </w:numPr>
        <w:rPr>
          <w:color w:val="auto"/>
          <w:spacing w:val="-6"/>
          <w:highlight w:val="none"/>
        </w:rPr>
      </w:pPr>
      <w:r>
        <w:rPr>
          <w:rFonts w:hint="eastAsia"/>
          <w:color w:val="auto"/>
          <w:spacing w:val="-6"/>
          <w:highlight w:val="none"/>
        </w:rPr>
        <w:t>专业工程承包人</w:t>
      </w:r>
      <w:r>
        <w:rPr>
          <w:color w:val="auto"/>
          <w:spacing w:val="-6"/>
          <w:highlight w:val="none"/>
        </w:rPr>
        <w:t>EHS</w:t>
      </w:r>
      <w:r>
        <w:rPr>
          <w:rFonts w:hint="eastAsia"/>
          <w:color w:val="auto"/>
          <w:spacing w:val="-6"/>
          <w:highlight w:val="none"/>
        </w:rPr>
        <w:t>管理工作，在满足《中华人民共和国安全生产法》、《建设工程安全生产管理条例》、《生产安全事故报告和调查处理条例》、《危险性较大的分部分项工程安全管理办法》等国家、行业和地方有关</w:t>
      </w:r>
      <w:r>
        <w:rPr>
          <w:color w:val="auto"/>
          <w:spacing w:val="-6"/>
          <w:highlight w:val="none"/>
        </w:rPr>
        <w:t>EHS</w:t>
      </w:r>
      <w:r>
        <w:rPr>
          <w:rFonts w:hint="eastAsia"/>
          <w:color w:val="auto"/>
          <w:spacing w:val="-6"/>
          <w:highlight w:val="none"/>
        </w:rPr>
        <w:t>法律法规、规范标准及其他要求的基础之上，还必须满足本规定。</w:t>
      </w:r>
    </w:p>
    <w:p>
      <w:pPr>
        <w:pStyle w:val="8"/>
        <w:numPr>
          <w:ilvl w:val="0"/>
          <w:numId w:val="190"/>
        </w:numPr>
        <w:rPr>
          <w:color w:val="auto"/>
          <w:spacing w:val="-6"/>
          <w:highlight w:val="none"/>
        </w:rPr>
      </w:pPr>
      <w:r>
        <w:rPr>
          <w:rFonts w:hint="eastAsia"/>
          <w:color w:val="auto"/>
          <w:spacing w:val="-6"/>
          <w:highlight w:val="none"/>
        </w:rPr>
        <w:t>专业工程承包人必须落实企业安全生产主体责任，建立健全</w:t>
      </w:r>
      <w:r>
        <w:rPr>
          <w:color w:val="auto"/>
          <w:spacing w:val="-6"/>
          <w:highlight w:val="none"/>
        </w:rPr>
        <w:t>EHS</w:t>
      </w:r>
      <w:r>
        <w:rPr>
          <w:rFonts w:hint="eastAsia"/>
          <w:color w:val="auto"/>
          <w:spacing w:val="-6"/>
          <w:highlight w:val="none"/>
        </w:rPr>
        <w:t>管理体系，保障安全生产投入，深入开展安全生产隐患排查治理工作，不断完善安全生产条件，提高安全生产水平。</w:t>
      </w:r>
    </w:p>
    <w:p>
      <w:pPr>
        <w:pStyle w:val="8"/>
        <w:numPr>
          <w:ilvl w:val="0"/>
          <w:numId w:val="190"/>
        </w:numPr>
        <w:rPr>
          <w:color w:val="auto"/>
          <w:spacing w:val="-6"/>
          <w:highlight w:val="none"/>
        </w:rPr>
      </w:pPr>
      <w:r>
        <w:rPr>
          <w:rFonts w:hint="eastAsia"/>
          <w:color w:val="auto"/>
          <w:spacing w:val="-6"/>
          <w:highlight w:val="none"/>
        </w:rPr>
        <w:t>专业工程承包人有责任、有义务熟知国家、地方及行业有关</w:t>
      </w:r>
      <w:r>
        <w:rPr>
          <w:color w:val="auto"/>
          <w:spacing w:val="-6"/>
          <w:highlight w:val="none"/>
        </w:rPr>
        <w:t>EHS</w:t>
      </w:r>
      <w:r>
        <w:rPr>
          <w:rFonts w:hint="eastAsia"/>
          <w:color w:val="auto"/>
          <w:spacing w:val="-6"/>
          <w:highlight w:val="none"/>
        </w:rPr>
        <w:t>的法律法规、标准规范及相关文件的要求，并和本规定及华润置地安全文明施工管理规定进行比较，执行其中最高标准。</w:t>
      </w:r>
    </w:p>
    <w:p>
      <w:pPr>
        <w:pStyle w:val="8"/>
        <w:numPr>
          <w:ilvl w:val="0"/>
          <w:numId w:val="190"/>
        </w:numPr>
        <w:rPr>
          <w:color w:val="auto"/>
          <w:spacing w:val="-6"/>
          <w:highlight w:val="none"/>
        </w:rPr>
      </w:pPr>
      <w:r>
        <w:rPr>
          <w:rFonts w:hint="eastAsia"/>
          <w:color w:val="auto"/>
          <w:spacing w:val="-6"/>
          <w:highlight w:val="none"/>
        </w:rPr>
        <w:t>专业工程承包人执行本规定任意条款，不减轻、免除总承包人须承担的任何法律责任。</w:t>
      </w:r>
    </w:p>
    <w:p>
      <w:pPr>
        <w:pStyle w:val="8"/>
        <w:numPr>
          <w:ilvl w:val="0"/>
          <w:numId w:val="190"/>
        </w:numPr>
        <w:rPr>
          <w:color w:val="auto"/>
          <w:spacing w:val="-6"/>
          <w:highlight w:val="none"/>
        </w:rPr>
      </w:pPr>
      <w:r>
        <w:rPr>
          <w:rFonts w:hint="eastAsia"/>
          <w:color w:val="auto"/>
          <w:spacing w:val="-6"/>
          <w:highlight w:val="none"/>
        </w:rPr>
        <w:t>本规定的任何条款及内容均不作为签证或结算凭证。</w:t>
      </w:r>
    </w:p>
    <w:p>
      <w:pPr>
        <w:pStyle w:val="4"/>
        <w:rPr>
          <w:color w:val="auto"/>
          <w:highlight w:val="none"/>
        </w:rPr>
      </w:pPr>
      <w:bookmarkStart w:id="65" w:name="_Toc122371856"/>
      <w:r>
        <w:rPr>
          <w:color w:val="auto"/>
          <w:highlight w:val="none"/>
        </w:rPr>
        <w:t xml:space="preserve">EHS </w:t>
      </w:r>
      <w:r>
        <w:rPr>
          <w:rFonts w:hint="eastAsia"/>
          <w:color w:val="auto"/>
          <w:highlight w:val="none"/>
        </w:rPr>
        <w:t>原则、方针、理念与目标</w:t>
      </w:r>
      <w:bookmarkEnd w:id="65"/>
    </w:p>
    <w:p>
      <w:pPr>
        <w:pStyle w:val="5"/>
        <w:rPr>
          <w:color w:val="auto"/>
          <w:highlight w:val="none"/>
        </w:rPr>
      </w:pPr>
      <w:r>
        <w:rPr>
          <w:color w:val="auto"/>
          <w:highlight w:val="none"/>
        </w:rPr>
        <w:t xml:space="preserve">EHS </w:t>
      </w:r>
      <w:r>
        <w:rPr>
          <w:rFonts w:hint="eastAsia"/>
          <w:color w:val="auto"/>
          <w:highlight w:val="none"/>
        </w:rPr>
        <w:t>管理原则</w:t>
      </w:r>
      <w:r>
        <w:rPr>
          <w:color w:val="auto"/>
          <w:highlight w:val="none"/>
        </w:rPr>
        <w:t>:</w:t>
      </w:r>
    </w:p>
    <w:p>
      <w:pPr>
        <w:pStyle w:val="8"/>
        <w:numPr>
          <w:ilvl w:val="0"/>
          <w:numId w:val="191"/>
        </w:numPr>
        <w:rPr>
          <w:rFonts w:eastAsia="Times New Roman"/>
          <w:color w:val="auto"/>
          <w:highlight w:val="none"/>
        </w:rPr>
      </w:pPr>
      <w:r>
        <w:rPr>
          <w:color w:val="auto"/>
          <w:highlight w:val="none"/>
        </w:rPr>
        <w:t xml:space="preserve">EHS </w:t>
      </w:r>
      <w:r>
        <w:rPr>
          <w:rFonts w:hint="eastAsia"/>
          <w:color w:val="auto"/>
          <w:highlight w:val="none"/>
        </w:rPr>
        <w:t>工作必须坚持一岗双责，全员参与。</w:t>
      </w:r>
    </w:p>
    <w:p>
      <w:pPr>
        <w:pStyle w:val="8"/>
        <w:numPr>
          <w:ilvl w:val="0"/>
          <w:numId w:val="191"/>
        </w:numPr>
        <w:rPr>
          <w:rFonts w:eastAsia="Times New Roman"/>
          <w:color w:val="auto"/>
          <w:highlight w:val="none"/>
        </w:rPr>
      </w:pPr>
      <w:r>
        <w:rPr>
          <w:rFonts w:hint="eastAsia"/>
          <w:color w:val="auto"/>
          <w:highlight w:val="none"/>
        </w:rPr>
        <w:t>项目开工前，必须开展</w:t>
      </w:r>
      <w:r>
        <w:rPr>
          <w:color w:val="auto"/>
          <w:highlight w:val="none"/>
        </w:rPr>
        <w:t xml:space="preserve"> EHS </w:t>
      </w:r>
      <w:r>
        <w:rPr>
          <w:rFonts w:hint="eastAsia"/>
          <w:color w:val="auto"/>
          <w:highlight w:val="none"/>
        </w:rPr>
        <w:t>评估。</w:t>
      </w:r>
    </w:p>
    <w:p>
      <w:pPr>
        <w:pStyle w:val="8"/>
        <w:numPr>
          <w:ilvl w:val="0"/>
          <w:numId w:val="191"/>
        </w:numPr>
        <w:rPr>
          <w:rFonts w:eastAsia="Times New Roman"/>
          <w:color w:val="auto"/>
          <w:highlight w:val="none"/>
        </w:rPr>
      </w:pPr>
      <w:r>
        <w:rPr>
          <w:rFonts w:hint="eastAsia"/>
          <w:color w:val="auto"/>
          <w:highlight w:val="none"/>
        </w:rPr>
        <w:t>所有</w:t>
      </w:r>
      <w:r>
        <w:rPr>
          <w:color w:val="auto"/>
          <w:highlight w:val="none"/>
        </w:rPr>
        <w:t xml:space="preserve"> EHS </w:t>
      </w:r>
      <w:r>
        <w:rPr>
          <w:rFonts w:hint="eastAsia"/>
          <w:color w:val="auto"/>
          <w:highlight w:val="none"/>
        </w:rPr>
        <w:t>隐患必须及时整改关闭。</w:t>
      </w:r>
    </w:p>
    <w:p>
      <w:pPr>
        <w:pStyle w:val="8"/>
        <w:numPr>
          <w:ilvl w:val="0"/>
          <w:numId w:val="191"/>
        </w:numPr>
        <w:rPr>
          <w:rFonts w:eastAsia="Times New Roman"/>
          <w:color w:val="auto"/>
          <w:highlight w:val="none"/>
        </w:rPr>
      </w:pPr>
      <w:r>
        <w:rPr>
          <w:rFonts w:hint="eastAsia"/>
          <w:color w:val="auto"/>
          <w:highlight w:val="none"/>
        </w:rPr>
        <w:t>所有</w:t>
      </w:r>
      <w:r>
        <w:rPr>
          <w:color w:val="auto"/>
          <w:highlight w:val="none"/>
        </w:rPr>
        <w:t xml:space="preserve"> EHS </w:t>
      </w:r>
      <w:r>
        <w:rPr>
          <w:rFonts w:hint="eastAsia"/>
          <w:color w:val="auto"/>
          <w:highlight w:val="none"/>
        </w:rPr>
        <w:t>事故事件必须及时报告、分析和处置。</w:t>
      </w:r>
    </w:p>
    <w:p>
      <w:pPr>
        <w:pStyle w:val="8"/>
        <w:numPr>
          <w:ilvl w:val="0"/>
          <w:numId w:val="191"/>
        </w:numPr>
        <w:rPr>
          <w:rFonts w:eastAsia="Times New Roman"/>
          <w:color w:val="auto"/>
          <w:highlight w:val="none"/>
        </w:rPr>
      </w:pPr>
      <w:r>
        <w:rPr>
          <w:rFonts w:hint="eastAsia"/>
          <w:color w:val="auto"/>
          <w:highlight w:val="none"/>
        </w:rPr>
        <w:t>必须对所有员工进行</w:t>
      </w:r>
      <w:r>
        <w:rPr>
          <w:color w:val="auto"/>
          <w:highlight w:val="none"/>
        </w:rPr>
        <w:t xml:space="preserve"> EHS </w:t>
      </w:r>
      <w:r>
        <w:rPr>
          <w:rFonts w:hint="eastAsia"/>
          <w:color w:val="auto"/>
          <w:highlight w:val="none"/>
        </w:rPr>
        <w:t>培训。</w:t>
      </w:r>
    </w:p>
    <w:p>
      <w:pPr>
        <w:pStyle w:val="8"/>
        <w:numPr>
          <w:ilvl w:val="0"/>
          <w:numId w:val="191"/>
        </w:numPr>
        <w:rPr>
          <w:rFonts w:eastAsia="Times New Roman"/>
          <w:color w:val="auto"/>
          <w:highlight w:val="none"/>
        </w:rPr>
      </w:pPr>
      <w:r>
        <w:rPr>
          <w:rFonts w:hint="eastAsia"/>
          <w:color w:val="auto"/>
          <w:highlight w:val="none"/>
        </w:rPr>
        <w:t>各级管理层必须重视</w:t>
      </w:r>
      <w:r>
        <w:rPr>
          <w:color w:val="auto"/>
          <w:highlight w:val="none"/>
        </w:rPr>
        <w:t xml:space="preserve"> EHS </w:t>
      </w:r>
      <w:r>
        <w:rPr>
          <w:rFonts w:hint="eastAsia"/>
          <w:color w:val="auto"/>
          <w:highlight w:val="none"/>
        </w:rPr>
        <w:t>工作，并参与</w:t>
      </w:r>
      <w:r>
        <w:rPr>
          <w:color w:val="auto"/>
          <w:highlight w:val="none"/>
        </w:rPr>
        <w:t xml:space="preserve"> EHS </w:t>
      </w:r>
      <w:r>
        <w:rPr>
          <w:rFonts w:hint="eastAsia"/>
          <w:color w:val="auto"/>
          <w:highlight w:val="none"/>
        </w:rPr>
        <w:t>活动。</w:t>
      </w:r>
    </w:p>
    <w:p>
      <w:pPr>
        <w:pStyle w:val="8"/>
        <w:numPr>
          <w:ilvl w:val="0"/>
          <w:numId w:val="191"/>
        </w:numPr>
        <w:rPr>
          <w:rFonts w:eastAsia="Times New Roman"/>
          <w:color w:val="auto"/>
          <w:highlight w:val="none"/>
        </w:rPr>
      </w:pPr>
      <w:r>
        <w:rPr>
          <w:rFonts w:hint="eastAsia"/>
          <w:color w:val="auto"/>
          <w:highlight w:val="none"/>
        </w:rPr>
        <w:t>必须关注员工的工作环境和身心健康。</w:t>
      </w:r>
    </w:p>
    <w:p>
      <w:pPr>
        <w:pStyle w:val="8"/>
        <w:numPr>
          <w:ilvl w:val="0"/>
          <w:numId w:val="191"/>
        </w:numPr>
        <w:rPr>
          <w:rFonts w:eastAsia="Times New Roman"/>
          <w:color w:val="auto"/>
          <w:highlight w:val="none"/>
        </w:rPr>
      </w:pPr>
      <w:r>
        <w:rPr>
          <w:rFonts w:hint="eastAsia"/>
          <w:color w:val="auto"/>
          <w:highlight w:val="none"/>
        </w:rPr>
        <w:t>将相关方视同我方，纳入公司</w:t>
      </w:r>
      <w:r>
        <w:rPr>
          <w:color w:val="auto"/>
          <w:highlight w:val="none"/>
        </w:rPr>
        <w:t xml:space="preserve"> EHS </w:t>
      </w:r>
      <w:r>
        <w:rPr>
          <w:rFonts w:hint="eastAsia"/>
          <w:color w:val="auto"/>
          <w:highlight w:val="none"/>
        </w:rPr>
        <w:t>管理范畴。</w:t>
      </w:r>
    </w:p>
    <w:p>
      <w:pPr>
        <w:pStyle w:val="5"/>
        <w:rPr>
          <w:color w:val="auto"/>
          <w:highlight w:val="none"/>
        </w:rPr>
      </w:pPr>
      <w:r>
        <w:rPr>
          <w:color w:val="auto"/>
          <w:highlight w:val="none"/>
        </w:rPr>
        <w:t xml:space="preserve">EHS </w:t>
      </w:r>
      <w:r>
        <w:rPr>
          <w:rFonts w:hint="eastAsia"/>
          <w:color w:val="auto"/>
          <w:highlight w:val="none"/>
        </w:rPr>
        <w:t>方针</w:t>
      </w:r>
    </w:p>
    <w:p>
      <w:pPr>
        <w:ind w:left="1037" w:firstLine="581"/>
        <w:rPr>
          <w:rFonts w:ascii="Times New Roman" w:hAnsi="Times New Roman" w:cs="Times New Roman"/>
          <w:color w:val="auto"/>
          <w:szCs w:val="24"/>
          <w:highlight w:val="none"/>
          <w:lang w:eastAsia="zh-CN"/>
        </w:rPr>
      </w:pPr>
      <w:r>
        <w:rPr>
          <w:rFonts w:ascii="Times New Roman" w:hAnsi="Times New Roman" w:cs="Times New Roman"/>
          <w:color w:val="auto"/>
          <w:szCs w:val="24"/>
          <w:highlight w:val="none"/>
          <w:lang w:eastAsia="zh-CN"/>
        </w:rPr>
        <w:t xml:space="preserve">EHS </w:t>
      </w:r>
      <w:r>
        <w:rPr>
          <w:rFonts w:hint="eastAsia" w:ascii="Times New Roman" w:hAnsi="Times New Roman" w:cs="Times New Roman"/>
          <w:color w:val="auto"/>
          <w:szCs w:val="24"/>
          <w:highlight w:val="none"/>
          <w:lang w:eastAsia="zh-CN"/>
        </w:rPr>
        <w:t>工作方针为</w:t>
      </w:r>
      <w:r>
        <w:rPr>
          <w:rFonts w:ascii="Times New Roman" w:hAnsi="Times New Roman" w:cs="Times New Roman"/>
          <w:color w:val="auto"/>
          <w:szCs w:val="24"/>
          <w:highlight w:val="none"/>
          <w:lang w:eastAsia="zh-CN"/>
        </w:rPr>
        <w:t>:</w:t>
      </w:r>
      <w:r>
        <w:rPr>
          <w:rFonts w:hint="eastAsia" w:ascii="Times New Roman" w:hAnsi="Times New Roman" w:cs="Times New Roman"/>
          <w:color w:val="auto"/>
          <w:szCs w:val="24"/>
          <w:highlight w:val="none"/>
          <w:lang w:eastAsia="zh-CN"/>
        </w:rPr>
        <w:t>安全第一，预防为主，综合治理。</w:t>
      </w:r>
    </w:p>
    <w:p>
      <w:pPr>
        <w:pStyle w:val="8"/>
        <w:numPr>
          <w:ilvl w:val="0"/>
          <w:numId w:val="192"/>
        </w:numPr>
        <w:rPr>
          <w:color w:val="auto"/>
          <w:spacing w:val="-6"/>
          <w:highlight w:val="none"/>
        </w:rPr>
      </w:pPr>
      <w:r>
        <w:rPr>
          <w:rFonts w:hint="eastAsia"/>
          <w:color w:val="auto"/>
          <w:spacing w:val="-6"/>
          <w:highlight w:val="none"/>
        </w:rPr>
        <w:t>安全在时间排位上处于第一位，任何一项生产工作开展之前先讲安全，创造好安全条件再工作，存在安全隐患先整顿，隐患不排除或没有可行的控制措施和手段，不进行生产，在生产过程中，事前讲安全，工作中消灭违章，事后分析总结安全。</w:t>
      </w:r>
    </w:p>
    <w:p>
      <w:pPr>
        <w:pStyle w:val="8"/>
        <w:numPr>
          <w:ilvl w:val="0"/>
          <w:numId w:val="192"/>
        </w:numPr>
        <w:rPr>
          <w:color w:val="auto"/>
          <w:spacing w:val="-6"/>
          <w:highlight w:val="none"/>
        </w:rPr>
      </w:pPr>
      <w:r>
        <w:rPr>
          <w:rFonts w:hint="eastAsia"/>
          <w:color w:val="auto"/>
          <w:spacing w:val="-6"/>
          <w:highlight w:val="none"/>
        </w:rPr>
        <w:t>预防为主强调安全工作应注重事前预控、事中管控，尊重科学，探索规律，采取有效的事前控制措施，千方百计预防事故的发生，做到防患于未然，将事故消灭在萌芽状态。</w:t>
      </w:r>
    </w:p>
    <w:p>
      <w:pPr>
        <w:pStyle w:val="8"/>
        <w:numPr>
          <w:ilvl w:val="0"/>
          <w:numId w:val="192"/>
        </w:numPr>
        <w:rPr>
          <w:color w:val="auto"/>
          <w:spacing w:val="-6"/>
          <w:highlight w:val="none"/>
        </w:rPr>
      </w:pPr>
      <w:r>
        <w:rPr>
          <w:rFonts w:hint="eastAsia"/>
          <w:color w:val="auto"/>
          <w:spacing w:val="-6"/>
          <w:highlight w:val="none"/>
        </w:rPr>
        <w:t>安全事故的发生，往往是因为存在各种各样的管理问题，因此只有充分运用经济、法律、行政等手段，人管、法治、技术防范多管齐下，综合运用各种手段与技术，从管理上完善系统，才能系统解决安全生产领域的问题，最终达到减少和预防事故发生的目的。</w:t>
      </w:r>
    </w:p>
    <w:p>
      <w:pPr>
        <w:pStyle w:val="5"/>
        <w:rPr>
          <w:color w:val="auto"/>
          <w:highlight w:val="none"/>
        </w:rPr>
      </w:pPr>
      <w:r>
        <w:rPr>
          <w:color w:val="auto"/>
          <w:highlight w:val="none"/>
        </w:rPr>
        <w:t xml:space="preserve">EHS </w:t>
      </w:r>
      <w:r>
        <w:rPr>
          <w:rFonts w:hint="eastAsia"/>
          <w:color w:val="auto"/>
          <w:highlight w:val="none"/>
        </w:rPr>
        <w:t>理念</w:t>
      </w:r>
    </w:p>
    <w:p>
      <w:pPr>
        <w:ind w:left="1037" w:firstLine="581"/>
        <w:rPr>
          <w:rFonts w:ascii="Times New Roman" w:hAnsi="Times New Roman" w:cs="Times New Roman"/>
          <w:color w:val="auto"/>
          <w:szCs w:val="24"/>
          <w:highlight w:val="none"/>
          <w:lang w:eastAsia="zh-CN"/>
        </w:rPr>
      </w:pPr>
      <w:r>
        <w:rPr>
          <w:rFonts w:hint="eastAsia" w:ascii="Times New Roman" w:hAnsi="Times New Roman" w:cs="Times New Roman"/>
          <w:color w:val="auto"/>
          <w:szCs w:val="24"/>
          <w:highlight w:val="none"/>
          <w:lang w:eastAsia="zh-CN"/>
        </w:rPr>
        <w:t>责任驱动进步，绿色改变生活。不以牺牲环境为代价进行生产；不以牺牲环境的长远利益换取生产的暂时利益，工程施工过程中，提倡并鼓励绿色施工。</w:t>
      </w:r>
    </w:p>
    <w:p>
      <w:pPr>
        <w:pStyle w:val="4"/>
        <w:ind w:firstLine="413"/>
        <w:rPr>
          <w:color w:val="auto"/>
          <w:highlight w:val="none"/>
        </w:rPr>
      </w:pPr>
      <w:bookmarkStart w:id="66" w:name="_Toc122371857"/>
      <w:r>
        <w:rPr>
          <w:rFonts w:hint="eastAsia"/>
          <w:color w:val="auto"/>
          <w:spacing w:val="-25"/>
          <w:highlight w:val="none"/>
        </w:rPr>
        <w:t>双方</w:t>
      </w:r>
      <w:r>
        <w:rPr>
          <w:color w:val="auto"/>
          <w:spacing w:val="-25"/>
          <w:highlight w:val="none"/>
        </w:rPr>
        <w:t xml:space="preserve"> </w:t>
      </w:r>
      <w:r>
        <w:rPr>
          <w:color w:val="auto"/>
          <w:highlight w:val="none"/>
        </w:rPr>
        <w:t xml:space="preserve">EHS </w:t>
      </w:r>
      <w:r>
        <w:rPr>
          <w:rFonts w:hint="eastAsia"/>
          <w:color w:val="auto"/>
          <w:highlight w:val="none"/>
        </w:rPr>
        <w:t>管理权利与义务</w:t>
      </w:r>
      <w:bookmarkEnd w:id="66"/>
    </w:p>
    <w:p>
      <w:pPr>
        <w:pStyle w:val="5"/>
        <w:rPr>
          <w:color w:val="auto"/>
          <w:highlight w:val="none"/>
        </w:rPr>
      </w:pPr>
      <w:r>
        <w:rPr>
          <w:rFonts w:hint="eastAsia"/>
          <w:color w:val="auto"/>
          <w:highlight w:val="none"/>
        </w:rPr>
        <w:t>发包人权力</w:t>
      </w:r>
    </w:p>
    <w:p>
      <w:pPr>
        <w:pStyle w:val="8"/>
        <w:numPr>
          <w:ilvl w:val="0"/>
          <w:numId w:val="193"/>
        </w:numPr>
        <w:rPr>
          <w:color w:val="auto"/>
          <w:spacing w:val="-6"/>
          <w:highlight w:val="none"/>
        </w:rPr>
      </w:pPr>
      <w:r>
        <w:rPr>
          <w:rFonts w:hint="eastAsia"/>
          <w:color w:val="auto"/>
          <w:spacing w:val="-6"/>
          <w:highlight w:val="none"/>
        </w:rPr>
        <w:t>有权要求专业工程承包人建立健全</w:t>
      </w:r>
      <w:r>
        <w:rPr>
          <w:color w:val="auto"/>
          <w:spacing w:val="-6"/>
          <w:highlight w:val="none"/>
        </w:rPr>
        <w:t xml:space="preserve"> EHS </w:t>
      </w:r>
      <w:r>
        <w:rPr>
          <w:rFonts w:hint="eastAsia"/>
          <w:color w:val="auto"/>
          <w:spacing w:val="-6"/>
          <w:highlight w:val="none"/>
        </w:rPr>
        <w:t>管理体系，严格执行安全生产法规、标准，遵守安全生产规章制度、安全操作规程，有效控制生产危险源，熟练掌握事故防范和应急措施等。</w:t>
      </w:r>
    </w:p>
    <w:p>
      <w:pPr>
        <w:pStyle w:val="8"/>
        <w:numPr>
          <w:ilvl w:val="0"/>
          <w:numId w:val="193"/>
        </w:numPr>
        <w:rPr>
          <w:color w:val="auto"/>
          <w:spacing w:val="-6"/>
          <w:highlight w:val="none"/>
        </w:rPr>
      </w:pPr>
      <w:r>
        <w:rPr>
          <w:rFonts w:hint="eastAsia"/>
          <w:color w:val="auto"/>
          <w:spacing w:val="-6"/>
          <w:highlight w:val="none"/>
        </w:rPr>
        <w:t>有权要求专业工程承包人履行安全生产职责，并对专业工程承包人履责情况进行监督、考评。</w:t>
      </w:r>
    </w:p>
    <w:p>
      <w:pPr>
        <w:pStyle w:val="8"/>
        <w:numPr>
          <w:ilvl w:val="0"/>
          <w:numId w:val="193"/>
        </w:numPr>
        <w:rPr>
          <w:color w:val="auto"/>
          <w:spacing w:val="-6"/>
          <w:highlight w:val="none"/>
        </w:rPr>
      </w:pPr>
      <w:r>
        <w:rPr>
          <w:rFonts w:hint="eastAsia"/>
          <w:color w:val="auto"/>
          <w:spacing w:val="-6"/>
          <w:highlight w:val="none"/>
        </w:rPr>
        <w:t>有权对专业工程承包人拟派项目的</w:t>
      </w:r>
      <w:r>
        <w:rPr>
          <w:color w:val="auto"/>
          <w:spacing w:val="-6"/>
          <w:highlight w:val="none"/>
        </w:rPr>
        <w:t xml:space="preserve"> EHS </w:t>
      </w:r>
      <w:r>
        <w:rPr>
          <w:rFonts w:hint="eastAsia"/>
          <w:color w:val="auto"/>
          <w:spacing w:val="-6"/>
          <w:highlight w:val="none"/>
        </w:rPr>
        <w:t>管理人员进行面试，经面试合格后方可上岗。对履责不力或由于管理缺陷造成事故事件的，发包人有权利要求专业工程承包人对</w:t>
      </w:r>
    </w:p>
    <w:p>
      <w:pPr>
        <w:pStyle w:val="8"/>
        <w:numPr>
          <w:ilvl w:val="0"/>
          <w:numId w:val="193"/>
        </w:numPr>
        <w:rPr>
          <w:color w:val="auto"/>
          <w:spacing w:val="-6"/>
          <w:highlight w:val="none"/>
        </w:rPr>
      </w:pPr>
      <w:r>
        <w:rPr>
          <w:color w:val="auto"/>
          <w:spacing w:val="-6"/>
          <w:highlight w:val="none"/>
        </w:rPr>
        <w:t xml:space="preserve">EHS </w:t>
      </w:r>
      <w:r>
        <w:rPr>
          <w:rFonts w:hint="eastAsia"/>
          <w:color w:val="auto"/>
          <w:spacing w:val="-6"/>
          <w:highlight w:val="none"/>
        </w:rPr>
        <w:t>管理人员进行更换。</w:t>
      </w:r>
    </w:p>
    <w:p>
      <w:pPr>
        <w:pStyle w:val="8"/>
        <w:numPr>
          <w:ilvl w:val="0"/>
          <w:numId w:val="193"/>
        </w:numPr>
        <w:rPr>
          <w:color w:val="auto"/>
          <w:spacing w:val="-6"/>
          <w:highlight w:val="none"/>
        </w:rPr>
      </w:pPr>
      <w:r>
        <w:rPr>
          <w:rFonts w:hint="eastAsia"/>
          <w:color w:val="auto"/>
          <w:spacing w:val="-6"/>
          <w:highlight w:val="none"/>
        </w:rPr>
        <w:t>有权要求专业工程承包人维护好各类安全生产设施、设备和器材。</w:t>
      </w:r>
    </w:p>
    <w:p>
      <w:pPr>
        <w:pStyle w:val="8"/>
        <w:numPr>
          <w:ilvl w:val="0"/>
          <w:numId w:val="193"/>
        </w:numPr>
        <w:rPr>
          <w:color w:val="auto"/>
          <w:spacing w:val="-6"/>
          <w:highlight w:val="none"/>
        </w:rPr>
      </w:pPr>
      <w:r>
        <w:rPr>
          <w:rFonts w:hint="eastAsia"/>
          <w:color w:val="auto"/>
          <w:spacing w:val="-6"/>
          <w:highlight w:val="none"/>
        </w:rPr>
        <w:t>有权对专业工程承包人租赁使用的设备、设施进行安全监督管理。</w:t>
      </w:r>
    </w:p>
    <w:p>
      <w:pPr>
        <w:pStyle w:val="8"/>
        <w:numPr>
          <w:ilvl w:val="0"/>
          <w:numId w:val="193"/>
        </w:numPr>
        <w:rPr>
          <w:color w:val="auto"/>
          <w:spacing w:val="-6"/>
          <w:highlight w:val="none"/>
        </w:rPr>
      </w:pPr>
      <w:r>
        <w:rPr>
          <w:rFonts w:hint="eastAsia"/>
          <w:color w:val="auto"/>
          <w:spacing w:val="-6"/>
          <w:highlight w:val="none"/>
        </w:rPr>
        <w:t>有权对专业工程承包人管理的作业现场的安全状况进行监督检查与处理。</w:t>
      </w:r>
    </w:p>
    <w:p>
      <w:pPr>
        <w:pStyle w:val="8"/>
        <w:numPr>
          <w:ilvl w:val="0"/>
          <w:numId w:val="193"/>
        </w:numPr>
        <w:rPr>
          <w:color w:val="auto"/>
          <w:spacing w:val="-6"/>
          <w:highlight w:val="none"/>
        </w:rPr>
      </w:pPr>
      <w:r>
        <w:rPr>
          <w:rFonts w:hint="eastAsia"/>
          <w:color w:val="auto"/>
          <w:spacing w:val="-6"/>
          <w:highlight w:val="none"/>
        </w:rPr>
        <w:t>发生事故后，有权根据有关规定组织、参与事故调查处理并报告事故。</w:t>
      </w:r>
    </w:p>
    <w:p>
      <w:pPr>
        <w:pStyle w:val="8"/>
        <w:numPr>
          <w:ilvl w:val="0"/>
          <w:numId w:val="193"/>
        </w:numPr>
        <w:rPr>
          <w:color w:val="auto"/>
          <w:spacing w:val="-6"/>
          <w:highlight w:val="none"/>
        </w:rPr>
      </w:pPr>
      <w:r>
        <w:rPr>
          <w:rFonts w:hint="eastAsia"/>
          <w:color w:val="auto"/>
          <w:spacing w:val="-6"/>
          <w:highlight w:val="none"/>
        </w:rPr>
        <w:t>有权对专业工程承包人做出的安全管理承诺予以监督、检查、考评。</w:t>
      </w:r>
    </w:p>
    <w:p>
      <w:pPr>
        <w:pStyle w:val="8"/>
        <w:numPr>
          <w:ilvl w:val="0"/>
          <w:numId w:val="193"/>
        </w:numPr>
        <w:rPr>
          <w:color w:val="auto"/>
          <w:spacing w:val="-6"/>
          <w:highlight w:val="none"/>
        </w:rPr>
      </w:pPr>
      <w:r>
        <w:rPr>
          <w:rFonts w:hint="eastAsia"/>
          <w:color w:val="auto"/>
          <w:spacing w:val="-6"/>
          <w:highlight w:val="none"/>
        </w:rPr>
        <w:t>有权指出专业工程承包人安全管理过程中的任何偏差，并验证整改情况。</w:t>
      </w:r>
    </w:p>
    <w:p>
      <w:pPr>
        <w:pStyle w:val="8"/>
        <w:numPr>
          <w:ilvl w:val="0"/>
          <w:numId w:val="193"/>
        </w:numPr>
        <w:rPr>
          <w:color w:val="auto"/>
          <w:spacing w:val="-6"/>
          <w:highlight w:val="none"/>
        </w:rPr>
      </w:pPr>
      <w:r>
        <w:rPr>
          <w:rFonts w:hint="eastAsia"/>
          <w:color w:val="auto"/>
          <w:spacing w:val="-6"/>
          <w:highlight w:val="none"/>
        </w:rPr>
        <w:t>有权对专业工程承包人安全违规行为实施处罚。</w:t>
      </w:r>
    </w:p>
    <w:p>
      <w:pPr>
        <w:pStyle w:val="8"/>
        <w:numPr>
          <w:ilvl w:val="0"/>
          <w:numId w:val="193"/>
        </w:numPr>
        <w:rPr>
          <w:color w:val="auto"/>
          <w:spacing w:val="-6"/>
          <w:highlight w:val="none"/>
        </w:rPr>
      </w:pPr>
      <w:r>
        <w:rPr>
          <w:rFonts w:hint="eastAsia"/>
          <w:color w:val="auto"/>
          <w:spacing w:val="-6"/>
          <w:highlight w:val="none"/>
        </w:rPr>
        <w:t>有权对劳务分包进行考察并提供意见，进场前发包人不认可或施工过程中存在重大</w:t>
      </w:r>
      <w:r>
        <w:rPr>
          <w:color w:val="auto"/>
          <w:spacing w:val="-6"/>
          <w:highlight w:val="none"/>
        </w:rPr>
        <w:t xml:space="preserve"> EHS </w:t>
      </w:r>
      <w:r>
        <w:rPr>
          <w:rFonts w:hint="eastAsia"/>
          <w:color w:val="auto"/>
          <w:spacing w:val="-6"/>
          <w:highlight w:val="none"/>
        </w:rPr>
        <w:t>履责风险的，发包人有权要求专业工程承包人不得选用或进行更换。</w:t>
      </w:r>
    </w:p>
    <w:p>
      <w:pPr>
        <w:pStyle w:val="5"/>
        <w:rPr>
          <w:color w:val="auto"/>
          <w:highlight w:val="none"/>
        </w:rPr>
      </w:pPr>
      <w:r>
        <w:rPr>
          <w:rFonts w:hint="eastAsia"/>
          <w:color w:val="auto"/>
          <w:highlight w:val="none"/>
        </w:rPr>
        <w:t>发包人义务</w:t>
      </w:r>
    </w:p>
    <w:p>
      <w:pPr>
        <w:pStyle w:val="8"/>
        <w:numPr>
          <w:ilvl w:val="0"/>
          <w:numId w:val="194"/>
        </w:numPr>
        <w:rPr>
          <w:color w:val="auto"/>
          <w:spacing w:val="-6"/>
          <w:highlight w:val="none"/>
        </w:rPr>
      </w:pPr>
      <w:r>
        <w:rPr>
          <w:rFonts w:hint="eastAsia"/>
          <w:color w:val="auto"/>
          <w:spacing w:val="-6"/>
          <w:highlight w:val="none"/>
        </w:rPr>
        <w:t>贯彻落实</w:t>
      </w:r>
      <w:r>
        <w:rPr>
          <w:color w:val="auto"/>
          <w:spacing w:val="-6"/>
          <w:highlight w:val="none"/>
        </w:rPr>
        <w:t>“</w:t>
      </w:r>
      <w:r>
        <w:rPr>
          <w:rFonts w:hint="eastAsia"/>
          <w:color w:val="auto"/>
          <w:spacing w:val="-6"/>
          <w:highlight w:val="none"/>
        </w:rPr>
        <w:t>安全第一，预防为主，综合治理</w:t>
      </w:r>
      <w:r>
        <w:rPr>
          <w:color w:val="auto"/>
          <w:spacing w:val="-6"/>
          <w:highlight w:val="none"/>
        </w:rPr>
        <w:t>”</w:t>
      </w:r>
      <w:r>
        <w:rPr>
          <w:rFonts w:hint="eastAsia"/>
          <w:color w:val="auto"/>
          <w:spacing w:val="-6"/>
          <w:highlight w:val="none"/>
        </w:rPr>
        <w:t>的安全生产方针，认真执行有关法律、法规、标准，建立健全安全生产规章制度。</w:t>
      </w:r>
    </w:p>
    <w:p>
      <w:pPr>
        <w:pStyle w:val="8"/>
        <w:numPr>
          <w:ilvl w:val="0"/>
          <w:numId w:val="194"/>
        </w:numPr>
        <w:rPr>
          <w:color w:val="auto"/>
          <w:spacing w:val="-6"/>
          <w:highlight w:val="none"/>
        </w:rPr>
      </w:pPr>
      <w:r>
        <w:rPr>
          <w:rFonts w:hint="eastAsia"/>
          <w:color w:val="auto"/>
          <w:spacing w:val="-6"/>
          <w:highlight w:val="none"/>
        </w:rPr>
        <w:t>按规定对专业工程承包人进行资质审查、备案。</w:t>
      </w:r>
    </w:p>
    <w:p>
      <w:pPr>
        <w:pStyle w:val="8"/>
        <w:numPr>
          <w:ilvl w:val="0"/>
          <w:numId w:val="194"/>
        </w:numPr>
        <w:rPr>
          <w:color w:val="auto"/>
          <w:spacing w:val="-6"/>
          <w:highlight w:val="none"/>
        </w:rPr>
      </w:pPr>
      <w:r>
        <w:rPr>
          <w:rFonts w:hint="eastAsia"/>
          <w:color w:val="auto"/>
          <w:spacing w:val="-6"/>
          <w:highlight w:val="none"/>
        </w:rPr>
        <w:t>向专业工程承包人提供工程合同中规定的安全条件支持。</w:t>
      </w:r>
    </w:p>
    <w:p>
      <w:pPr>
        <w:pStyle w:val="8"/>
        <w:numPr>
          <w:ilvl w:val="0"/>
          <w:numId w:val="194"/>
        </w:numPr>
        <w:rPr>
          <w:color w:val="auto"/>
          <w:spacing w:val="-6"/>
          <w:highlight w:val="none"/>
        </w:rPr>
      </w:pPr>
      <w:r>
        <w:rPr>
          <w:rFonts w:hint="eastAsia"/>
          <w:color w:val="auto"/>
          <w:spacing w:val="-6"/>
          <w:highlight w:val="none"/>
        </w:rPr>
        <w:t>按规定组织或参与事故抢险，防止事故扩大。</w:t>
      </w:r>
    </w:p>
    <w:p>
      <w:pPr>
        <w:pStyle w:val="8"/>
        <w:numPr>
          <w:ilvl w:val="0"/>
          <w:numId w:val="194"/>
        </w:numPr>
        <w:rPr>
          <w:color w:val="auto"/>
          <w:spacing w:val="-6"/>
          <w:highlight w:val="none"/>
        </w:rPr>
      </w:pPr>
      <w:r>
        <w:rPr>
          <w:rFonts w:hint="eastAsia"/>
          <w:color w:val="auto"/>
          <w:spacing w:val="-6"/>
          <w:highlight w:val="none"/>
        </w:rPr>
        <w:t>按规定向专业工程承包人传递有关</w:t>
      </w:r>
      <w:r>
        <w:rPr>
          <w:color w:val="auto"/>
          <w:spacing w:val="-6"/>
          <w:highlight w:val="none"/>
        </w:rPr>
        <w:t xml:space="preserve"> EHS </w:t>
      </w:r>
      <w:r>
        <w:rPr>
          <w:rFonts w:hint="eastAsia"/>
          <w:color w:val="auto"/>
          <w:spacing w:val="-6"/>
          <w:highlight w:val="none"/>
        </w:rPr>
        <w:t>管理信息。</w:t>
      </w:r>
    </w:p>
    <w:p>
      <w:pPr>
        <w:pStyle w:val="8"/>
        <w:numPr>
          <w:ilvl w:val="0"/>
          <w:numId w:val="194"/>
        </w:numPr>
        <w:rPr>
          <w:color w:val="auto"/>
          <w:spacing w:val="-6"/>
          <w:highlight w:val="none"/>
        </w:rPr>
      </w:pPr>
      <w:r>
        <w:rPr>
          <w:rFonts w:hint="eastAsia"/>
          <w:color w:val="auto"/>
          <w:spacing w:val="-6"/>
          <w:highlight w:val="none"/>
        </w:rPr>
        <w:t>对专业工程承包人的有关体系管理的受控文件予以保密。</w:t>
      </w:r>
    </w:p>
    <w:p>
      <w:pPr>
        <w:pStyle w:val="8"/>
        <w:numPr>
          <w:ilvl w:val="0"/>
          <w:numId w:val="194"/>
        </w:numPr>
        <w:rPr>
          <w:color w:val="auto"/>
          <w:spacing w:val="-6"/>
          <w:highlight w:val="none"/>
        </w:rPr>
      </w:pPr>
      <w:r>
        <w:rPr>
          <w:rFonts w:hint="eastAsia"/>
          <w:color w:val="auto"/>
          <w:spacing w:val="-6"/>
          <w:highlight w:val="none"/>
        </w:rPr>
        <w:t>其他根据项目要求应尽的义务。</w:t>
      </w:r>
    </w:p>
    <w:p>
      <w:pPr>
        <w:pStyle w:val="5"/>
        <w:rPr>
          <w:color w:val="auto"/>
          <w:highlight w:val="none"/>
        </w:rPr>
      </w:pPr>
      <w:r>
        <w:rPr>
          <w:rFonts w:hint="eastAsia"/>
          <w:color w:val="auto"/>
          <w:highlight w:val="none"/>
        </w:rPr>
        <w:t>专业工程承包人权利</w:t>
      </w:r>
    </w:p>
    <w:p>
      <w:pPr>
        <w:pStyle w:val="8"/>
        <w:numPr>
          <w:ilvl w:val="0"/>
          <w:numId w:val="195"/>
        </w:numPr>
        <w:rPr>
          <w:color w:val="auto"/>
          <w:spacing w:val="-6"/>
          <w:highlight w:val="none"/>
        </w:rPr>
      </w:pPr>
      <w:r>
        <w:rPr>
          <w:rFonts w:hint="eastAsia"/>
          <w:color w:val="auto"/>
          <w:spacing w:val="-6"/>
          <w:highlight w:val="none"/>
        </w:rPr>
        <w:t>有权对发包人的安全工作提出合理化建议和改进意见。</w:t>
      </w:r>
    </w:p>
    <w:p>
      <w:pPr>
        <w:pStyle w:val="8"/>
        <w:numPr>
          <w:ilvl w:val="0"/>
          <w:numId w:val="195"/>
        </w:numPr>
        <w:rPr>
          <w:color w:val="auto"/>
          <w:spacing w:val="-6"/>
          <w:highlight w:val="none"/>
        </w:rPr>
      </w:pPr>
      <w:r>
        <w:rPr>
          <w:rFonts w:hint="eastAsia"/>
          <w:color w:val="auto"/>
          <w:spacing w:val="-6"/>
          <w:highlight w:val="none"/>
        </w:rPr>
        <w:t>对发包人违章指挥、强令冒险作业，有权拒绝执行。</w:t>
      </w:r>
    </w:p>
    <w:p>
      <w:pPr>
        <w:pStyle w:val="8"/>
        <w:numPr>
          <w:ilvl w:val="0"/>
          <w:numId w:val="195"/>
        </w:numPr>
        <w:rPr>
          <w:color w:val="auto"/>
          <w:spacing w:val="-6"/>
          <w:highlight w:val="none"/>
        </w:rPr>
      </w:pPr>
      <w:r>
        <w:rPr>
          <w:rFonts w:hint="eastAsia"/>
          <w:color w:val="auto"/>
          <w:spacing w:val="-6"/>
          <w:highlight w:val="none"/>
        </w:rPr>
        <w:t>发生严重危及员工生命安全的不可抗拒紧急情况时，有权采取必要的措施避险。</w:t>
      </w:r>
    </w:p>
    <w:p>
      <w:pPr>
        <w:pStyle w:val="8"/>
        <w:numPr>
          <w:ilvl w:val="0"/>
          <w:numId w:val="195"/>
        </w:numPr>
        <w:rPr>
          <w:color w:val="auto"/>
          <w:spacing w:val="-6"/>
          <w:highlight w:val="none"/>
        </w:rPr>
      </w:pPr>
      <w:r>
        <w:rPr>
          <w:rFonts w:hint="eastAsia"/>
          <w:color w:val="auto"/>
          <w:spacing w:val="-6"/>
          <w:highlight w:val="none"/>
        </w:rPr>
        <w:t>法律法规或合同约定的其他权利。</w:t>
      </w:r>
    </w:p>
    <w:p>
      <w:pPr>
        <w:pStyle w:val="5"/>
        <w:rPr>
          <w:color w:val="auto"/>
          <w:highlight w:val="none"/>
        </w:rPr>
      </w:pPr>
      <w:r>
        <w:rPr>
          <w:rFonts w:hint="eastAsia"/>
          <w:color w:val="auto"/>
          <w:highlight w:val="none"/>
        </w:rPr>
        <w:t>专业工程承包人义务与责任</w:t>
      </w:r>
    </w:p>
    <w:p>
      <w:pPr>
        <w:pStyle w:val="8"/>
        <w:numPr>
          <w:ilvl w:val="0"/>
          <w:numId w:val="196"/>
        </w:numPr>
        <w:rPr>
          <w:color w:val="auto"/>
          <w:spacing w:val="-6"/>
          <w:highlight w:val="none"/>
        </w:rPr>
      </w:pPr>
      <w:r>
        <w:rPr>
          <w:rFonts w:hint="eastAsia"/>
          <w:color w:val="auto"/>
          <w:spacing w:val="-6"/>
          <w:highlight w:val="none"/>
        </w:rPr>
        <w:t>积极配合发包人各层级</w:t>
      </w:r>
      <w:r>
        <w:rPr>
          <w:color w:val="auto"/>
          <w:spacing w:val="-6"/>
          <w:highlight w:val="none"/>
        </w:rPr>
        <w:t xml:space="preserve"> EHS </w:t>
      </w:r>
      <w:r>
        <w:rPr>
          <w:rFonts w:hint="eastAsia"/>
          <w:color w:val="auto"/>
          <w:spacing w:val="-6"/>
          <w:highlight w:val="none"/>
        </w:rPr>
        <w:t>检查，并按要求落实</w:t>
      </w:r>
      <w:r>
        <w:rPr>
          <w:color w:val="auto"/>
          <w:spacing w:val="-6"/>
          <w:highlight w:val="none"/>
        </w:rPr>
        <w:t xml:space="preserve"> EHS </w:t>
      </w:r>
      <w:r>
        <w:rPr>
          <w:rFonts w:hint="eastAsia"/>
          <w:color w:val="auto"/>
          <w:spacing w:val="-6"/>
          <w:highlight w:val="none"/>
        </w:rPr>
        <w:t>隐患整改工作。</w:t>
      </w:r>
    </w:p>
    <w:p>
      <w:pPr>
        <w:pStyle w:val="8"/>
        <w:numPr>
          <w:ilvl w:val="0"/>
          <w:numId w:val="196"/>
        </w:numPr>
        <w:rPr>
          <w:color w:val="auto"/>
          <w:spacing w:val="-6"/>
          <w:highlight w:val="none"/>
        </w:rPr>
      </w:pPr>
      <w:r>
        <w:rPr>
          <w:rFonts w:hint="eastAsia"/>
          <w:color w:val="auto"/>
          <w:spacing w:val="-6"/>
          <w:highlight w:val="none"/>
        </w:rPr>
        <w:t>专业工程承包人必须积极配合当地政府和发包人环保管控要求。</w:t>
      </w:r>
    </w:p>
    <w:p>
      <w:pPr>
        <w:pStyle w:val="8"/>
        <w:numPr>
          <w:ilvl w:val="0"/>
          <w:numId w:val="196"/>
        </w:numPr>
        <w:rPr>
          <w:color w:val="auto"/>
          <w:spacing w:val="-6"/>
          <w:highlight w:val="none"/>
        </w:rPr>
      </w:pPr>
      <w:r>
        <w:rPr>
          <w:rFonts w:hint="eastAsia"/>
          <w:color w:val="auto"/>
          <w:spacing w:val="-6"/>
          <w:highlight w:val="none"/>
        </w:rPr>
        <w:t>服从发包人、监理人对安全工作的管理，执行其各项安全规定及检查标准。</w:t>
      </w:r>
    </w:p>
    <w:p>
      <w:pPr>
        <w:pStyle w:val="8"/>
        <w:numPr>
          <w:ilvl w:val="0"/>
          <w:numId w:val="196"/>
        </w:numPr>
        <w:rPr>
          <w:color w:val="auto"/>
          <w:spacing w:val="-6"/>
          <w:highlight w:val="none"/>
        </w:rPr>
      </w:pPr>
      <w:r>
        <w:rPr>
          <w:rFonts w:hint="eastAsia"/>
          <w:color w:val="auto"/>
          <w:spacing w:val="-6"/>
          <w:highlight w:val="none"/>
        </w:rPr>
        <w:t>以</w:t>
      </w:r>
      <w:r>
        <w:rPr>
          <w:color w:val="auto"/>
          <w:spacing w:val="-6"/>
          <w:highlight w:val="none"/>
        </w:rPr>
        <w:t xml:space="preserve"> EHS </w:t>
      </w:r>
      <w:r>
        <w:rPr>
          <w:rFonts w:hint="eastAsia"/>
          <w:color w:val="auto"/>
          <w:spacing w:val="-6"/>
          <w:highlight w:val="none"/>
        </w:rPr>
        <w:t>管理为基础，落实安全生产责任制，为从业人员提供必备的劳动安全保障。</w:t>
      </w:r>
    </w:p>
    <w:p>
      <w:pPr>
        <w:pStyle w:val="8"/>
        <w:numPr>
          <w:ilvl w:val="0"/>
          <w:numId w:val="196"/>
        </w:numPr>
        <w:rPr>
          <w:color w:val="auto"/>
          <w:spacing w:val="-6"/>
          <w:highlight w:val="none"/>
        </w:rPr>
      </w:pPr>
      <w:r>
        <w:rPr>
          <w:rFonts w:hint="eastAsia"/>
          <w:color w:val="auto"/>
          <w:spacing w:val="-6"/>
          <w:highlight w:val="none"/>
        </w:rPr>
        <w:t>组织安全检查，及时发现、整改安全隐患、重大险情并报告发包人。</w:t>
      </w:r>
    </w:p>
    <w:p>
      <w:pPr>
        <w:pStyle w:val="8"/>
        <w:numPr>
          <w:ilvl w:val="0"/>
          <w:numId w:val="196"/>
        </w:numPr>
        <w:rPr>
          <w:color w:val="auto"/>
          <w:spacing w:val="-6"/>
          <w:highlight w:val="none"/>
        </w:rPr>
      </w:pPr>
      <w:r>
        <w:rPr>
          <w:rFonts w:hint="eastAsia"/>
          <w:color w:val="auto"/>
          <w:spacing w:val="-6"/>
          <w:highlight w:val="none"/>
        </w:rPr>
        <w:t>积极组织事故抢险，避免事故进一步扩大，并按发包人要求报告事故。</w:t>
      </w:r>
    </w:p>
    <w:p>
      <w:pPr>
        <w:pStyle w:val="8"/>
        <w:numPr>
          <w:ilvl w:val="0"/>
          <w:numId w:val="196"/>
        </w:numPr>
        <w:rPr>
          <w:color w:val="auto"/>
          <w:spacing w:val="-6"/>
          <w:highlight w:val="none"/>
        </w:rPr>
      </w:pPr>
      <w:r>
        <w:rPr>
          <w:rFonts w:hint="eastAsia"/>
          <w:color w:val="auto"/>
          <w:spacing w:val="-6"/>
          <w:highlight w:val="none"/>
        </w:rPr>
        <w:t>建设完善并维护各项安全生产设施、设备和器材。</w:t>
      </w:r>
    </w:p>
    <w:p>
      <w:pPr>
        <w:pStyle w:val="8"/>
        <w:numPr>
          <w:ilvl w:val="0"/>
          <w:numId w:val="196"/>
        </w:numPr>
        <w:rPr>
          <w:color w:val="auto"/>
          <w:spacing w:val="-6"/>
          <w:highlight w:val="none"/>
        </w:rPr>
      </w:pPr>
      <w:r>
        <w:rPr>
          <w:rFonts w:hint="eastAsia"/>
          <w:color w:val="auto"/>
          <w:spacing w:val="-6"/>
          <w:highlight w:val="none"/>
        </w:rPr>
        <w:t>对从业人员进行安全培训教育，使其具备相应的安全知识和专业技能。</w:t>
      </w:r>
    </w:p>
    <w:p>
      <w:pPr>
        <w:pStyle w:val="8"/>
        <w:numPr>
          <w:ilvl w:val="0"/>
          <w:numId w:val="196"/>
        </w:numPr>
        <w:rPr>
          <w:color w:val="auto"/>
          <w:spacing w:val="-6"/>
          <w:highlight w:val="none"/>
        </w:rPr>
      </w:pPr>
      <w:r>
        <w:rPr>
          <w:rFonts w:hint="eastAsia"/>
          <w:color w:val="auto"/>
          <w:spacing w:val="-6"/>
          <w:highlight w:val="none"/>
        </w:rPr>
        <w:t>对涉及有职业病风险作业的工人在进场和离场时分别进行职业健康体检。</w:t>
      </w:r>
    </w:p>
    <w:p>
      <w:pPr>
        <w:pStyle w:val="8"/>
        <w:numPr>
          <w:ilvl w:val="0"/>
          <w:numId w:val="196"/>
        </w:numPr>
        <w:rPr>
          <w:color w:val="auto"/>
          <w:spacing w:val="-6"/>
          <w:highlight w:val="none"/>
        </w:rPr>
      </w:pPr>
      <w:r>
        <w:rPr>
          <w:rFonts w:hint="eastAsia"/>
          <w:color w:val="auto"/>
          <w:spacing w:val="-6"/>
          <w:highlight w:val="none"/>
        </w:rPr>
        <w:t>确保特种作业人员具有相应的资格证书，持证上岗，并建立特种工管理台帐，</w:t>
      </w:r>
      <w:r>
        <w:rPr>
          <w:color w:val="auto"/>
          <w:spacing w:val="-6"/>
          <w:highlight w:val="none"/>
        </w:rPr>
        <w:t xml:space="preserve"> </w:t>
      </w:r>
      <w:r>
        <w:rPr>
          <w:rFonts w:hint="eastAsia"/>
          <w:color w:val="auto"/>
          <w:spacing w:val="-6"/>
          <w:highlight w:val="none"/>
        </w:rPr>
        <w:t>台帐必须及时更新。</w:t>
      </w:r>
    </w:p>
    <w:p>
      <w:pPr>
        <w:pStyle w:val="8"/>
        <w:numPr>
          <w:ilvl w:val="0"/>
          <w:numId w:val="196"/>
        </w:numPr>
        <w:rPr>
          <w:color w:val="auto"/>
          <w:spacing w:val="-6"/>
          <w:highlight w:val="none"/>
        </w:rPr>
      </w:pPr>
      <w:r>
        <w:rPr>
          <w:rFonts w:hint="eastAsia"/>
          <w:color w:val="auto"/>
          <w:spacing w:val="-6"/>
          <w:highlight w:val="none"/>
        </w:rPr>
        <w:t>采取措施，保护环境，满足规范及发包人对环境保护的要求。</w:t>
      </w:r>
    </w:p>
    <w:p>
      <w:pPr>
        <w:pStyle w:val="8"/>
        <w:numPr>
          <w:ilvl w:val="0"/>
          <w:numId w:val="196"/>
        </w:numPr>
        <w:rPr>
          <w:color w:val="auto"/>
          <w:spacing w:val="-6"/>
          <w:highlight w:val="none"/>
        </w:rPr>
      </w:pPr>
      <w:r>
        <w:rPr>
          <w:rFonts w:hint="eastAsia"/>
          <w:color w:val="auto"/>
          <w:spacing w:val="-6"/>
          <w:highlight w:val="none"/>
        </w:rPr>
        <w:t>不得购买、使用不符合国家、行业标准的材料、设备、装置器材、防护用品等。</w:t>
      </w:r>
    </w:p>
    <w:p>
      <w:pPr>
        <w:pStyle w:val="8"/>
        <w:numPr>
          <w:ilvl w:val="0"/>
          <w:numId w:val="196"/>
        </w:numPr>
        <w:rPr>
          <w:color w:val="auto"/>
          <w:spacing w:val="-6"/>
          <w:highlight w:val="none"/>
        </w:rPr>
      </w:pPr>
      <w:r>
        <w:rPr>
          <w:rFonts w:hint="eastAsia"/>
          <w:color w:val="auto"/>
          <w:spacing w:val="-6"/>
          <w:highlight w:val="none"/>
        </w:rPr>
        <w:t>必须选用具备相应资质资格的分包商，并经发包人认可。</w:t>
      </w:r>
    </w:p>
    <w:p>
      <w:pPr>
        <w:pStyle w:val="8"/>
        <w:numPr>
          <w:ilvl w:val="0"/>
          <w:numId w:val="196"/>
        </w:numPr>
        <w:rPr>
          <w:color w:val="auto"/>
          <w:spacing w:val="-6"/>
          <w:highlight w:val="none"/>
        </w:rPr>
      </w:pPr>
      <w:r>
        <w:rPr>
          <w:rFonts w:hint="eastAsia"/>
          <w:color w:val="auto"/>
          <w:spacing w:val="-6"/>
          <w:highlight w:val="none"/>
        </w:rPr>
        <w:t>专业工程承包人施工过程中所控制或使用的发包人财产，专业工程承包人有义务予以爱护，若财产出现损坏、丢失等情况，专业工程承包人应及时报告发包人并承担相应损失。</w:t>
      </w:r>
    </w:p>
    <w:p>
      <w:pPr>
        <w:pStyle w:val="8"/>
        <w:numPr>
          <w:ilvl w:val="0"/>
          <w:numId w:val="196"/>
        </w:numPr>
        <w:rPr>
          <w:color w:val="auto"/>
          <w:spacing w:val="-6"/>
          <w:highlight w:val="none"/>
        </w:rPr>
      </w:pPr>
      <w:r>
        <w:rPr>
          <w:rFonts w:hint="eastAsia"/>
          <w:color w:val="auto"/>
          <w:spacing w:val="-6"/>
          <w:highlight w:val="none"/>
        </w:rPr>
        <w:t>专业工程承包人应积极关注员工身心健康，提供必要的心理辅导。</w:t>
      </w:r>
    </w:p>
    <w:p>
      <w:pPr>
        <w:pStyle w:val="8"/>
        <w:numPr>
          <w:ilvl w:val="0"/>
          <w:numId w:val="196"/>
        </w:numPr>
        <w:rPr>
          <w:color w:val="auto"/>
          <w:spacing w:val="-6"/>
          <w:highlight w:val="none"/>
        </w:rPr>
      </w:pPr>
      <w:r>
        <w:rPr>
          <w:rFonts w:hint="eastAsia"/>
          <w:color w:val="auto"/>
          <w:spacing w:val="-6"/>
          <w:highlight w:val="none"/>
        </w:rPr>
        <w:t>法律法规或合同约定的专业工程承包人应承担的其他义务与责任。</w:t>
      </w:r>
    </w:p>
    <w:p>
      <w:pPr>
        <w:pStyle w:val="4"/>
        <w:rPr>
          <w:color w:val="auto"/>
          <w:highlight w:val="none"/>
        </w:rPr>
      </w:pPr>
      <w:bookmarkStart w:id="67" w:name="_Toc122371858"/>
      <w:r>
        <w:rPr>
          <w:rFonts w:eastAsia="宋体"/>
          <w:color w:val="auto"/>
          <w:highlight w:val="none"/>
        </w:rPr>
        <w:t>EHS</w:t>
      </w:r>
      <w:r>
        <w:rPr>
          <w:rFonts w:eastAsia="宋体"/>
          <w:color w:val="auto"/>
          <w:spacing w:val="-2"/>
          <w:highlight w:val="none"/>
        </w:rPr>
        <w:t xml:space="preserve"> </w:t>
      </w:r>
      <w:r>
        <w:rPr>
          <w:rFonts w:hint="eastAsia"/>
          <w:color w:val="auto"/>
          <w:highlight w:val="none"/>
        </w:rPr>
        <w:t>管理责任划分</w:t>
      </w:r>
      <w:bookmarkEnd w:id="67"/>
    </w:p>
    <w:p>
      <w:pPr>
        <w:pStyle w:val="5"/>
        <w:rPr>
          <w:color w:val="auto"/>
          <w:highlight w:val="none"/>
        </w:rPr>
      </w:pPr>
      <w:r>
        <w:rPr>
          <w:rFonts w:hint="eastAsia"/>
          <w:color w:val="auto"/>
          <w:highlight w:val="none"/>
        </w:rPr>
        <w:t>发包人责任</w:t>
      </w:r>
    </w:p>
    <w:p>
      <w:pPr>
        <w:ind w:left="1037" w:firstLine="544"/>
        <w:rPr>
          <w:rFonts w:ascii="Times New Roman" w:hAnsi="Times New Roman" w:cs="Times New Roman"/>
          <w:color w:val="auto"/>
          <w:szCs w:val="24"/>
          <w:highlight w:val="none"/>
          <w:lang w:eastAsia="zh-CN"/>
        </w:rPr>
      </w:pPr>
      <w:r>
        <w:rPr>
          <w:rFonts w:hint="eastAsia" w:ascii="Times New Roman" w:hAnsi="Times New Roman" w:cs="Times New Roman"/>
          <w:color w:val="auto"/>
          <w:spacing w:val="-15"/>
          <w:szCs w:val="24"/>
          <w:highlight w:val="none"/>
          <w:lang w:eastAsia="zh-CN"/>
        </w:rPr>
        <w:t>在项目</w:t>
      </w:r>
      <w:r>
        <w:rPr>
          <w:rFonts w:ascii="Times New Roman" w:hAnsi="Times New Roman" w:cs="Times New Roman"/>
          <w:color w:val="auto"/>
          <w:spacing w:val="-15"/>
          <w:szCs w:val="24"/>
          <w:highlight w:val="none"/>
          <w:lang w:eastAsia="zh-CN"/>
        </w:rPr>
        <w:t xml:space="preserve"> </w:t>
      </w:r>
      <w:r>
        <w:rPr>
          <w:rFonts w:ascii="Times New Roman" w:hAnsi="Times New Roman" w:cs="Times New Roman"/>
          <w:color w:val="auto"/>
          <w:szCs w:val="24"/>
          <w:highlight w:val="none"/>
          <w:lang w:eastAsia="zh-CN"/>
        </w:rPr>
        <w:t xml:space="preserve">EHS </w:t>
      </w:r>
      <w:r>
        <w:rPr>
          <w:rFonts w:hint="eastAsia" w:ascii="Times New Roman" w:hAnsi="Times New Roman" w:cs="Times New Roman"/>
          <w:color w:val="auto"/>
          <w:spacing w:val="-8"/>
          <w:szCs w:val="24"/>
          <w:highlight w:val="none"/>
          <w:lang w:eastAsia="zh-CN"/>
        </w:rPr>
        <w:t>管理工作中发挥</w:t>
      </w:r>
      <w:r>
        <w:rPr>
          <w:rFonts w:ascii="Times New Roman" w:hAnsi="Times New Roman" w:cs="Times New Roman"/>
          <w:color w:val="auto"/>
          <w:spacing w:val="-8"/>
          <w:szCs w:val="24"/>
          <w:highlight w:val="none"/>
          <w:lang w:eastAsia="zh-CN"/>
        </w:rPr>
        <w:t>“</w:t>
      </w:r>
      <w:r>
        <w:rPr>
          <w:rFonts w:hint="eastAsia" w:ascii="Times New Roman" w:hAnsi="Times New Roman" w:cs="Times New Roman"/>
          <w:color w:val="auto"/>
          <w:spacing w:val="-8"/>
          <w:szCs w:val="24"/>
          <w:highlight w:val="none"/>
          <w:lang w:eastAsia="zh-CN"/>
        </w:rPr>
        <w:t>引擎</w:t>
      </w:r>
      <w:r>
        <w:rPr>
          <w:rFonts w:ascii="Times New Roman" w:hAnsi="Times New Roman" w:cs="Times New Roman"/>
          <w:color w:val="auto"/>
          <w:spacing w:val="-8"/>
          <w:szCs w:val="24"/>
          <w:highlight w:val="none"/>
          <w:lang w:eastAsia="zh-CN"/>
        </w:rPr>
        <w:t>”</w:t>
      </w:r>
      <w:r>
        <w:rPr>
          <w:rFonts w:hint="eastAsia" w:ascii="Times New Roman" w:hAnsi="Times New Roman" w:cs="Times New Roman"/>
          <w:color w:val="auto"/>
          <w:spacing w:val="-8"/>
          <w:szCs w:val="24"/>
          <w:highlight w:val="none"/>
          <w:lang w:eastAsia="zh-CN"/>
        </w:rPr>
        <w:t>作用，对</w:t>
      </w:r>
      <w:r>
        <w:rPr>
          <w:rFonts w:ascii="Times New Roman" w:hAnsi="Times New Roman" w:cs="Times New Roman"/>
          <w:color w:val="auto"/>
          <w:spacing w:val="-8"/>
          <w:szCs w:val="24"/>
          <w:highlight w:val="none"/>
          <w:lang w:eastAsia="zh-CN"/>
        </w:rPr>
        <w:t xml:space="preserve"> </w:t>
      </w:r>
      <w:r>
        <w:rPr>
          <w:rFonts w:ascii="Times New Roman" w:hAnsi="Times New Roman" w:cs="Times New Roman"/>
          <w:color w:val="auto"/>
          <w:szCs w:val="24"/>
          <w:highlight w:val="none"/>
          <w:lang w:eastAsia="zh-CN"/>
        </w:rPr>
        <w:t xml:space="preserve">EHS </w:t>
      </w:r>
      <w:r>
        <w:rPr>
          <w:rFonts w:hint="eastAsia" w:ascii="Times New Roman" w:hAnsi="Times New Roman" w:cs="Times New Roman"/>
          <w:color w:val="auto"/>
          <w:szCs w:val="24"/>
          <w:highlight w:val="none"/>
          <w:lang w:eastAsia="zh-CN"/>
        </w:rPr>
        <w:t>工作实施监督管理</w:t>
      </w:r>
      <w:r>
        <w:rPr>
          <w:rFonts w:ascii="Times New Roman" w:hAnsi="Times New Roman" w:cs="Times New Roman"/>
          <w:color w:val="auto"/>
          <w:szCs w:val="24"/>
          <w:highlight w:val="none"/>
          <w:lang w:eastAsia="zh-CN"/>
        </w:rPr>
        <w:t>,</w:t>
      </w:r>
      <w:r>
        <w:rPr>
          <w:rFonts w:hint="eastAsia" w:ascii="Times New Roman" w:hAnsi="Times New Roman" w:cs="Times New Roman"/>
          <w:color w:val="auto"/>
          <w:spacing w:val="-6"/>
          <w:szCs w:val="24"/>
          <w:highlight w:val="none"/>
          <w:lang w:eastAsia="zh-CN"/>
        </w:rPr>
        <w:t>对专业工程承包人</w:t>
      </w:r>
      <w:r>
        <w:rPr>
          <w:rFonts w:hint="eastAsia" w:ascii="Times New Roman" w:hAnsi="Times New Roman" w:cs="Times New Roman"/>
          <w:color w:val="auto"/>
          <w:spacing w:val="-20"/>
          <w:szCs w:val="24"/>
          <w:highlight w:val="none"/>
          <w:lang w:eastAsia="zh-CN"/>
        </w:rPr>
        <w:t>的</w:t>
      </w:r>
      <w:r>
        <w:rPr>
          <w:rFonts w:ascii="Times New Roman" w:hAnsi="Times New Roman" w:cs="Times New Roman"/>
          <w:color w:val="auto"/>
          <w:spacing w:val="-20"/>
          <w:szCs w:val="24"/>
          <w:highlight w:val="none"/>
          <w:lang w:eastAsia="zh-CN"/>
        </w:rPr>
        <w:t xml:space="preserve"> </w:t>
      </w:r>
      <w:r>
        <w:rPr>
          <w:rFonts w:ascii="Times New Roman" w:hAnsi="Times New Roman" w:cs="Times New Roman"/>
          <w:color w:val="auto"/>
          <w:szCs w:val="24"/>
          <w:highlight w:val="none"/>
          <w:lang w:eastAsia="zh-CN"/>
        </w:rPr>
        <w:t xml:space="preserve">EHS </w:t>
      </w:r>
      <w:r>
        <w:rPr>
          <w:rFonts w:hint="eastAsia" w:ascii="Times New Roman" w:hAnsi="Times New Roman" w:cs="Times New Roman"/>
          <w:color w:val="auto"/>
          <w:szCs w:val="24"/>
          <w:highlight w:val="none"/>
          <w:lang w:eastAsia="zh-CN"/>
        </w:rPr>
        <w:t>管理工作进行监督检查、评价、考核与实施奖惩。</w:t>
      </w:r>
    </w:p>
    <w:p>
      <w:pPr>
        <w:pStyle w:val="5"/>
        <w:rPr>
          <w:color w:val="auto"/>
          <w:highlight w:val="none"/>
        </w:rPr>
      </w:pPr>
      <w:r>
        <w:rPr>
          <w:rFonts w:hint="eastAsia"/>
          <w:color w:val="auto"/>
          <w:highlight w:val="none"/>
        </w:rPr>
        <w:t>专业工程承包人责任</w:t>
      </w:r>
    </w:p>
    <w:p>
      <w:pPr>
        <w:pStyle w:val="8"/>
        <w:numPr>
          <w:ilvl w:val="0"/>
          <w:numId w:val="197"/>
        </w:numPr>
        <w:rPr>
          <w:color w:val="auto"/>
          <w:spacing w:val="-6"/>
          <w:highlight w:val="none"/>
        </w:rPr>
      </w:pPr>
      <w:r>
        <w:rPr>
          <w:rFonts w:hint="eastAsia"/>
          <w:color w:val="auto"/>
          <w:spacing w:val="-6"/>
          <w:highlight w:val="none"/>
        </w:rPr>
        <w:t>专业工程承包人对施工现场的自有人员、材料、设备等物资的安全及保卫实施统一管理。</w:t>
      </w:r>
    </w:p>
    <w:p>
      <w:pPr>
        <w:pStyle w:val="8"/>
        <w:numPr>
          <w:ilvl w:val="0"/>
          <w:numId w:val="197"/>
        </w:numPr>
        <w:rPr>
          <w:color w:val="auto"/>
          <w:spacing w:val="-6"/>
          <w:highlight w:val="none"/>
        </w:rPr>
      </w:pPr>
      <w:r>
        <w:rPr>
          <w:rFonts w:hint="eastAsia"/>
          <w:color w:val="auto"/>
          <w:spacing w:val="-6"/>
          <w:highlight w:val="none"/>
        </w:rPr>
        <w:t>专业工程承包人投标时必须重点阐述对分包商的</w:t>
      </w:r>
      <w:r>
        <w:rPr>
          <w:color w:val="auto"/>
          <w:spacing w:val="-6"/>
          <w:highlight w:val="none"/>
        </w:rPr>
        <w:t xml:space="preserve"> EHS </w:t>
      </w:r>
      <w:r>
        <w:rPr>
          <w:rFonts w:hint="eastAsia"/>
          <w:color w:val="auto"/>
          <w:spacing w:val="-6"/>
          <w:highlight w:val="none"/>
        </w:rPr>
        <w:t>管控思路、方法和具体措施。</w:t>
      </w:r>
    </w:p>
    <w:p>
      <w:pPr>
        <w:pStyle w:val="4"/>
        <w:ind w:firstLine="421"/>
        <w:rPr>
          <w:color w:val="auto"/>
          <w:highlight w:val="none"/>
        </w:rPr>
      </w:pPr>
      <w:bookmarkStart w:id="68" w:name="_Toc122371859"/>
      <w:r>
        <w:rPr>
          <w:rFonts w:hint="eastAsia"/>
          <w:color w:val="auto"/>
          <w:spacing w:val="-19"/>
          <w:highlight w:val="none"/>
        </w:rPr>
        <w:t>专业工程承包人</w:t>
      </w:r>
      <w:r>
        <w:rPr>
          <w:color w:val="auto"/>
          <w:spacing w:val="-19"/>
          <w:highlight w:val="none"/>
        </w:rPr>
        <w:t xml:space="preserve"> </w:t>
      </w:r>
      <w:r>
        <w:rPr>
          <w:rFonts w:eastAsia="宋体"/>
          <w:color w:val="auto"/>
          <w:highlight w:val="none"/>
        </w:rPr>
        <w:t>EHS</w:t>
      </w:r>
      <w:r>
        <w:rPr>
          <w:rFonts w:eastAsia="宋体"/>
          <w:color w:val="auto"/>
          <w:spacing w:val="-1"/>
          <w:highlight w:val="none"/>
        </w:rPr>
        <w:t xml:space="preserve"> </w:t>
      </w:r>
      <w:r>
        <w:rPr>
          <w:rFonts w:hint="eastAsia"/>
          <w:color w:val="auto"/>
          <w:highlight w:val="none"/>
        </w:rPr>
        <w:t>责任落实的要求</w:t>
      </w:r>
      <w:bookmarkEnd w:id="68"/>
    </w:p>
    <w:p>
      <w:pPr>
        <w:pStyle w:val="5"/>
        <w:rPr>
          <w:color w:val="auto"/>
          <w:highlight w:val="none"/>
        </w:rPr>
      </w:pPr>
      <w:r>
        <w:rPr>
          <w:color w:val="auto"/>
          <w:highlight w:val="none"/>
        </w:rPr>
        <w:t xml:space="preserve">EHS </w:t>
      </w:r>
      <w:r>
        <w:rPr>
          <w:rFonts w:hint="eastAsia"/>
          <w:color w:val="auto"/>
          <w:highlight w:val="none"/>
        </w:rPr>
        <w:t>责任制</w:t>
      </w:r>
    </w:p>
    <w:p>
      <w:pPr>
        <w:pStyle w:val="8"/>
        <w:numPr>
          <w:ilvl w:val="0"/>
          <w:numId w:val="198"/>
        </w:numPr>
        <w:rPr>
          <w:color w:val="auto"/>
          <w:spacing w:val="-6"/>
          <w:highlight w:val="none"/>
        </w:rPr>
      </w:pPr>
      <w:r>
        <w:rPr>
          <w:rFonts w:hint="eastAsia"/>
          <w:color w:val="auto"/>
          <w:spacing w:val="-6"/>
          <w:highlight w:val="none"/>
        </w:rPr>
        <w:t>专业工程承包人必须建立</w:t>
      </w:r>
      <w:r>
        <w:rPr>
          <w:color w:val="auto"/>
          <w:spacing w:val="-6"/>
          <w:highlight w:val="none"/>
        </w:rPr>
        <w:t>“</w:t>
      </w:r>
      <w:r>
        <w:rPr>
          <w:rFonts w:hint="eastAsia"/>
          <w:color w:val="auto"/>
          <w:spacing w:val="-6"/>
          <w:highlight w:val="none"/>
        </w:rPr>
        <w:t>横向到边，纵向到底</w:t>
      </w:r>
      <w:r>
        <w:rPr>
          <w:color w:val="auto"/>
          <w:spacing w:val="-6"/>
          <w:highlight w:val="none"/>
        </w:rPr>
        <w:t>”</w:t>
      </w:r>
      <w:r>
        <w:rPr>
          <w:rFonts w:hint="eastAsia"/>
          <w:color w:val="auto"/>
          <w:spacing w:val="-6"/>
          <w:highlight w:val="none"/>
        </w:rPr>
        <w:t>的</w:t>
      </w:r>
      <w:r>
        <w:rPr>
          <w:color w:val="auto"/>
          <w:spacing w:val="-6"/>
          <w:highlight w:val="none"/>
        </w:rPr>
        <w:t xml:space="preserve"> EHS </w:t>
      </w:r>
      <w:r>
        <w:rPr>
          <w:rFonts w:hint="eastAsia"/>
          <w:color w:val="auto"/>
          <w:spacing w:val="-6"/>
          <w:highlight w:val="none"/>
        </w:rPr>
        <w:t>责任制，并得到各部门、各岗位人员的确认。</w:t>
      </w:r>
    </w:p>
    <w:p>
      <w:pPr>
        <w:pStyle w:val="8"/>
        <w:numPr>
          <w:ilvl w:val="0"/>
          <w:numId w:val="198"/>
        </w:numPr>
        <w:rPr>
          <w:color w:val="auto"/>
          <w:spacing w:val="-6"/>
          <w:highlight w:val="none"/>
        </w:rPr>
      </w:pPr>
      <w:r>
        <w:rPr>
          <w:color w:val="auto"/>
          <w:spacing w:val="-6"/>
          <w:highlight w:val="none"/>
        </w:rPr>
        <w:t xml:space="preserve">EHS </w:t>
      </w:r>
      <w:r>
        <w:rPr>
          <w:rFonts w:hint="eastAsia"/>
          <w:color w:val="auto"/>
          <w:spacing w:val="-6"/>
          <w:highlight w:val="none"/>
        </w:rPr>
        <w:t>责任制必须责任清晰，具有可量化考核的指标。</w:t>
      </w:r>
    </w:p>
    <w:p>
      <w:pPr>
        <w:pStyle w:val="5"/>
        <w:rPr>
          <w:color w:val="auto"/>
          <w:highlight w:val="none"/>
        </w:rPr>
      </w:pPr>
      <w:r>
        <w:rPr>
          <w:color w:val="auto"/>
          <w:highlight w:val="none"/>
        </w:rPr>
        <w:t xml:space="preserve">EHS </w:t>
      </w:r>
      <w:r>
        <w:rPr>
          <w:rFonts w:hint="eastAsia"/>
          <w:color w:val="auto"/>
          <w:highlight w:val="none"/>
        </w:rPr>
        <w:t>责任考核</w:t>
      </w:r>
    </w:p>
    <w:p>
      <w:pPr>
        <w:pStyle w:val="8"/>
        <w:numPr>
          <w:ilvl w:val="0"/>
          <w:numId w:val="199"/>
        </w:numPr>
        <w:rPr>
          <w:color w:val="auto"/>
          <w:spacing w:val="-6"/>
          <w:highlight w:val="none"/>
        </w:rPr>
      </w:pPr>
      <w:r>
        <w:rPr>
          <w:rFonts w:hint="eastAsia"/>
          <w:color w:val="auto"/>
          <w:spacing w:val="-6"/>
          <w:highlight w:val="none"/>
        </w:rPr>
        <w:t>专业工程承包人须建立</w:t>
      </w:r>
      <w:r>
        <w:rPr>
          <w:color w:val="auto"/>
          <w:spacing w:val="-6"/>
          <w:highlight w:val="none"/>
        </w:rPr>
        <w:t xml:space="preserve"> EHS </w:t>
      </w:r>
      <w:r>
        <w:rPr>
          <w:rFonts w:hint="eastAsia"/>
          <w:color w:val="auto"/>
          <w:spacing w:val="-6"/>
          <w:highlight w:val="none"/>
        </w:rPr>
        <w:t>责任考核问责制度，与各岗位人员签订</w:t>
      </w:r>
      <w:r>
        <w:rPr>
          <w:color w:val="auto"/>
          <w:spacing w:val="-6"/>
          <w:highlight w:val="none"/>
        </w:rPr>
        <w:t xml:space="preserve"> EHS </w:t>
      </w:r>
      <w:r>
        <w:rPr>
          <w:rFonts w:hint="eastAsia"/>
          <w:color w:val="auto"/>
          <w:spacing w:val="-6"/>
          <w:highlight w:val="none"/>
        </w:rPr>
        <w:t>责任书。</w:t>
      </w:r>
    </w:p>
    <w:p>
      <w:pPr>
        <w:pStyle w:val="8"/>
        <w:numPr>
          <w:ilvl w:val="0"/>
          <w:numId w:val="199"/>
        </w:numPr>
        <w:rPr>
          <w:color w:val="auto"/>
          <w:spacing w:val="-6"/>
          <w:highlight w:val="none"/>
        </w:rPr>
      </w:pPr>
      <w:r>
        <w:rPr>
          <w:rFonts w:hint="eastAsia"/>
          <w:color w:val="auto"/>
          <w:spacing w:val="-6"/>
          <w:highlight w:val="none"/>
        </w:rPr>
        <w:t>专业工程承包人必须至少每半年开展一次</w:t>
      </w:r>
      <w:r>
        <w:rPr>
          <w:color w:val="auto"/>
          <w:spacing w:val="-6"/>
          <w:highlight w:val="none"/>
        </w:rPr>
        <w:t xml:space="preserve"> EHS </w:t>
      </w:r>
      <w:r>
        <w:rPr>
          <w:rFonts w:hint="eastAsia"/>
          <w:color w:val="auto"/>
          <w:spacing w:val="-6"/>
          <w:highlight w:val="none"/>
        </w:rPr>
        <w:t>责任落实考核评价工作。</w:t>
      </w:r>
    </w:p>
    <w:p>
      <w:pPr>
        <w:pStyle w:val="4"/>
        <w:rPr>
          <w:color w:val="auto"/>
          <w:highlight w:val="none"/>
        </w:rPr>
      </w:pPr>
      <w:bookmarkStart w:id="69" w:name="_Toc122371860"/>
      <w:r>
        <w:rPr>
          <w:rFonts w:eastAsia="宋体"/>
          <w:color w:val="auto"/>
          <w:highlight w:val="none"/>
        </w:rPr>
        <w:t>EHS</w:t>
      </w:r>
      <w:r>
        <w:rPr>
          <w:rFonts w:eastAsia="宋体"/>
          <w:color w:val="auto"/>
          <w:spacing w:val="-2"/>
          <w:highlight w:val="none"/>
        </w:rPr>
        <w:t xml:space="preserve"> </w:t>
      </w:r>
      <w:r>
        <w:rPr>
          <w:rFonts w:hint="eastAsia"/>
          <w:color w:val="auto"/>
          <w:highlight w:val="none"/>
        </w:rPr>
        <w:t>管理组织及人员要求</w:t>
      </w:r>
      <w:bookmarkEnd w:id="69"/>
    </w:p>
    <w:p>
      <w:pPr>
        <w:pStyle w:val="5"/>
        <w:rPr>
          <w:color w:val="auto"/>
          <w:highlight w:val="none"/>
        </w:rPr>
      </w:pPr>
      <w:r>
        <w:rPr>
          <w:color w:val="auto"/>
          <w:highlight w:val="none"/>
        </w:rPr>
        <w:t xml:space="preserve">EHS </w:t>
      </w:r>
      <w:r>
        <w:rPr>
          <w:rFonts w:hint="eastAsia"/>
          <w:color w:val="auto"/>
          <w:highlight w:val="none"/>
        </w:rPr>
        <w:t>管理组织及人员资格</w:t>
      </w:r>
    </w:p>
    <w:p>
      <w:pPr>
        <w:pStyle w:val="8"/>
        <w:numPr>
          <w:ilvl w:val="0"/>
          <w:numId w:val="200"/>
        </w:numPr>
        <w:rPr>
          <w:color w:val="auto"/>
          <w:spacing w:val="-6"/>
          <w:highlight w:val="none"/>
        </w:rPr>
      </w:pPr>
      <w:r>
        <w:rPr>
          <w:rFonts w:hint="eastAsia"/>
          <w:color w:val="auto"/>
          <w:spacing w:val="-6"/>
          <w:highlight w:val="none"/>
        </w:rPr>
        <w:t>专业工程承包人必须建立以项目经理为首的</w:t>
      </w:r>
      <w:r>
        <w:rPr>
          <w:color w:val="auto"/>
          <w:spacing w:val="-6"/>
          <w:highlight w:val="none"/>
        </w:rPr>
        <w:t xml:space="preserve"> EHS </w:t>
      </w:r>
      <w:r>
        <w:rPr>
          <w:rFonts w:hint="eastAsia"/>
          <w:color w:val="auto"/>
          <w:spacing w:val="-6"/>
          <w:highlight w:val="none"/>
        </w:rPr>
        <w:t>领导机构，明确工作机制，在正式进场后</w:t>
      </w:r>
      <w:r>
        <w:rPr>
          <w:color w:val="auto"/>
          <w:spacing w:val="-6"/>
          <w:highlight w:val="none"/>
        </w:rPr>
        <w:t xml:space="preserve"> 15 </w:t>
      </w:r>
      <w:r>
        <w:rPr>
          <w:rFonts w:hint="eastAsia"/>
          <w:color w:val="auto"/>
          <w:spacing w:val="-6"/>
          <w:highlight w:val="none"/>
        </w:rPr>
        <w:t>个工作日内书面上报监理人、发包人备案。</w:t>
      </w:r>
    </w:p>
    <w:p>
      <w:pPr>
        <w:pStyle w:val="8"/>
        <w:numPr>
          <w:ilvl w:val="0"/>
          <w:numId w:val="200"/>
        </w:numPr>
        <w:rPr>
          <w:color w:val="auto"/>
          <w:spacing w:val="-6"/>
          <w:highlight w:val="none"/>
        </w:rPr>
      </w:pPr>
      <w:r>
        <w:rPr>
          <w:rFonts w:hint="eastAsia"/>
          <w:color w:val="auto"/>
          <w:spacing w:val="-6"/>
          <w:highlight w:val="none"/>
        </w:rPr>
        <w:t>专业工程承包人必须成立安全监督管理部门，独立行使安全监督管理职权。</w:t>
      </w:r>
    </w:p>
    <w:p>
      <w:pPr>
        <w:pStyle w:val="8"/>
        <w:numPr>
          <w:ilvl w:val="0"/>
          <w:numId w:val="200"/>
        </w:numPr>
        <w:rPr>
          <w:color w:val="auto"/>
          <w:spacing w:val="-6"/>
          <w:highlight w:val="none"/>
        </w:rPr>
      </w:pPr>
      <w:r>
        <w:rPr>
          <w:rFonts w:hint="eastAsia"/>
          <w:color w:val="auto"/>
          <w:spacing w:val="-6"/>
          <w:highlight w:val="none"/>
        </w:rPr>
        <w:t>专业工程承包人项目主要负责人须持有建设主管部门有效安全生产考核证书（建安</w:t>
      </w:r>
      <w:r>
        <w:rPr>
          <w:color w:val="auto"/>
          <w:spacing w:val="-6"/>
          <w:highlight w:val="none"/>
        </w:rPr>
        <w:t xml:space="preserve"> B</w:t>
      </w:r>
      <w:r>
        <w:rPr>
          <w:rFonts w:hint="eastAsia"/>
          <w:color w:val="auto"/>
          <w:spacing w:val="-6"/>
          <w:highlight w:val="none"/>
        </w:rPr>
        <w:t>证）。</w:t>
      </w:r>
    </w:p>
    <w:p>
      <w:pPr>
        <w:pStyle w:val="8"/>
        <w:numPr>
          <w:ilvl w:val="0"/>
          <w:numId w:val="200"/>
        </w:numPr>
        <w:rPr>
          <w:color w:val="auto"/>
          <w:spacing w:val="-6"/>
          <w:highlight w:val="none"/>
        </w:rPr>
      </w:pPr>
      <w:r>
        <w:rPr>
          <w:rFonts w:hint="eastAsia"/>
          <w:color w:val="auto"/>
          <w:spacing w:val="-6"/>
          <w:highlight w:val="none"/>
        </w:rPr>
        <w:t>专业工程承包人专职安全管理人员均须持有建设主管部门的有效岗位资格证书（建安</w:t>
      </w:r>
      <w:r>
        <w:rPr>
          <w:color w:val="auto"/>
          <w:spacing w:val="-6"/>
          <w:highlight w:val="none"/>
        </w:rPr>
        <w:t>C</w:t>
      </w:r>
      <w:r>
        <w:rPr>
          <w:rFonts w:hint="eastAsia"/>
          <w:color w:val="auto"/>
          <w:spacing w:val="-6"/>
          <w:highlight w:val="none"/>
        </w:rPr>
        <w:t>证）。</w:t>
      </w:r>
    </w:p>
    <w:p>
      <w:pPr>
        <w:pStyle w:val="5"/>
        <w:rPr>
          <w:color w:val="auto"/>
          <w:highlight w:val="none"/>
        </w:rPr>
      </w:pPr>
      <w:r>
        <w:rPr>
          <w:rFonts w:hint="eastAsia"/>
          <w:color w:val="auto"/>
          <w:highlight w:val="none"/>
        </w:rPr>
        <w:t>人员配置及工作要求</w:t>
      </w:r>
    </w:p>
    <w:p>
      <w:pPr>
        <w:pStyle w:val="8"/>
        <w:numPr>
          <w:ilvl w:val="0"/>
          <w:numId w:val="201"/>
        </w:numPr>
        <w:rPr>
          <w:color w:val="auto"/>
          <w:spacing w:val="-6"/>
          <w:highlight w:val="none"/>
        </w:rPr>
      </w:pPr>
      <w:r>
        <w:rPr>
          <w:rFonts w:hint="eastAsia"/>
          <w:color w:val="auto"/>
          <w:spacing w:val="-6"/>
          <w:highlight w:val="none"/>
        </w:rPr>
        <w:t>专业工程承包人须配备专职安全管理人员。</w:t>
      </w:r>
    </w:p>
    <w:p>
      <w:pPr>
        <w:pStyle w:val="8"/>
        <w:numPr>
          <w:ilvl w:val="0"/>
          <w:numId w:val="201"/>
        </w:numPr>
        <w:rPr>
          <w:color w:val="auto"/>
          <w:spacing w:val="-6"/>
          <w:highlight w:val="none"/>
        </w:rPr>
      </w:pPr>
      <w:r>
        <w:rPr>
          <w:rFonts w:hint="eastAsia"/>
          <w:color w:val="auto"/>
          <w:spacing w:val="-6"/>
          <w:highlight w:val="none"/>
        </w:rPr>
        <w:t>发包人有权根据工程实际需要，提前</w:t>
      </w:r>
      <w:r>
        <w:rPr>
          <w:color w:val="auto"/>
          <w:spacing w:val="-6"/>
          <w:highlight w:val="none"/>
        </w:rPr>
        <w:t xml:space="preserve"> 15 </w:t>
      </w:r>
      <w:r>
        <w:rPr>
          <w:rFonts w:hint="eastAsia"/>
          <w:color w:val="auto"/>
          <w:spacing w:val="-6"/>
          <w:highlight w:val="none"/>
        </w:rPr>
        <w:t>个工作日通知专业工程承包人对专职安全管理人员到位时间进行调整，专业工程承包人必须执行。</w:t>
      </w:r>
    </w:p>
    <w:p>
      <w:pPr>
        <w:pStyle w:val="8"/>
        <w:numPr>
          <w:ilvl w:val="0"/>
          <w:numId w:val="201"/>
        </w:numPr>
        <w:rPr>
          <w:color w:val="auto"/>
          <w:spacing w:val="-6"/>
          <w:highlight w:val="none"/>
        </w:rPr>
      </w:pPr>
      <w:r>
        <w:rPr>
          <w:rFonts w:hint="eastAsia"/>
          <w:color w:val="auto"/>
          <w:spacing w:val="-6"/>
          <w:highlight w:val="none"/>
        </w:rPr>
        <w:t>即使专业工程承包人按照上述标准配备了专职安全管理人员，但是</w:t>
      </w:r>
      <w:r>
        <w:rPr>
          <w:color w:val="auto"/>
          <w:spacing w:val="-6"/>
          <w:highlight w:val="none"/>
        </w:rPr>
        <w:t xml:space="preserve"> EHS </w:t>
      </w:r>
      <w:r>
        <w:rPr>
          <w:rFonts w:hint="eastAsia"/>
          <w:color w:val="auto"/>
          <w:spacing w:val="-6"/>
          <w:highlight w:val="none"/>
        </w:rPr>
        <w:t>管理绩效无法满足发包人安全要求时，发包人有权要求专业工程承包人继续增加专职安全管理人员，</w:t>
      </w:r>
      <w:r>
        <w:rPr>
          <w:color w:val="auto"/>
          <w:spacing w:val="-6"/>
          <w:highlight w:val="none"/>
        </w:rPr>
        <w:t xml:space="preserve"> </w:t>
      </w:r>
      <w:r>
        <w:rPr>
          <w:rFonts w:hint="eastAsia"/>
          <w:color w:val="auto"/>
          <w:spacing w:val="-6"/>
          <w:highlight w:val="none"/>
        </w:rPr>
        <w:t>专业工程承包人必须执行。</w:t>
      </w:r>
    </w:p>
    <w:p>
      <w:pPr>
        <w:pStyle w:val="8"/>
        <w:numPr>
          <w:ilvl w:val="0"/>
          <w:numId w:val="201"/>
        </w:numPr>
        <w:rPr>
          <w:color w:val="auto"/>
          <w:spacing w:val="-6"/>
          <w:highlight w:val="none"/>
        </w:rPr>
      </w:pPr>
      <w:r>
        <w:rPr>
          <w:rFonts w:hint="eastAsia"/>
          <w:color w:val="auto"/>
          <w:spacing w:val="-6"/>
          <w:highlight w:val="none"/>
        </w:rPr>
        <w:t>专业工程承包人必须建立专职安全管理人员装备标准化配备制度，为其配备通讯器材、检测（查）工具与仪器、影像记录器材等装备。</w:t>
      </w:r>
    </w:p>
    <w:p>
      <w:pPr>
        <w:pStyle w:val="8"/>
        <w:numPr>
          <w:ilvl w:val="0"/>
          <w:numId w:val="201"/>
        </w:numPr>
        <w:rPr>
          <w:color w:val="auto"/>
          <w:spacing w:val="-6"/>
          <w:highlight w:val="none"/>
        </w:rPr>
      </w:pPr>
      <w:r>
        <w:rPr>
          <w:rFonts w:hint="eastAsia"/>
          <w:color w:val="auto"/>
          <w:spacing w:val="-6"/>
          <w:highlight w:val="none"/>
        </w:rPr>
        <w:t>专业工程承包人所有安全管理人员均须专职并常驻项目，严禁挂职、挂证、挂名行为。</w:t>
      </w:r>
    </w:p>
    <w:p>
      <w:pPr>
        <w:pStyle w:val="4"/>
        <w:rPr>
          <w:color w:val="auto"/>
          <w:highlight w:val="none"/>
        </w:rPr>
      </w:pPr>
      <w:bookmarkStart w:id="70" w:name="_Toc122371861"/>
      <w:r>
        <w:rPr>
          <w:rFonts w:hint="eastAsia"/>
          <w:color w:val="auto"/>
          <w:highlight w:val="none"/>
        </w:rPr>
        <w:t>安全生产管理协议</w:t>
      </w:r>
      <w:bookmarkEnd w:id="70"/>
    </w:p>
    <w:p>
      <w:pPr>
        <w:pStyle w:val="5"/>
        <w:rPr>
          <w:color w:val="auto"/>
          <w:highlight w:val="none"/>
        </w:rPr>
      </w:pPr>
      <w:r>
        <w:rPr>
          <w:rFonts w:hint="eastAsia"/>
          <w:color w:val="auto"/>
          <w:highlight w:val="none"/>
        </w:rPr>
        <w:t>专业工程承包人与总承包人的协议</w:t>
      </w:r>
    </w:p>
    <w:p>
      <w:pPr>
        <w:pStyle w:val="8"/>
        <w:numPr>
          <w:ilvl w:val="0"/>
          <w:numId w:val="202"/>
        </w:numPr>
        <w:rPr>
          <w:color w:val="auto"/>
          <w:highlight w:val="none"/>
        </w:rPr>
      </w:pPr>
      <w:r>
        <w:rPr>
          <w:rFonts w:hint="eastAsia"/>
          <w:color w:val="auto"/>
          <w:highlight w:val="none"/>
        </w:rPr>
        <w:t>专业工程承包人进场时，与总承包人签订《安全生产管理协议》、《消防安全管理协议》、《临时用电安全管理协议》、《安全保卫协议》，明确双方</w:t>
      </w:r>
      <w:r>
        <w:rPr>
          <w:color w:val="auto"/>
          <w:highlight w:val="none"/>
        </w:rPr>
        <w:t xml:space="preserve"> EHS </w:t>
      </w:r>
      <w:r>
        <w:rPr>
          <w:rFonts w:hint="eastAsia"/>
          <w:color w:val="auto"/>
          <w:highlight w:val="none"/>
        </w:rPr>
        <w:t>管理责任与义务等内容。</w:t>
      </w:r>
    </w:p>
    <w:p>
      <w:pPr>
        <w:pStyle w:val="8"/>
        <w:numPr>
          <w:ilvl w:val="0"/>
          <w:numId w:val="202"/>
        </w:numPr>
        <w:rPr>
          <w:color w:val="auto"/>
          <w:highlight w:val="none"/>
        </w:rPr>
      </w:pPr>
      <w:r>
        <w:rPr>
          <w:rFonts w:hint="eastAsia"/>
          <w:color w:val="auto"/>
          <w:highlight w:val="none"/>
        </w:rPr>
        <w:t>专业工程承包人与总承包人签订《安全生产管理协议》等协议时，须认真遵守与执行发包人、总承包人的安全管理要求。</w:t>
      </w:r>
    </w:p>
    <w:p>
      <w:pPr>
        <w:pStyle w:val="4"/>
        <w:rPr>
          <w:color w:val="auto"/>
          <w:highlight w:val="none"/>
        </w:rPr>
      </w:pPr>
      <w:bookmarkStart w:id="71" w:name="_Toc122371862"/>
      <w:r>
        <w:rPr>
          <w:rFonts w:hint="eastAsia"/>
          <w:color w:val="auto"/>
          <w:highlight w:val="none"/>
        </w:rPr>
        <w:t>安全生产费用</w:t>
      </w:r>
      <w:bookmarkEnd w:id="71"/>
    </w:p>
    <w:p>
      <w:pPr>
        <w:pStyle w:val="5"/>
        <w:rPr>
          <w:color w:val="auto"/>
          <w:highlight w:val="none"/>
        </w:rPr>
      </w:pPr>
      <w:r>
        <w:rPr>
          <w:rFonts w:hint="eastAsia"/>
          <w:color w:val="auto"/>
          <w:highlight w:val="none"/>
        </w:rPr>
        <w:t>费用组成</w:t>
      </w:r>
    </w:p>
    <w:p>
      <w:pPr>
        <w:pStyle w:val="8"/>
        <w:numPr>
          <w:ilvl w:val="0"/>
          <w:numId w:val="203"/>
        </w:numPr>
        <w:rPr>
          <w:color w:val="auto"/>
          <w:highlight w:val="none"/>
        </w:rPr>
      </w:pPr>
      <w:r>
        <w:rPr>
          <w:rFonts w:hint="eastAsia"/>
          <w:color w:val="auto"/>
          <w:highlight w:val="none"/>
        </w:rPr>
        <w:t>专业工程承包人必须按照国家及当地有关安全文明施工措施费的规定，充分考虑实现本规定所需投入，对安全生产费用（安全文明施工措施费）单独报价。</w:t>
      </w:r>
    </w:p>
    <w:p>
      <w:pPr>
        <w:pStyle w:val="8"/>
        <w:numPr>
          <w:ilvl w:val="0"/>
          <w:numId w:val="203"/>
        </w:numPr>
        <w:rPr>
          <w:color w:val="auto"/>
          <w:highlight w:val="none"/>
        </w:rPr>
      </w:pPr>
      <w:r>
        <w:rPr>
          <w:rFonts w:hint="eastAsia"/>
          <w:color w:val="auto"/>
          <w:highlight w:val="none"/>
        </w:rPr>
        <w:t>专业工程承包人投标时须详细列明安全生产费用组成项目清单、金额及使用计划等有关资料。</w:t>
      </w:r>
    </w:p>
    <w:p>
      <w:pPr>
        <w:pStyle w:val="8"/>
        <w:numPr>
          <w:ilvl w:val="0"/>
          <w:numId w:val="203"/>
        </w:numPr>
        <w:rPr>
          <w:color w:val="auto"/>
          <w:highlight w:val="none"/>
        </w:rPr>
      </w:pPr>
      <w:r>
        <w:rPr>
          <w:rFonts w:hint="eastAsia"/>
          <w:color w:val="auto"/>
          <w:highlight w:val="none"/>
        </w:rPr>
        <w:t>安全生产费用组成以国家及地方规定为准。</w:t>
      </w:r>
    </w:p>
    <w:p>
      <w:pPr>
        <w:pStyle w:val="5"/>
        <w:rPr>
          <w:color w:val="auto"/>
          <w:highlight w:val="none"/>
        </w:rPr>
      </w:pPr>
      <w:r>
        <w:rPr>
          <w:rFonts w:hint="eastAsia"/>
          <w:color w:val="auto"/>
          <w:highlight w:val="none"/>
        </w:rPr>
        <w:t>费用管理</w:t>
      </w:r>
    </w:p>
    <w:p>
      <w:pPr>
        <w:pStyle w:val="8"/>
        <w:numPr>
          <w:ilvl w:val="0"/>
          <w:numId w:val="204"/>
        </w:numPr>
        <w:rPr>
          <w:color w:val="auto"/>
          <w:highlight w:val="none"/>
        </w:rPr>
      </w:pPr>
      <w:r>
        <w:rPr>
          <w:rFonts w:hint="eastAsia"/>
          <w:color w:val="auto"/>
          <w:highlight w:val="none"/>
        </w:rPr>
        <w:t>专业工程承包人必须建立健全安全生产费用管理制度，确保费用管理规范。</w:t>
      </w:r>
    </w:p>
    <w:p>
      <w:pPr>
        <w:pStyle w:val="8"/>
        <w:numPr>
          <w:ilvl w:val="0"/>
          <w:numId w:val="204"/>
        </w:numPr>
        <w:rPr>
          <w:color w:val="auto"/>
          <w:highlight w:val="none"/>
        </w:rPr>
      </w:pPr>
      <w:r>
        <w:rPr>
          <w:rFonts w:hint="eastAsia"/>
          <w:color w:val="auto"/>
          <w:highlight w:val="none"/>
        </w:rPr>
        <w:t>专业工程承包人必须制定专项安全生产费用使用计划，经监理人、发包人共同审批后实施。</w:t>
      </w:r>
    </w:p>
    <w:p>
      <w:pPr>
        <w:pStyle w:val="8"/>
        <w:numPr>
          <w:ilvl w:val="0"/>
          <w:numId w:val="204"/>
        </w:numPr>
        <w:rPr>
          <w:color w:val="auto"/>
          <w:highlight w:val="none"/>
        </w:rPr>
      </w:pPr>
      <w:r>
        <w:rPr>
          <w:rFonts w:hint="eastAsia"/>
          <w:color w:val="auto"/>
          <w:highlight w:val="none"/>
        </w:rPr>
        <w:t>专业工程承包人未按规范要求、合同约定及发包人安全规定落实安全文明施工措施的，</w:t>
      </w:r>
      <w:r>
        <w:rPr>
          <w:color w:val="auto"/>
          <w:highlight w:val="none"/>
        </w:rPr>
        <w:t xml:space="preserve"> </w:t>
      </w:r>
      <w:r>
        <w:rPr>
          <w:rFonts w:hint="eastAsia"/>
          <w:color w:val="auto"/>
          <w:highlight w:val="none"/>
        </w:rPr>
        <w:t>发包人有权对该部分安全生产费用予以追缴，并责令专业工程承包人限期整改。</w:t>
      </w:r>
    </w:p>
    <w:p>
      <w:pPr>
        <w:pStyle w:val="8"/>
        <w:numPr>
          <w:ilvl w:val="0"/>
          <w:numId w:val="204"/>
        </w:numPr>
        <w:rPr>
          <w:color w:val="auto"/>
          <w:highlight w:val="none"/>
        </w:rPr>
      </w:pPr>
      <w:r>
        <w:rPr>
          <w:rFonts w:hint="eastAsia"/>
          <w:color w:val="auto"/>
          <w:highlight w:val="none"/>
        </w:rPr>
        <w:t>专业工程承包人在安全生产费用使用管理中存在挪用、克扣、滥用或虚报等违规行为时，发包人将对专业工程承包人进行相应处罚。因专业工程承包人安全生产费用管理不善导致的任何不良后果，专业工程承包人承担全部责任。</w:t>
      </w:r>
    </w:p>
    <w:p>
      <w:pPr>
        <w:pStyle w:val="4"/>
        <w:rPr>
          <w:color w:val="auto"/>
          <w:highlight w:val="none"/>
        </w:rPr>
      </w:pPr>
      <w:bookmarkStart w:id="72" w:name="_Toc122371863"/>
      <w:r>
        <w:rPr>
          <w:rFonts w:hint="eastAsia"/>
          <w:color w:val="auto"/>
          <w:highlight w:val="none"/>
        </w:rPr>
        <w:t>应急与事故管理</w:t>
      </w:r>
      <w:bookmarkEnd w:id="72"/>
    </w:p>
    <w:p>
      <w:pPr>
        <w:pStyle w:val="5"/>
        <w:rPr>
          <w:color w:val="auto"/>
          <w:highlight w:val="none"/>
        </w:rPr>
      </w:pPr>
      <w:r>
        <w:rPr>
          <w:rFonts w:hint="eastAsia"/>
          <w:color w:val="auto"/>
          <w:highlight w:val="none"/>
        </w:rPr>
        <w:t>应急管理</w:t>
      </w:r>
    </w:p>
    <w:p>
      <w:pPr>
        <w:pStyle w:val="8"/>
        <w:numPr>
          <w:ilvl w:val="0"/>
          <w:numId w:val="205"/>
        </w:numPr>
        <w:rPr>
          <w:color w:val="auto"/>
          <w:highlight w:val="none"/>
        </w:rPr>
      </w:pPr>
      <w:r>
        <w:rPr>
          <w:rFonts w:hint="eastAsia"/>
          <w:color w:val="auto"/>
          <w:highlight w:val="none"/>
        </w:rPr>
        <w:t>专业工程承包人必须建立健全事故应急救援机制，明确应急处置原则，即抢救生命优先。</w:t>
      </w:r>
    </w:p>
    <w:p>
      <w:pPr>
        <w:pStyle w:val="8"/>
        <w:numPr>
          <w:ilvl w:val="0"/>
          <w:numId w:val="205"/>
        </w:numPr>
        <w:rPr>
          <w:color w:val="auto"/>
          <w:highlight w:val="none"/>
        </w:rPr>
      </w:pPr>
      <w:r>
        <w:rPr>
          <w:rFonts w:hint="eastAsia"/>
          <w:color w:val="auto"/>
          <w:highlight w:val="none"/>
        </w:rPr>
        <w:t>专业工程承包人必须建立完善应急救援预案，明确应急响应组织、流程，确保迅速处理突发事件。专业工程承包人应将应急救援预案提交发包人备案。</w:t>
      </w:r>
    </w:p>
    <w:p>
      <w:pPr>
        <w:pStyle w:val="8"/>
        <w:numPr>
          <w:ilvl w:val="0"/>
          <w:numId w:val="205"/>
        </w:numPr>
        <w:rPr>
          <w:color w:val="auto"/>
          <w:highlight w:val="none"/>
        </w:rPr>
      </w:pPr>
      <w:r>
        <w:rPr>
          <w:rFonts w:hint="eastAsia"/>
          <w:color w:val="auto"/>
          <w:highlight w:val="none"/>
        </w:rPr>
        <w:t>专业工程承包人必须保证准备充足的应急物资、设施设备、器材工具、医疗用品等，</w:t>
      </w:r>
      <w:r>
        <w:rPr>
          <w:color w:val="auto"/>
          <w:highlight w:val="none"/>
        </w:rPr>
        <w:t xml:space="preserve"> </w:t>
      </w:r>
      <w:r>
        <w:rPr>
          <w:rFonts w:hint="eastAsia"/>
          <w:color w:val="auto"/>
          <w:highlight w:val="none"/>
        </w:rPr>
        <w:t>并做好维护管理以确保其良好可用。</w:t>
      </w:r>
    </w:p>
    <w:p>
      <w:pPr>
        <w:pStyle w:val="8"/>
        <w:numPr>
          <w:ilvl w:val="0"/>
          <w:numId w:val="205"/>
        </w:numPr>
        <w:rPr>
          <w:color w:val="auto"/>
          <w:highlight w:val="none"/>
        </w:rPr>
      </w:pPr>
      <w:r>
        <w:rPr>
          <w:rFonts w:hint="eastAsia"/>
          <w:color w:val="auto"/>
          <w:highlight w:val="none"/>
        </w:rPr>
        <w:t>专业工程承包人必须积极开展消防、高处坠落、触电伤害等各类应急救援演练，提高应急处置能力。</w:t>
      </w:r>
    </w:p>
    <w:p>
      <w:pPr>
        <w:pStyle w:val="5"/>
        <w:rPr>
          <w:color w:val="auto"/>
          <w:highlight w:val="none"/>
        </w:rPr>
      </w:pPr>
      <w:r>
        <w:rPr>
          <w:rFonts w:hint="eastAsia"/>
          <w:color w:val="auto"/>
          <w:highlight w:val="none"/>
        </w:rPr>
        <w:t>事故管理</w:t>
      </w:r>
    </w:p>
    <w:p>
      <w:pPr>
        <w:pStyle w:val="4"/>
        <w:rPr>
          <w:color w:val="auto"/>
          <w:highlight w:val="none"/>
        </w:rPr>
      </w:pPr>
      <w:bookmarkStart w:id="73" w:name="_Toc122371864"/>
      <w:r>
        <w:rPr>
          <w:rFonts w:hint="eastAsia"/>
          <w:color w:val="auto"/>
          <w:highlight w:val="none"/>
        </w:rPr>
        <w:t>保险</w:t>
      </w:r>
      <w:bookmarkEnd w:id="73"/>
    </w:p>
    <w:p>
      <w:pPr>
        <w:pStyle w:val="5"/>
        <w:rPr>
          <w:color w:val="auto"/>
          <w:highlight w:val="none"/>
        </w:rPr>
      </w:pPr>
      <w:r>
        <w:rPr>
          <w:rFonts w:hint="eastAsia"/>
          <w:color w:val="auto"/>
          <w:highlight w:val="none"/>
        </w:rPr>
        <w:t>专业工程承包人必须按法律法规规定，为从业人员购买工伤意外伤害保险。</w:t>
      </w:r>
    </w:p>
    <w:p>
      <w:pPr>
        <w:pStyle w:val="5"/>
        <w:rPr>
          <w:color w:val="auto"/>
          <w:highlight w:val="none"/>
        </w:rPr>
      </w:pPr>
      <w:r>
        <w:rPr>
          <w:rFonts w:hint="eastAsia"/>
          <w:color w:val="auto"/>
          <w:highlight w:val="none"/>
        </w:rPr>
        <w:t>人员遭受职业伤害时，专业工程承包人应协调为其办理保险理赔工作，保障其合法权益。</w:t>
      </w:r>
    </w:p>
    <w:p>
      <w:pPr>
        <w:pStyle w:val="4"/>
        <w:rPr>
          <w:color w:val="auto"/>
          <w:highlight w:val="none"/>
        </w:rPr>
      </w:pPr>
      <w:bookmarkStart w:id="74" w:name="_Toc122371865"/>
      <w:r>
        <w:rPr>
          <w:rFonts w:hint="eastAsia"/>
          <w:color w:val="auto"/>
          <w:highlight w:val="none"/>
        </w:rPr>
        <w:t>人员素质资格要求</w:t>
      </w:r>
      <w:bookmarkEnd w:id="74"/>
    </w:p>
    <w:p>
      <w:pPr>
        <w:pStyle w:val="5"/>
        <w:rPr>
          <w:color w:val="auto"/>
          <w:highlight w:val="none"/>
        </w:rPr>
      </w:pPr>
      <w:r>
        <w:rPr>
          <w:rFonts w:hint="eastAsia"/>
          <w:color w:val="auto"/>
          <w:highlight w:val="none"/>
        </w:rPr>
        <w:t>人员基本素质要求</w:t>
      </w:r>
    </w:p>
    <w:p>
      <w:pPr>
        <w:ind w:left="1157" w:firstLine="581"/>
        <w:rPr>
          <w:rFonts w:ascii="Times New Roman" w:hAnsi="Times New Roman" w:cs="Times New Roman"/>
          <w:color w:val="auto"/>
          <w:szCs w:val="24"/>
          <w:highlight w:val="none"/>
          <w:lang w:eastAsia="zh-CN"/>
        </w:rPr>
      </w:pPr>
      <w:r>
        <w:rPr>
          <w:rFonts w:hint="eastAsia" w:ascii="Times New Roman" w:hAnsi="Times New Roman" w:cs="Times New Roman"/>
          <w:color w:val="auto"/>
          <w:szCs w:val="24"/>
          <w:highlight w:val="none"/>
          <w:lang w:eastAsia="zh-CN"/>
        </w:rPr>
        <w:t>专业工程承包人必须对人员基本素质进行核查，保证满足以下要求</w:t>
      </w:r>
      <w:r>
        <w:rPr>
          <w:rFonts w:ascii="Times New Roman" w:hAnsi="Times New Roman" w:cs="Times New Roman"/>
          <w:color w:val="auto"/>
          <w:szCs w:val="24"/>
          <w:highlight w:val="none"/>
          <w:lang w:eastAsia="zh-CN"/>
        </w:rPr>
        <w:t>:</w:t>
      </w:r>
    </w:p>
    <w:p>
      <w:pPr>
        <w:pStyle w:val="8"/>
        <w:numPr>
          <w:ilvl w:val="0"/>
          <w:numId w:val="206"/>
        </w:numPr>
        <w:rPr>
          <w:color w:val="auto"/>
          <w:highlight w:val="none"/>
        </w:rPr>
      </w:pPr>
      <w:r>
        <w:rPr>
          <w:rFonts w:hint="eastAsia"/>
          <w:color w:val="auto"/>
          <w:highlight w:val="none"/>
        </w:rPr>
        <w:t>身体健康，精神状态无异常，无职业禁忌症。</w:t>
      </w:r>
    </w:p>
    <w:p>
      <w:pPr>
        <w:pStyle w:val="8"/>
        <w:numPr>
          <w:ilvl w:val="0"/>
          <w:numId w:val="206"/>
        </w:numPr>
        <w:rPr>
          <w:color w:val="auto"/>
          <w:highlight w:val="none"/>
        </w:rPr>
      </w:pPr>
      <w:r>
        <w:rPr>
          <w:rFonts w:hint="eastAsia"/>
          <w:color w:val="auto"/>
          <w:highlight w:val="none"/>
        </w:rPr>
        <w:t>无刑事案件记录及违法行为。</w:t>
      </w:r>
    </w:p>
    <w:p>
      <w:pPr>
        <w:pStyle w:val="8"/>
        <w:numPr>
          <w:ilvl w:val="0"/>
          <w:numId w:val="206"/>
        </w:numPr>
        <w:rPr>
          <w:color w:val="auto"/>
          <w:highlight w:val="none"/>
        </w:rPr>
      </w:pPr>
      <w:r>
        <w:rPr>
          <w:rFonts w:hint="eastAsia"/>
          <w:color w:val="auto"/>
          <w:highlight w:val="none"/>
        </w:rPr>
        <w:t>知识能力、工作技能与所从事的岗位相适应。</w:t>
      </w:r>
    </w:p>
    <w:p>
      <w:pPr>
        <w:pStyle w:val="8"/>
        <w:numPr>
          <w:ilvl w:val="0"/>
          <w:numId w:val="206"/>
        </w:numPr>
        <w:rPr>
          <w:color w:val="auto"/>
          <w:highlight w:val="none"/>
        </w:rPr>
      </w:pPr>
      <w:r>
        <w:rPr>
          <w:rFonts w:hint="eastAsia"/>
          <w:color w:val="auto"/>
          <w:highlight w:val="none"/>
        </w:rPr>
        <w:t>人员年龄要求，普通作业人员</w:t>
      </w:r>
      <w:r>
        <w:rPr>
          <w:color w:val="auto"/>
          <w:highlight w:val="none"/>
        </w:rPr>
        <w:t xml:space="preserve"> 18-60 </w:t>
      </w:r>
      <w:r>
        <w:rPr>
          <w:rFonts w:hint="eastAsia"/>
          <w:color w:val="auto"/>
          <w:highlight w:val="none"/>
        </w:rPr>
        <w:t>岁，特种作业人员</w:t>
      </w:r>
      <w:r>
        <w:rPr>
          <w:color w:val="auto"/>
          <w:highlight w:val="none"/>
        </w:rPr>
        <w:t xml:space="preserve"> 18-55 </w:t>
      </w:r>
      <w:r>
        <w:rPr>
          <w:rFonts w:hint="eastAsia"/>
          <w:color w:val="auto"/>
          <w:highlight w:val="none"/>
        </w:rPr>
        <w:t>岁。</w:t>
      </w:r>
    </w:p>
    <w:p>
      <w:pPr>
        <w:pStyle w:val="5"/>
        <w:rPr>
          <w:color w:val="auto"/>
          <w:highlight w:val="none"/>
        </w:rPr>
      </w:pPr>
      <w:r>
        <w:rPr>
          <w:rFonts w:hint="eastAsia"/>
          <w:color w:val="auto"/>
          <w:highlight w:val="none"/>
        </w:rPr>
        <w:t>人员基本资格要求</w:t>
      </w:r>
    </w:p>
    <w:p>
      <w:pPr>
        <w:pStyle w:val="8"/>
        <w:numPr>
          <w:ilvl w:val="0"/>
          <w:numId w:val="207"/>
        </w:numPr>
        <w:rPr>
          <w:color w:val="auto"/>
          <w:highlight w:val="none"/>
        </w:rPr>
      </w:pPr>
      <w:r>
        <w:rPr>
          <w:rFonts w:hint="eastAsia"/>
          <w:color w:val="auto"/>
          <w:highlight w:val="none"/>
        </w:rPr>
        <w:t>专业工程承包人必须对从业人员真实身份采取措施进行查验，可通过购买身份证识别器或与辖区公安机关合作对入场人员公民身份进行核查，并做好核查记录。杜绝无身份证或持他人身份证及无效身份证的作业人员入场。</w:t>
      </w:r>
    </w:p>
    <w:p>
      <w:pPr>
        <w:pStyle w:val="8"/>
        <w:numPr>
          <w:ilvl w:val="0"/>
          <w:numId w:val="207"/>
        </w:numPr>
        <w:rPr>
          <w:color w:val="auto"/>
          <w:highlight w:val="none"/>
        </w:rPr>
      </w:pPr>
      <w:r>
        <w:rPr>
          <w:rFonts w:hint="eastAsia"/>
          <w:color w:val="auto"/>
          <w:highlight w:val="none"/>
        </w:rPr>
        <w:t>专业工程承包人必须严格审查特种作业人员资质证件，确保持有省级建设主管部门颁发的有效特种作业资格证件。</w:t>
      </w:r>
    </w:p>
    <w:p>
      <w:pPr>
        <w:pStyle w:val="4"/>
        <w:rPr>
          <w:color w:val="auto"/>
          <w:highlight w:val="none"/>
        </w:rPr>
      </w:pPr>
      <w:bookmarkStart w:id="75" w:name="_Toc122371866"/>
      <w:r>
        <w:rPr>
          <w:rFonts w:hint="eastAsia"/>
          <w:color w:val="auto"/>
          <w:highlight w:val="none"/>
        </w:rPr>
        <w:t>劳务管理</w:t>
      </w:r>
      <w:bookmarkEnd w:id="75"/>
    </w:p>
    <w:p>
      <w:pPr>
        <w:pStyle w:val="5"/>
        <w:rPr>
          <w:color w:val="auto"/>
          <w:highlight w:val="none"/>
        </w:rPr>
      </w:pPr>
      <w:bookmarkStart w:id="76" w:name="_Toc17642038"/>
      <w:r>
        <w:rPr>
          <w:rFonts w:hint="eastAsia"/>
          <w:color w:val="auto"/>
          <w:highlight w:val="none"/>
        </w:rPr>
        <w:t>专业工程承包人必须建立劳务工工资管理协调机构，负责劳务工工资协调管理，确保本项目劳务工工资及时足量发放，不得违法克扣、拖延。</w:t>
      </w:r>
      <w:bookmarkEnd w:id="76"/>
      <w:r>
        <w:rPr>
          <w:rFonts w:hint="eastAsia"/>
          <w:color w:val="auto"/>
          <w:highlight w:val="none"/>
        </w:rPr>
        <w:t>否则，发包人将采取直接扣除专业工程承包人工程款、安全风险抵押金等方式解决劳资纠纷，并视情况对专业工程承包人进行经济处罚与索赔。</w:t>
      </w:r>
    </w:p>
    <w:p>
      <w:pPr>
        <w:pStyle w:val="5"/>
        <w:rPr>
          <w:color w:val="auto"/>
          <w:highlight w:val="none"/>
        </w:rPr>
      </w:pPr>
      <w:r>
        <w:rPr>
          <w:rFonts w:hint="eastAsia"/>
          <w:color w:val="auto"/>
          <w:highlight w:val="none"/>
        </w:rPr>
        <w:t>专业工程承包人用工应符合以下要求：</w:t>
      </w:r>
    </w:p>
    <w:p>
      <w:pPr>
        <w:pStyle w:val="5"/>
        <w:rPr>
          <w:color w:val="auto"/>
          <w:highlight w:val="none"/>
        </w:rPr>
      </w:pPr>
      <w:r>
        <w:rPr>
          <w:rFonts w:hint="eastAsia"/>
          <w:color w:val="auto"/>
          <w:highlight w:val="none"/>
        </w:rPr>
        <w:t>不使用童工并依法保障妇女的劳动保护权益；</w:t>
      </w:r>
    </w:p>
    <w:p>
      <w:pPr>
        <w:pStyle w:val="8"/>
        <w:numPr>
          <w:ilvl w:val="0"/>
          <w:numId w:val="208"/>
        </w:numPr>
        <w:rPr>
          <w:color w:val="auto"/>
          <w:highlight w:val="none"/>
        </w:rPr>
      </w:pPr>
      <w:r>
        <w:rPr>
          <w:rFonts w:hint="eastAsia"/>
          <w:color w:val="auto"/>
          <w:highlight w:val="none"/>
        </w:rPr>
        <w:t>合理部署生产计划，不超时间、超强度安排施工任务，避免疲劳过度引发事故；</w:t>
      </w:r>
    </w:p>
    <w:p>
      <w:pPr>
        <w:pStyle w:val="8"/>
        <w:numPr>
          <w:ilvl w:val="0"/>
          <w:numId w:val="208"/>
        </w:numPr>
        <w:rPr>
          <w:color w:val="auto"/>
          <w:highlight w:val="none"/>
        </w:rPr>
      </w:pPr>
      <w:r>
        <w:rPr>
          <w:rFonts w:hint="eastAsia"/>
          <w:color w:val="auto"/>
          <w:highlight w:val="none"/>
        </w:rPr>
        <w:t>从业人员得到了与岗位相适应的安全教育与技能培训；</w:t>
      </w:r>
    </w:p>
    <w:p>
      <w:pPr>
        <w:pStyle w:val="8"/>
        <w:numPr>
          <w:ilvl w:val="0"/>
          <w:numId w:val="208"/>
        </w:numPr>
        <w:rPr>
          <w:color w:val="auto"/>
          <w:highlight w:val="none"/>
        </w:rPr>
      </w:pPr>
      <w:r>
        <w:rPr>
          <w:rFonts w:hint="eastAsia"/>
          <w:color w:val="auto"/>
          <w:highlight w:val="none"/>
        </w:rPr>
        <w:t>从业人员有安全卫生整洁的休息居住条件；</w:t>
      </w:r>
    </w:p>
    <w:p>
      <w:pPr>
        <w:pStyle w:val="8"/>
        <w:numPr>
          <w:ilvl w:val="0"/>
          <w:numId w:val="208"/>
        </w:numPr>
        <w:rPr>
          <w:color w:val="auto"/>
          <w:highlight w:val="none"/>
        </w:rPr>
      </w:pPr>
      <w:r>
        <w:rPr>
          <w:rFonts w:hint="eastAsia"/>
          <w:color w:val="auto"/>
          <w:highlight w:val="none"/>
        </w:rPr>
        <w:t>从业人员享受现场医疗急救服务及有关保险待遇；</w:t>
      </w:r>
    </w:p>
    <w:p>
      <w:pPr>
        <w:pStyle w:val="8"/>
        <w:numPr>
          <w:ilvl w:val="0"/>
          <w:numId w:val="208"/>
        </w:numPr>
        <w:rPr>
          <w:color w:val="auto"/>
          <w:highlight w:val="none"/>
        </w:rPr>
      </w:pPr>
      <w:r>
        <w:rPr>
          <w:rFonts w:hint="eastAsia"/>
          <w:color w:val="auto"/>
          <w:highlight w:val="none"/>
        </w:rPr>
        <w:t>严禁以现金、物品等任何形式替代发放劳保用品或从工资福利中扣除劳保费用；</w:t>
      </w:r>
    </w:p>
    <w:p>
      <w:pPr>
        <w:pStyle w:val="8"/>
        <w:numPr>
          <w:ilvl w:val="0"/>
          <w:numId w:val="208"/>
        </w:numPr>
        <w:rPr>
          <w:color w:val="auto"/>
          <w:highlight w:val="none"/>
        </w:rPr>
      </w:pPr>
      <w:r>
        <w:rPr>
          <w:rFonts w:hint="eastAsia"/>
          <w:color w:val="auto"/>
          <w:highlight w:val="none"/>
        </w:rPr>
        <w:t>其他法律法规规定的从业人员具备的权利与义务。</w:t>
      </w:r>
    </w:p>
    <w:p>
      <w:pPr>
        <w:pStyle w:val="4"/>
        <w:rPr>
          <w:color w:val="auto"/>
          <w:highlight w:val="none"/>
        </w:rPr>
      </w:pPr>
      <w:bookmarkStart w:id="77" w:name="_Toc122371867"/>
      <w:r>
        <w:rPr>
          <w:rFonts w:hint="eastAsia"/>
          <w:color w:val="auto"/>
          <w:highlight w:val="none"/>
        </w:rPr>
        <w:t>安全培训教育的要求</w:t>
      </w:r>
      <w:bookmarkEnd w:id="77"/>
    </w:p>
    <w:p>
      <w:pPr>
        <w:pStyle w:val="5"/>
        <w:rPr>
          <w:color w:val="auto"/>
          <w:highlight w:val="none"/>
        </w:rPr>
      </w:pPr>
      <w:r>
        <w:rPr>
          <w:rFonts w:hint="eastAsia"/>
          <w:color w:val="auto"/>
          <w:highlight w:val="none"/>
        </w:rPr>
        <w:t>安全培训教育的原则为</w:t>
      </w:r>
      <w:r>
        <w:rPr>
          <w:color w:val="auto"/>
          <w:highlight w:val="none"/>
        </w:rPr>
        <w:t>“</w:t>
      </w:r>
      <w:r>
        <w:rPr>
          <w:rFonts w:hint="eastAsia"/>
          <w:color w:val="auto"/>
          <w:highlight w:val="none"/>
        </w:rPr>
        <w:t>不教育不入场，不交底不上岗</w:t>
      </w:r>
      <w:r>
        <w:rPr>
          <w:color w:val="auto"/>
          <w:highlight w:val="none"/>
        </w:rPr>
        <w:t>”</w:t>
      </w:r>
      <w:r>
        <w:rPr>
          <w:rFonts w:hint="eastAsia"/>
          <w:color w:val="auto"/>
          <w:highlight w:val="none"/>
        </w:rPr>
        <w:t>。</w:t>
      </w:r>
    </w:p>
    <w:p>
      <w:pPr>
        <w:pStyle w:val="5"/>
        <w:rPr>
          <w:color w:val="auto"/>
          <w:highlight w:val="none"/>
        </w:rPr>
      </w:pPr>
      <w:r>
        <w:rPr>
          <w:rFonts w:hint="eastAsia"/>
          <w:color w:val="auto"/>
          <w:highlight w:val="none"/>
        </w:rPr>
        <w:t>专业工程承包人安全培训教育至少包括但不限于</w:t>
      </w:r>
      <w:r>
        <w:rPr>
          <w:color w:val="auto"/>
          <w:highlight w:val="none"/>
        </w:rPr>
        <w:t>:</w:t>
      </w:r>
    </w:p>
    <w:p>
      <w:pPr>
        <w:pStyle w:val="8"/>
        <w:numPr>
          <w:ilvl w:val="0"/>
          <w:numId w:val="209"/>
        </w:numPr>
        <w:rPr>
          <w:color w:val="auto"/>
          <w:highlight w:val="none"/>
        </w:rPr>
      </w:pPr>
      <w:r>
        <w:rPr>
          <w:rFonts w:hint="eastAsia"/>
          <w:color w:val="auto"/>
          <w:highlight w:val="none"/>
        </w:rPr>
        <w:t>入场安全培训教育。</w:t>
      </w:r>
    </w:p>
    <w:p>
      <w:pPr>
        <w:pStyle w:val="8"/>
        <w:numPr>
          <w:ilvl w:val="0"/>
          <w:numId w:val="209"/>
        </w:numPr>
        <w:rPr>
          <w:color w:val="auto"/>
          <w:highlight w:val="none"/>
        </w:rPr>
      </w:pPr>
      <w:r>
        <w:rPr>
          <w:rFonts w:hint="eastAsia"/>
          <w:color w:val="auto"/>
          <w:highlight w:val="none"/>
        </w:rPr>
        <w:t>三级安全培训教育。</w:t>
      </w:r>
    </w:p>
    <w:p>
      <w:pPr>
        <w:pStyle w:val="8"/>
        <w:numPr>
          <w:ilvl w:val="0"/>
          <w:numId w:val="209"/>
        </w:numPr>
        <w:rPr>
          <w:color w:val="auto"/>
          <w:highlight w:val="none"/>
        </w:rPr>
      </w:pPr>
      <w:r>
        <w:rPr>
          <w:rFonts w:hint="eastAsia"/>
          <w:color w:val="auto"/>
          <w:highlight w:val="none"/>
        </w:rPr>
        <w:t>专项安全培训教育。</w:t>
      </w:r>
    </w:p>
    <w:p>
      <w:pPr>
        <w:pStyle w:val="8"/>
        <w:numPr>
          <w:ilvl w:val="0"/>
          <w:numId w:val="209"/>
        </w:numPr>
        <w:rPr>
          <w:color w:val="auto"/>
          <w:highlight w:val="none"/>
        </w:rPr>
      </w:pPr>
      <w:r>
        <w:rPr>
          <w:rFonts w:hint="eastAsia"/>
          <w:color w:val="auto"/>
          <w:highlight w:val="none"/>
        </w:rPr>
        <w:t>转岗、复岗安全培训教育。</w:t>
      </w:r>
    </w:p>
    <w:p>
      <w:pPr>
        <w:pStyle w:val="8"/>
        <w:numPr>
          <w:ilvl w:val="0"/>
          <w:numId w:val="209"/>
        </w:numPr>
        <w:rPr>
          <w:color w:val="auto"/>
          <w:highlight w:val="none"/>
        </w:rPr>
      </w:pPr>
      <w:r>
        <w:rPr>
          <w:rFonts w:hint="eastAsia"/>
          <w:color w:val="auto"/>
          <w:highlight w:val="none"/>
        </w:rPr>
        <w:t>班前安全培训教育等。</w:t>
      </w:r>
    </w:p>
    <w:p>
      <w:pPr>
        <w:pStyle w:val="5"/>
        <w:rPr>
          <w:color w:val="auto"/>
          <w:highlight w:val="none"/>
        </w:rPr>
      </w:pPr>
      <w:r>
        <w:rPr>
          <w:rFonts w:hint="eastAsia"/>
          <w:color w:val="auto"/>
          <w:highlight w:val="none"/>
        </w:rPr>
        <w:t>安全培训教育的内容、学时、效果等应满足国家有关规定，并做好档案记录。</w:t>
      </w:r>
    </w:p>
    <w:p>
      <w:pPr>
        <w:pStyle w:val="5"/>
        <w:rPr>
          <w:color w:val="auto"/>
          <w:highlight w:val="none"/>
        </w:rPr>
      </w:pPr>
      <w:r>
        <w:rPr>
          <w:rFonts w:hint="eastAsia"/>
          <w:color w:val="auto"/>
          <w:highlight w:val="none"/>
        </w:rPr>
        <w:t>专业工程承包人必须保障安全培训教育的效果，使从业人员安全意识、安全知识和技能与所从事的岗位、工作内容相适应。</w:t>
      </w:r>
    </w:p>
    <w:p>
      <w:pPr>
        <w:pStyle w:val="5"/>
        <w:rPr>
          <w:color w:val="auto"/>
          <w:highlight w:val="none"/>
        </w:rPr>
      </w:pPr>
      <w:r>
        <w:rPr>
          <w:rFonts w:hint="eastAsia"/>
          <w:color w:val="auto"/>
          <w:highlight w:val="none"/>
        </w:rPr>
        <w:t>专业工程承包人必须建立分级安全技术交底机制，严格实施安全技术交底工作，严禁未经交底即安排施工作业。</w:t>
      </w:r>
    </w:p>
    <w:p>
      <w:pPr>
        <w:pStyle w:val="4"/>
        <w:rPr>
          <w:color w:val="auto"/>
          <w:highlight w:val="none"/>
        </w:rPr>
      </w:pPr>
      <w:bookmarkStart w:id="78" w:name="_Toc122371868"/>
      <w:r>
        <w:rPr>
          <w:rFonts w:hint="eastAsia"/>
          <w:color w:val="auto"/>
          <w:highlight w:val="none"/>
        </w:rPr>
        <w:t>风险管理与事故预防</w:t>
      </w:r>
      <w:bookmarkEnd w:id="78"/>
    </w:p>
    <w:p>
      <w:pPr>
        <w:pStyle w:val="5"/>
        <w:rPr>
          <w:color w:val="auto"/>
          <w:highlight w:val="none"/>
        </w:rPr>
      </w:pPr>
      <w:r>
        <w:rPr>
          <w:rFonts w:hint="eastAsia"/>
          <w:color w:val="auto"/>
          <w:highlight w:val="none"/>
        </w:rPr>
        <w:t>专业工程承包人必须辨识本工程在</w:t>
      </w:r>
      <w:r>
        <w:rPr>
          <w:color w:val="auto"/>
          <w:highlight w:val="none"/>
        </w:rPr>
        <w:t xml:space="preserve"> “</w:t>
      </w:r>
      <w:r>
        <w:rPr>
          <w:rFonts w:hint="eastAsia"/>
          <w:color w:val="auto"/>
          <w:highlight w:val="none"/>
        </w:rPr>
        <w:t>人、机、料、法、环</w:t>
      </w:r>
      <w:r>
        <w:rPr>
          <w:color w:val="auto"/>
          <w:highlight w:val="none"/>
        </w:rPr>
        <w:t>”</w:t>
      </w:r>
      <w:r>
        <w:rPr>
          <w:rFonts w:hint="eastAsia"/>
          <w:color w:val="auto"/>
          <w:highlight w:val="none"/>
        </w:rPr>
        <w:t>各方面的安全风险，并形成</w:t>
      </w:r>
      <w:r>
        <w:rPr>
          <w:color w:val="auto"/>
          <w:highlight w:val="none"/>
        </w:rPr>
        <w:t>“</w:t>
      </w:r>
      <w:r>
        <w:rPr>
          <w:rFonts w:hint="eastAsia"/>
          <w:color w:val="auto"/>
          <w:highlight w:val="none"/>
        </w:rPr>
        <w:t>工程安全风险分析报告</w:t>
      </w:r>
      <w:r>
        <w:rPr>
          <w:color w:val="auto"/>
          <w:highlight w:val="none"/>
        </w:rPr>
        <w:t>”</w:t>
      </w:r>
      <w:r>
        <w:rPr>
          <w:rFonts w:hint="eastAsia"/>
          <w:color w:val="auto"/>
          <w:highlight w:val="none"/>
        </w:rPr>
        <w:t>，报告应包括但不限于以下内容</w:t>
      </w:r>
      <w:r>
        <w:rPr>
          <w:color w:val="auto"/>
          <w:highlight w:val="none"/>
        </w:rPr>
        <w:t>:</w:t>
      </w:r>
    </w:p>
    <w:p>
      <w:pPr>
        <w:pStyle w:val="5"/>
        <w:rPr>
          <w:color w:val="auto"/>
          <w:highlight w:val="none"/>
        </w:rPr>
      </w:pPr>
      <w:r>
        <w:rPr>
          <w:rFonts w:hint="eastAsia"/>
          <w:color w:val="auto"/>
          <w:highlight w:val="none"/>
        </w:rPr>
        <w:t>高风险作业清单及存在的安全风险分析。</w:t>
      </w:r>
    </w:p>
    <w:p>
      <w:pPr>
        <w:pStyle w:val="5"/>
        <w:rPr>
          <w:color w:val="auto"/>
          <w:highlight w:val="none"/>
        </w:rPr>
      </w:pPr>
      <w:r>
        <w:rPr>
          <w:rFonts w:hint="eastAsia"/>
          <w:color w:val="auto"/>
          <w:highlight w:val="none"/>
        </w:rPr>
        <w:t>主要施工机械清单与存在的安全风险分析。</w:t>
      </w:r>
    </w:p>
    <w:p>
      <w:pPr>
        <w:pStyle w:val="5"/>
        <w:rPr>
          <w:color w:val="auto"/>
          <w:highlight w:val="none"/>
        </w:rPr>
      </w:pPr>
      <w:r>
        <w:rPr>
          <w:rFonts w:hint="eastAsia"/>
          <w:color w:val="auto"/>
          <w:highlight w:val="none"/>
        </w:rPr>
        <w:t>重大危险源清单及存在的安全风险分析。</w:t>
      </w:r>
    </w:p>
    <w:p>
      <w:pPr>
        <w:pStyle w:val="5"/>
        <w:rPr>
          <w:color w:val="auto"/>
          <w:highlight w:val="none"/>
        </w:rPr>
      </w:pPr>
      <w:r>
        <w:rPr>
          <w:rFonts w:hint="eastAsia"/>
          <w:color w:val="auto"/>
          <w:highlight w:val="none"/>
        </w:rPr>
        <w:t>主要火灾风险分析。</w:t>
      </w:r>
    </w:p>
    <w:p>
      <w:pPr>
        <w:pStyle w:val="5"/>
        <w:rPr>
          <w:color w:val="auto"/>
          <w:highlight w:val="none"/>
        </w:rPr>
      </w:pPr>
      <w:r>
        <w:rPr>
          <w:rFonts w:hint="eastAsia"/>
          <w:color w:val="auto"/>
          <w:highlight w:val="none"/>
        </w:rPr>
        <w:t>主要自然灾害风险分析等。</w:t>
      </w:r>
    </w:p>
    <w:p>
      <w:pPr>
        <w:pStyle w:val="5"/>
        <w:rPr>
          <w:color w:val="auto"/>
          <w:highlight w:val="none"/>
        </w:rPr>
      </w:pPr>
      <w:r>
        <w:rPr>
          <w:rFonts w:hint="eastAsia"/>
          <w:color w:val="auto"/>
          <w:highlight w:val="none"/>
        </w:rPr>
        <w:t>专业工程承包人必须针对所辨识的各类安全风险制定针对性的事故预防措施，并在进场后</w:t>
      </w:r>
      <w:r>
        <w:rPr>
          <w:color w:val="auto"/>
          <w:highlight w:val="none"/>
        </w:rPr>
        <w:t xml:space="preserve"> 30 </w:t>
      </w:r>
      <w:r>
        <w:rPr>
          <w:rFonts w:hint="eastAsia"/>
          <w:color w:val="auto"/>
          <w:highlight w:val="none"/>
        </w:rPr>
        <w:t>个工作日内将</w:t>
      </w:r>
      <w:r>
        <w:rPr>
          <w:color w:val="auto"/>
          <w:highlight w:val="none"/>
        </w:rPr>
        <w:t>“</w:t>
      </w:r>
      <w:r>
        <w:rPr>
          <w:rFonts w:hint="eastAsia"/>
          <w:color w:val="auto"/>
          <w:highlight w:val="none"/>
        </w:rPr>
        <w:t>工程安全风险分析报告</w:t>
      </w:r>
      <w:r>
        <w:rPr>
          <w:color w:val="auto"/>
          <w:highlight w:val="none"/>
        </w:rPr>
        <w:t>”</w:t>
      </w:r>
      <w:r>
        <w:rPr>
          <w:rFonts w:hint="eastAsia"/>
          <w:color w:val="auto"/>
          <w:highlight w:val="none"/>
        </w:rPr>
        <w:t>及针对性的预防措施一并提交监理人和发包人。</w:t>
      </w:r>
    </w:p>
    <w:p>
      <w:pPr>
        <w:pStyle w:val="5"/>
        <w:rPr>
          <w:color w:val="auto"/>
          <w:highlight w:val="none"/>
        </w:rPr>
      </w:pPr>
      <w:r>
        <w:rPr>
          <w:rFonts w:hint="eastAsia"/>
          <w:color w:val="auto"/>
          <w:highlight w:val="none"/>
        </w:rPr>
        <w:t>专业工程承包人必须结合有关科学的风险评价分析方法，对分部分项工程或施工区域每月进行风险定量与定性分析评价，形成评价报告报监理人和发包人备案。</w:t>
      </w:r>
    </w:p>
    <w:p>
      <w:pPr>
        <w:pStyle w:val="5"/>
        <w:rPr>
          <w:color w:val="auto"/>
          <w:highlight w:val="none"/>
        </w:rPr>
      </w:pPr>
      <w:r>
        <w:rPr>
          <w:rFonts w:hint="eastAsia"/>
          <w:color w:val="auto"/>
          <w:highlight w:val="none"/>
        </w:rPr>
        <w:t>专业工程承包人必须根据有关规定对高风险作业及危险性较大分部分项工程编制专项的安全方案或措施，并报监理人审查通过后严格落实各项事故预防措施。</w:t>
      </w:r>
    </w:p>
    <w:p>
      <w:pPr>
        <w:pStyle w:val="5"/>
        <w:rPr>
          <w:color w:val="auto"/>
          <w:highlight w:val="none"/>
        </w:rPr>
      </w:pPr>
      <w:r>
        <w:rPr>
          <w:rFonts w:hint="eastAsia"/>
          <w:color w:val="auto"/>
          <w:highlight w:val="none"/>
        </w:rPr>
        <w:t>专业工程承包人必须每月末向发包人提交下月度生产施工计划清单，以便发包人更加针对性的开展有关安全管理工作。</w:t>
      </w:r>
    </w:p>
    <w:p>
      <w:pPr>
        <w:pStyle w:val="5"/>
        <w:rPr>
          <w:color w:val="auto"/>
          <w:highlight w:val="none"/>
        </w:rPr>
      </w:pPr>
      <w:r>
        <w:rPr>
          <w:rFonts w:hint="eastAsia"/>
          <w:color w:val="auto"/>
          <w:highlight w:val="none"/>
        </w:rPr>
        <w:t>专业工程承包人必须根据项目实际施工工艺，结合《华南大区危险性较大分部分项工程安全技术要点》（详见附件）及设计文件中已列出的危险性较大分部分项工程，补充形成危险性较大分部分项工程清单并明确相应的安全管理措施。</w:t>
      </w:r>
    </w:p>
    <w:p>
      <w:pPr>
        <w:pStyle w:val="4"/>
        <w:rPr>
          <w:color w:val="auto"/>
          <w:highlight w:val="none"/>
        </w:rPr>
      </w:pPr>
      <w:bookmarkStart w:id="79" w:name="_Toc122371869"/>
      <w:r>
        <w:rPr>
          <w:color w:val="auto"/>
          <w:highlight w:val="none"/>
        </w:rPr>
        <w:t xml:space="preserve">EHS </w:t>
      </w:r>
      <w:r>
        <w:rPr>
          <w:rFonts w:hint="eastAsia"/>
          <w:color w:val="auto"/>
          <w:highlight w:val="none"/>
        </w:rPr>
        <w:t>信息管理要求</w:t>
      </w:r>
      <w:bookmarkEnd w:id="79"/>
    </w:p>
    <w:p>
      <w:pPr>
        <w:pStyle w:val="5"/>
        <w:rPr>
          <w:color w:val="auto"/>
          <w:highlight w:val="none"/>
        </w:rPr>
      </w:pPr>
      <w:r>
        <w:rPr>
          <w:rFonts w:hint="eastAsia"/>
          <w:color w:val="auto"/>
          <w:highlight w:val="none"/>
        </w:rPr>
        <w:t>专业工程承包人必须建立健全</w:t>
      </w:r>
      <w:r>
        <w:rPr>
          <w:color w:val="auto"/>
          <w:highlight w:val="none"/>
        </w:rPr>
        <w:t xml:space="preserve"> EHS </w:t>
      </w:r>
      <w:r>
        <w:rPr>
          <w:rFonts w:hint="eastAsia"/>
          <w:color w:val="auto"/>
          <w:highlight w:val="none"/>
        </w:rPr>
        <w:t>信息管理制度，与发包人、监理人建立良好的信息传递机制，保障</w:t>
      </w:r>
      <w:r>
        <w:rPr>
          <w:color w:val="auto"/>
          <w:highlight w:val="none"/>
        </w:rPr>
        <w:t xml:space="preserve"> EHS </w:t>
      </w:r>
      <w:r>
        <w:rPr>
          <w:rFonts w:hint="eastAsia"/>
          <w:color w:val="auto"/>
          <w:highlight w:val="none"/>
        </w:rPr>
        <w:t>信息的良好获取与传达。</w:t>
      </w:r>
    </w:p>
    <w:p>
      <w:pPr>
        <w:pStyle w:val="5"/>
        <w:rPr>
          <w:color w:val="auto"/>
          <w:highlight w:val="none"/>
        </w:rPr>
      </w:pPr>
      <w:r>
        <w:rPr>
          <w:rFonts w:hint="eastAsia"/>
          <w:color w:val="auto"/>
          <w:highlight w:val="none"/>
        </w:rPr>
        <w:t>专业工程承包人必须严格按照发包人、监理人的有关要求，及时、如实的上报有关</w:t>
      </w:r>
      <w:r>
        <w:rPr>
          <w:color w:val="auto"/>
          <w:highlight w:val="none"/>
        </w:rPr>
        <w:t xml:space="preserve"> EHS </w:t>
      </w:r>
      <w:r>
        <w:rPr>
          <w:rFonts w:hint="eastAsia"/>
          <w:color w:val="auto"/>
          <w:highlight w:val="none"/>
        </w:rPr>
        <w:t>信息文件，并对文件的质量负责，包括但不限于安全隐患整改回复、安全事故事件报告、安全工作总结、安全工作计划、</w:t>
      </w:r>
      <w:r>
        <w:rPr>
          <w:color w:val="auto"/>
          <w:highlight w:val="none"/>
        </w:rPr>
        <w:t xml:space="preserve">EHS </w:t>
      </w:r>
      <w:r>
        <w:rPr>
          <w:rFonts w:hint="eastAsia"/>
          <w:color w:val="auto"/>
          <w:highlight w:val="none"/>
        </w:rPr>
        <w:t>管理月报、安全方案与措施、特种设备有关资料、特种作业人员资质证件等。</w:t>
      </w:r>
    </w:p>
    <w:p>
      <w:pPr>
        <w:pStyle w:val="4"/>
        <w:rPr>
          <w:color w:val="auto"/>
          <w:highlight w:val="none"/>
        </w:rPr>
      </w:pPr>
      <w:bookmarkStart w:id="80" w:name="_Toc122371870"/>
      <w:r>
        <w:rPr>
          <w:rFonts w:hint="eastAsia"/>
          <w:color w:val="auto"/>
          <w:highlight w:val="none"/>
        </w:rPr>
        <w:t>扬尘噪声污染管理要求</w:t>
      </w:r>
      <w:bookmarkEnd w:id="80"/>
    </w:p>
    <w:p>
      <w:pPr>
        <w:pStyle w:val="5"/>
        <w:rPr>
          <w:color w:val="auto"/>
          <w:highlight w:val="none"/>
        </w:rPr>
      </w:pPr>
      <w:r>
        <w:rPr>
          <w:rFonts w:hint="eastAsia"/>
          <w:color w:val="auto"/>
          <w:highlight w:val="none"/>
        </w:rPr>
        <w:t>基本要求</w:t>
      </w:r>
    </w:p>
    <w:p>
      <w:pPr>
        <w:pStyle w:val="8"/>
        <w:numPr>
          <w:ilvl w:val="0"/>
          <w:numId w:val="210"/>
        </w:numPr>
        <w:rPr>
          <w:color w:val="auto"/>
          <w:highlight w:val="none"/>
        </w:rPr>
      </w:pPr>
      <w:r>
        <w:rPr>
          <w:rFonts w:hint="eastAsia"/>
          <w:color w:val="auto"/>
          <w:highlight w:val="none"/>
        </w:rPr>
        <w:t>扬尘噪声污染防治工作应坚持“预防为主，综合治理”的方针，做到方案前置，管理和技术手段并用。</w:t>
      </w:r>
    </w:p>
    <w:p>
      <w:pPr>
        <w:pStyle w:val="8"/>
        <w:numPr>
          <w:ilvl w:val="0"/>
          <w:numId w:val="210"/>
        </w:numPr>
        <w:rPr>
          <w:color w:val="auto"/>
          <w:highlight w:val="none"/>
        </w:rPr>
      </w:pPr>
      <w:r>
        <w:rPr>
          <w:rFonts w:hint="eastAsia"/>
          <w:color w:val="auto"/>
          <w:highlight w:val="none"/>
        </w:rPr>
        <w:t>在进行项目</w:t>
      </w:r>
      <w:r>
        <w:rPr>
          <w:color w:val="auto"/>
          <w:highlight w:val="none"/>
        </w:rPr>
        <w:t>EHS</w:t>
      </w:r>
      <w:r>
        <w:rPr>
          <w:rFonts w:hint="eastAsia"/>
          <w:color w:val="auto"/>
          <w:highlight w:val="none"/>
        </w:rPr>
        <w:t>管理实施策划中，必须包括环境管理目标和措施，重点是扬尘噪声污染管理目标和措施，并纳入到日常</w:t>
      </w:r>
      <w:r>
        <w:rPr>
          <w:color w:val="auto"/>
          <w:highlight w:val="none"/>
        </w:rPr>
        <w:t>EHS</w:t>
      </w:r>
      <w:r>
        <w:rPr>
          <w:rFonts w:hint="eastAsia"/>
          <w:color w:val="auto"/>
          <w:highlight w:val="none"/>
        </w:rPr>
        <w:t>管理。</w:t>
      </w:r>
    </w:p>
    <w:p>
      <w:pPr>
        <w:pStyle w:val="8"/>
        <w:numPr>
          <w:ilvl w:val="0"/>
          <w:numId w:val="210"/>
        </w:numPr>
        <w:rPr>
          <w:color w:val="auto"/>
          <w:highlight w:val="none"/>
        </w:rPr>
      </w:pPr>
      <w:r>
        <w:rPr>
          <w:rFonts w:hint="eastAsia"/>
          <w:color w:val="auto"/>
          <w:highlight w:val="none"/>
        </w:rPr>
        <w:t>严格执行《中华人民共和国环境噪声污染防治法》相关要求，禁止夜间（当日</w:t>
      </w:r>
      <w:r>
        <w:rPr>
          <w:color w:val="auto"/>
          <w:highlight w:val="none"/>
        </w:rPr>
        <w:t>22</w:t>
      </w:r>
      <w:r>
        <w:rPr>
          <w:rFonts w:hint="eastAsia"/>
          <w:color w:val="auto"/>
          <w:highlight w:val="none"/>
        </w:rPr>
        <w:t>时至次日</w:t>
      </w:r>
      <w:r>
        <w:rPr>
          <w:color w:val="auto"/>
          <w:highlight w:val="none"/>
        </w:rPr>
        <w:t>6</w:t>
      </w:r>
      <w:r>
        <w:rPr>
          <w:rFonts w:hint="eastAsia"/>
          <w:color w:val="auto"/>
          <w:highlight w:val="none"/>
        </w:rPr>
        <w:t>时）在城市噪声敏感建筑物集中区域内开展产生环境噪声污染的施工作业。</w:t>
      </w:r>
    </w:p>
    <w:p>
      <w:pPr>
        <w:pStyle w:val="5"/>
        <w:rPr>
          <w:color w:val="auto"/>
          <w:highlight w:val="none"/>
        </w:rPr>
      </w:pPr>
      <w:r>
        <w:rPr>
          <w:rFonts w:hint="eastAsia"/>
          <w:color w:val="auto"/>
          <w:highlight w:val="none"/>
        </w:rPr>
        <w:t>扬尘污染防治要求</w:t>
      </w:r>
    </w:p>
    <w:p>
      <w:pPr>
        <w:pStyle w:val="8"/>
        <w:numPr>
          <w:ilvl w:val="0"/>
          <w:numId w:val="211"/>
        </w:numPr>
        <w:rPr>
          <w:color w:val="auto"/>
          <w:highlight w:val="none"/>
        </w:rPr>
      </w:pPr>
      <w:r>
        <w:rPr>
          <w:rFonts w:hint="eastAsia"/>
          <w:color w:val="auto"/>
          <w:highlight w:val="none"/>
        </w:rPr>
        <w:t>建立健全扬尘污染防治责任制。</w:t>
      </w:r>
    </w:p>
    <w:p>
      <w:pPr>
        <w:pStyle w:val="8"/>
        <w:numPr>
          <w:ilvl w:val="0"/>
          <w:numId w:val="211"/>
        </w:numPr>
        <w:rPr>
          <w:color w:val="auto"/>
          <w:highlight w:val="none"/>
        </w:rPr>
      </w:pPr>
      <w:r>
        <w:rPr>
          <w:rFonts w:hint="eastAsia"/>
          <w:color w:val="auto"/>
          <w:highlight w:val="none"/>
        </w:rPr>
        <w:t>制定有针对性的扬尘污染防治实施方案，采取遮盖、围挡、密闭、绿化、喷洒、冲洗等防尘降尘措施。</w:t>
      </w:r>
    </w:p>
    <w:p>
      <w:pPr>
        <w:pStyle w:val="8"/>
        <w:numPr>
          <w:ilvl w:val="0"/>
          <w:numId w:val="211"/>
        </w:numPr>
        <w:rPr>
          <w:color w:val="auto"/>
          <w:highlight w:val="none"/>
        </w:rPr>
      </w:pPr>
      <w:r>
        <w:rPr>
          <w:rFonts w:hint="eastAsia"/>
          <w:color w:val="auto"/>
          <w:highlight w:val="none"/>
        </w:rPr>
        <w:t>编制重污染天气应急预案，做好与当地政府预案衔接，积极配合当地政府做好重污染天气应急工作。</w:t>
      </w:r>
    </w:p>
    <w:p>
      <w:pPr>
        <w:pStyle w:val="8"/>
        <w:numPr>
          <w:ilvl w:val="0"/>
          <w:numId w:val="211"/>
        </w:numPr>
        <w:rPr>
          <w:color w:val="auto"/>
          <w:highlight w:val="none"/>
        </w:rPr>
      </w:pPr>
      <w:r>
        <w:rPr>
          <w:rFonts w:hint="eastAsia"/>
          <w:color w:val="auto"/>
          <w:highlight w:val="none"/>
        </w:rPr>
        <w:t>建筑物内垃圾应采用容器或搭设专用封闭式垃圾道的方式清运，严禁凌空抛掷和焚烧垃圾。</w:t>
      </w:r>
    </w:p>
    <w:p>
      <w:pPr>
        <w:pStyle w:val="8"/>
        <w:numPr>
          <w:ilvl w:val="0"/>
          <w:numId w:val="211"/>
        </w:numPr>
        <w:rPr>
          <w:color w:val="auto"/>
          <w:highlight w:val="none"/>
        </w:rPr>
      </w:pPr>
      <w:r>
        <w:rPr>
          <w:rFonts w:hint="eastAsia"/>
          <w:color w:val="auto"/>
          <w:highlight w:val="none"/>
        </w:rPr>
        <w:t>现场机械设备、车辆的尾气排放应符合国家环保排放标准。</w:t>
      </w:r>
    </w:p>
    <w:p>
      <w:pPr>
        <w:pStyle w:val="8"/>
        <w:numPr>
          <w:ilvl w:val="0"/>
          <w:numId w:val="211"/>
        </w:numPr>
        <w:rPr>
          <w:color w:val="auto"/>
          <w:highlight w:val="none"/>
        </w:rPr>
      </w:pPr>
      <w:r>
        <w:rPr>
          <w:rFonts w:hint="eastAsia"/>
          <w:color w:val="auto"/>
          <w:highlight w:val="none"/>
        </w:rPr>
        <w:t>噪声污染防治要求</w:t>
      </w:r>
    </w:p>
    <w:p>
      <w:pPr>
        <w:pStyle w:val="8"/>
        <w:numPr>
          <w:ilvl w:val="0"/>
          <w:numId w:val="211"/>
        </w:numPr>
        <w:rPr>
          <w:color w:val="auto"/>
          <w:highlight w:val="none"/>
        </w:rPr>
      </w:pPr>
      <w:r>
        <w:rPr>
          <w:rFonts w:hint="eastAsia"/>
          <w:color w:val="auto"/>
          <w:highlight w:val="none"/>
        </w:rPr>
        <w:t>施工场界噪声排放应符合现行《建筑施工场界环境噪声排放标准》规定，对场界噪声排放进行监测、记录和控制。</w:t>
      </w:r>
    </w:p>
    <w:p>
      <w:pPr>
        <w:pStyle w:val="8"/>
        <w:numPr>
          <w:ilvl w:val="0"/>
          <w:numId w:val="211"/>
        </w:numPr>
        <w:rPr>
          <w:color w:val="auto"/>
          <w:highlight w:val="none"/>
        </w:rPr>
      </w:pPr>
      <w:r>
        <w:rPr>
          <w:rFonts w:hint="eastAsia"/>
          <w:color w:val="auto"/>
          <w:highlight w:val="none"/>
        </w:rPr>
        <w:t>在重要节假日、会议、特殊时期（中考、高考），项目部应严格遵守当地政府有关规定，做好噪声污染控制工作。</w:t>
      </w:r>
    </w:p>
    <w:p>
      <w:pPr>
        <w:pStyle w:val="8"/>
        <w:numPr>
          <w:ilvl w:val="0"/>
          <w:numId w:val="211"/>
        </w:numPr>
        <w:rPr>
          <w:color w:val="auto"/>
          <w:highlight w:val="none"/>
        </w:rPr>
      </w:pPr>
      <w:r>
        <w:rPr>
          <w:rFonts w:hint="eastAsia"/>
          <w:color w:val="auto"/>
          <w:highlight w:val="none"/>
        </w:rPr>
        <w:t>加强项目管理，优化施工组织设计及施工方案，杜绝赶工造成的夜间施工噪声扰民现象。</w:t>
      </w:r>
    </w:p>
    <w:p>
      <w:pPr>
        <w:pStyle w:val="8"/>
        <w:numPr>
          <w:ilvl w:val="0"/>
          <w:numId w:val="211"/>
        </w:numPr>
        <w:rPr>
          <w:color w:val="auto"/>
          <w:highlight w:val="none"/>
        </w:rPr>
      </w:pPr>
      <w:r>
        <w:rPr>
          <w:rFonts w:hint="eastAsia"/>
          <w:color w:val="auto"/>
          <w:highlight w:val="none"/>
        </w:rPr>
        <w:t>因施工工艺需要或其他特殊要求必须连续作业时，及时办理夜间施工许可证，提前告知附近居民，并落实增加噪声隔离设施，优化施工工序等降噪措施，确保施工场界夜间环境噪声满足当地标准规定的限制要求。</w:t>
      </w:r>
    </w:p>
    <w:p>
      <w:pPr>
        <w:pStyle w:val="8"/>
        <w:numPr>
          <w:ilvl w:val="0"/>
          <w:numId w:val="211"/>
        </w:numPr>
        <w:rPr>
          <w:color w:val="auto"/>
          <w:highlight w:val="none"/>
        </w:rPr>
      </w:pPr>
      <w:bookmarkStart w:id="81" w:name="_Toc17642066"/>
      <w:r>
        <w:rPr>
          <w:rFonts w:hint="eastAsia"/>
          <w:color w:val="auto"/>
          <w:highlight w:val="none"/>
        </w:rPr>
        <w:t>现场宜选用低噪声、低振动的设备。</w:t>
      </w:r>
      <w:bookmarkEnd w:id="81"/>
      <w:r>
        <w:rPr>
          <w:rFonts w:hint="eastAsia"/>
          <w:color w:val="auto"/>
          <w:highlight w:val="none"/>
        </w:rPr>
        <w:t>电锯、空气压缩机等强噪声设备应采用隔声、吸声材料搭设的防护棚或屏障，并应设置在远离居民区的一侧。</w:t>
      </w:r>
    </w:p>
    <w:p>
      <w:pPr>
        <w:pStyle w:val="8"/>
        <w:numPr>
          <w:ilvl w:val="0"/>
          <w:numId w:val="211"/>
        </w:numPr>
        <w:rPr>
          <w:color w:val="auto"/>
          <w:highlight w:val="none"/>
        </w:rPr>
      </w:pPr>
      <w:r>
        <w:rPr>
          <w:rFonts w:hint="eastAsia"/>
          <w:color w:val="auto"/>
          <w:highlight w:val="none"/>
        </w:rPr>
        <w:t>进入现场的施工车辆禁止鸣笛，物料、设备装卸时应轻拿轻放，减少设备和人为噪声。</w:t>
      </w:r>
    </w:p>
    <w:p>
      <w:pPr>
        <w:pStyle w:val="4"/>
        <w:rPr>
          <w:color w:val="auto"/>
          <w:highlight w:val="none"/>
        </w:rPr>
      </w:pPr>
      <w:bookmarkStart w:id="82" w:name="_Toc122371871"/>
      <w:r>
        <w:rPr>
          <w:rFonts w:hint="eastAsia"/>
          <w:color w:val="auto"/>
          <w:highlight w:val="none"/>
        </w:rPr>
        <w:t>其他</w:t>
      </w:r>
      <w:r>
        <w:rPr>
          <w:color w:val="auto"/>
          <w:highlight w:val="none"/>
        </w:rPr>
        <w:t xml:space="preserve"> EHS </w:t>
      </w:r>
      <w:r>
        <w:rPr>
          <w:rFonts w:hint="eastAsia"/>
          <w:color w:val="auto"/>
          <w:highlight w:val="none"/>
        </w:rPr>
        <w:t>管理要求</w:t>
      </w:r>
      <w:bookmarkEnd w:id="82"/>
    </w:p>
    <w:p>
      <w:pPr>
        <w:pStyle w:val="5"/>
        <w:rPr>
          <w:color w:val="auto"/>
          <w:highlight w:val="none"/>
        </w:rPr>
      </w:pPr>
      <w:r>
        <w:rPr>
          <w:rFonts w:hint="eastAsia"/>
          <w:color w:val="auto"/>
          <w:highlight w:val="none"/>
        </w:rPr>
        <w:t>专业工程承包人除遵守以上要求外，还应遵守政府有关安全生产、环境保护的法律、法规及《华润置地开发项目</w:t>
      </w:r>
      <w:r>
        <w:rPr>
          <w:color w:val="auto"/>
          <w:highlight w:val="none"/>
        </w:rPr>
        <w:t xml:space="preserve"> EHS </w:t>
      </w:r>
      <w:r>
        <w:rPr>
          <w:rFonts w:hint="eastAsia"/>
          <w:color w:val="auto"/>
          <w:highlight w:val="none"/>
        </w:rPr>
        <w:t>管理行为要求》（详见附件</w:t>
      </w:r>
      <w:r>
        <w:rPr>
          <w:color w:val="auto"/>
          <w:highlight w:val="none"/>
        </w:rPr>
        <w:t xml:space="preserve"> B-5</w:t>
      </w:r>
      <w:r>
        <w:rPr>
          <w:rFonts w:hint="eastAsia"/>
          <w:color w:val="auto"/>
          <w:highlight w:val="none"/>
        </w:rPr>
        <w:t>）、《华润置地开发项目</w:t>
      </w:r>
      <w:r>
        <w:rPr>
          <w:color w:val="auto"/>
          <w:highlight w:val="none"/>
        </w:rPr>
        <w:t xml:space="preserve"> EHS </w:t>
      </w:r>
      <w:r>
        <w:rPr>
          <w:rFonts w:hint="eastAsia"/>
          <w:color w:val="auto"/>
          <w:highlight w:val="none"/>
        </w:rPr>
        <w:t>管理状态要求》（详见附件</w:t>
      </w:r>
      <w:r>
        <w:rPr>
          <w:color w:val="auto"/>
          <w:highlight w:val="none"/>
        </w:rPr>
        <w:t xml:space="preserve"> B-6</w:t>
      </w:r>
      <w:r>
        <w:rPr>
          <w:rFonts w:hint="eastAsia"/>
          <w:color w:val="auto"/>
          <w:highlight w:val="none"/>
        </w:rPr>
        <w:t>）。</w:t>
      </w:r>
    </w:p>
    <w:p>
      <w:pPr>
        <w:pStyle w:val="5"/>
        <w:numPr>
          <w:ilvl w:val="0"/>
          <w:numId w:val="0"/>
        </w:numPr>
        <w:ind w:left="1043" w:hanging="607"/>
        <w:rPr>
          <w:rFonts w:ascii="Times New Roman" w:hAnsi="Times New Roman" w:cs="Times New Roman"/>
          <w:color w:val="auto"/>
          <w:highlight w:val="none"/>
          <w:u w:val="single"/>
          <w:lang w:eastAsia="zh-CN"/>
        </w:rPr>
      </w:pPr>
    </w:p>
    <w:p>
      <w:pPr>
        <w:snapToGrid w:val="0"/>
        <w:spacing w:before="120" w:beforeLines="50" w:after="120" w:afterLines="50"/>
        <w:rPr>
          <w:rFonts w:ascii="Times New Roman" w:hAnsi="Times New Roman" w:cs="Times New Roman"/>
          <w:color w:val="auto"/>
          <w:highlight w:val="none"/>
          <w:u w:val="single"/>
          <w:lang w:eastAsia="zh-CN"/>
        </w:rPr>
      </w:pPr>
    </w:p>
    <w:p>
      <w:pPr>
        <w:pStyle w:val="3"/>
        <w:rPr>
          <w:color w:val="auto"/>
          <w:highlight w:val="none"/>
        </w:rPr>
      </w:pPr>
      <w:bookmarkStart w:id="83" w:name="_Toc122371872"/>
      <w:r>
        <w:rPr>
          <w:rFonts w:hint="eastAsia"/>
          <w:color w:val="auto"/>
          <w:highlight w:val="none"/>
        </w:rPr>
        <w:t>工程主要材料的选用</w:t>
      </w:r>
      <w:bookmarkEnd w:id="83"/>
    </w:p>
    <w:p>
      <w:pPr>
        <w:pStyle w:val="4"/>
        <w:rPr>
          <w:color w:val="auto"/>
          <w:highlight w:val="none"/>
        </w:rPr>
      </w:pPr>
      <w:bookmarkStart w:id="84" w:name="_Toc122371873"/>
      <w:r>
        <w:rPr>
          <w:rFonts w:hint="eastAsia"/>
          <w:color w:val="auto"/>
          <w:highlight w:val="none"/>
        </w:rPr>
        <w:t>工程承包范围内材料采购的说明</w:t>
      </w:r>
      <w:bookmarkEnd w:id="84"/>
    </w:p>
    <w:p>
      <w:pPr>
        <w:pStyle w:val="5"/>
        <w:rPr>
          <w:color w:val="auto"/>
          <w:highlight w:val="none"/>
        </w:rPr>
      </w:pPr>
      <w:bookmarkStart w:id="85" w:name="_Toc17642072"/>
      <w:r>
        <w:rPr>
          <w:rFonts w:hint="eastAsia"/>
          <w:color w:val="auto"/>
          <w:highlight w:val="none"/>
        </w:rPr>
        <w:t>本篇发包人为了确保工程的质量和品质，限定了施工过程中所需采购的主要材料参考品牌，以及技术规格或型号。投标人应充分理解本篇的要求，并结合招标设计图纸对材料的技术要求，在投标报价时应充分考虑材料的市场价位。</w:t>
      </w:r>
      <w:bookmarkEnd w:id="85"/>
      <w:bookmarkStart w:id="86" w:name="_Toc17642073"/>
      <w:r>
        <w:rPr>
          <w:rFonts w:hint="eastAsia"/>
          <w:color w:val="auto"/>
          <w:highlight w:val="none"/>
        </w:rPr>
        <w:t>中标后不得因材料涨价等原因拖延采购或以次充好，也不能因设计变更导致材料调配而拖延采购，由此导致的工期和质量损失，防护工程承包方必须进行相应的赔偿，并赔偿由此造成的发包人、总承包方和其它专业承包方的一切相关损失，同时发包人还对防护工程承包方进行罚款处理。</w:t>
      </w:r>
    </w:p>
    <w:p>
      <w:pPr>
        <w:pStyle w:val="5"/>
        <w:rPr>
          <w:color w:val="auto"/>
          <w:highlight w:val="none"/>
        </w:rPr>
      </w:pPr>
      <w:r>
        <w:rPr>
          <w:rFonts w:hint="eastAsia"/>
          <w:color w:val="auto"/>
          <w:highlight w:val="none"/>
        </w:rPr>
        <w:t>工程承包方采购参考品牌材料时，应提交监理及发包人审核认可；</w:t>
      </w:r>
      <w:bookmarkEnd w:id="86"/>
      <w:r>
        <w:rPr>
          <w:rFonts w:hint="eastAsia"/>
          <w:color w:val="auto"/>
          <w:highlight w:val="none"/>
        </w:rPr>
        <w:t>由承包方自行采购（非参考品牌范围）的材料也必须按招标文件及合同的相关要求报批，监理和发包人审核通过后方可使用。</w:t>
      </w:r>
    </w:p>
    <w:p>
      <w:pPr>
        <w:pStyle w:val="5"/>
        <w:rPr>
          <w:color w:val="auto"/>
          <w:highlight w:val="none"/>
        </w:rPr>
      </w:pPr>
      <w:r>
        <w:rPr>
          <w:rFonts w:hint="eastAsia"/>
          <w:color w:val="auto"/>
          <w:highlight w:val="none"/>
        </w:rPr>
        <w:t>工程承包方须对所使用的所有材料的品质、供应时间、数量等全面负责。</w:t>
      </w:r>
    </w:p>
    <w:p>
      <w:pPr>
        <w:pStyle w:val="5"/>
        <w:rPr>
          <w:color w:val="auto"/>
          <w:highlight w:val="none"/>
        </w:rPr>
      </w:pPr>
      <w:r>
        <w:rPr>
          <w:rFonts w:hint="eastAsia"/>
          <w:color w:val="auto"/>
          <w:highlight w:val="none"/>
        </w:rPr>
        <w:t>工程承包方应编制材料采购计划报总承包方、监理、发包人审核，须满足施工进度计划和工程施工总进度计划要求。</w:t>
      </w:r>
    </w:p>
    <w:p>
      <w:pPr>
        <w:pStyle w:val="5"/>
        <w:rPr>
          <w:color w:val="auto"/>
          <w:sz w:val="21"/>
          <w:szCs w:val="21"/>
          <w:highlight w:val="none"/>
        </w:rPr>
      </w:pPr>
      <w:bookmarkStart w:id="87" w:name="_Toc17642076"/>
      <w:r>
        <w:rPr>
          <w:rFonts w:hint="eastAsia"/>
          <w:color w:val="auto"/>
          <w:highlight w:val="none"/>
        </w:rPr>
        <w:t>工程承包方对</w:t>
      </w:r>
      <w:r>
        <w:rPr>
          <w:rFonts w:hint="eastAsia"/>
          <w:color w:val="auto"/>
          <w:sz w:val="21"/>
          <w:szCs w:val="21"/>
          <w:highlight w:val="none"/>
        </w:rPr>
        <w:t>采购的产品和原材料须按照规范进行检测、检验或试验，并提供合格的检测报告，由此而产生的费用应被视作已包含在合同总价中。</w:t>
      </w:r>
      <w:bookmarkEnd w:id="87"/>
      <w:r>
        <w:rPr>
          <w:rFonts w:hint="eastAsia"/>
          <w:color w:val="auto"/>
          <w:sz w:val="21"/>
          <w:szCs w:val="21"/>
          <w:highlight w:val="none"/>
        </w:rPr>
        <w:t>凡使用了未经发包人认可的材料，不论该产品和原材料的施工正在进行或已完成，均应由承包方承担责任，而且不予以支付费用。</w:t>
      </w:r>
    </w:p>
    <w:p>
      <w:pPr>
        <w:pStyle w:val="5"/>
        <w:rPr>
          <w:color w:val="auto"/>
          <w:sz w:val="21"/>
          <w:szCs w:val="21"/>
          <w:highlight w:val="none"/>
        </w:rPr>
      </w:pPr>
      <w:r>
        <w:rPr>
          <w:rFonts w:hint="eastAsia"/>
          <w:color w:val="auto"/>
          <w:sz w:val="21"/>
          <w:szCs w:val="21"/>
          <w:highlight w:val="none"/>
        </w:rPr>
        <w:t>本篇品牌材料的“名称和技术规格或型号”可能与施工设计图纸或工程量清单“名称和技术规格或型号”不一致，但只要“使用性质”一致，便不影响本篇的效力。</w:t>
      </w:r>
    </w:p>
    <w:p>
      <w:pPr>
        <w:pStyle w:val="4"/>
        <w:rPr>
          <w:color w:val="auto"/>
          <w:highlight w:val="none"/>
        </w:rPr>
      </w:pPr>
      <w:bookmarkStart w:id="88" w:name="_Toc122371874"/>
      <w:bookmarkStart w:id="89" w:name="_Ref68427070"/>
      <w:r>
        <w:rPr>
          <w:rFonts w:hint="eastAsia"/>
          <w:color w:val="auto"/>
          <w:highlight w:val="none"/>
        </w:rPr>
        <w:t>主要材料参考品牌及生产厂家或供货单位选用表</w:t>
      </w:r>
      <w:bookmarkEnd w:id="88"/>
      <w:bookmarkEnd w:id="89"/>
    </w:p>
    <w:p>
      <w:pPr>
        <w:pStyle w:val="22"/>
        <w:jc w:val="left"/>
        <w:rPr>
          <w:rFonts w:hint="eastAsia"/>
          <w:color w:val="auto"/>
          <w:highlight w:val="none"/>
          <w:lang w:eastAsia="zh-CN"/>
        </w:rPr>
      </w:pPr>
      <w:bookmarkStart w:id="90" w:name="_Toc226390390"/>
      <w:bookmarkStart w:id="91" w:name="_Toc226390608"/>
    </w:p>
    <w:tbl>
      <w:tblPr>
        <w:tblStyle w:val="85"/>
        <w:tblW w:w="9900" w:type="dxa"/>
        <w:tblInd w:w="96"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812"/>
        <w:gridCol w:w="2938"/>
        <w:gridCol w:w="615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8" w:hRule="atLeast"/>
        </w:trPr>
        <w:tc>
          <w:tcPr>
            <w:tcW w:w="9900" w:type="dxa"/>
            <w:gridSpan w:val="3"/>
            <w:tcBorders>
              <w:top w:val="single" w:color="000000" w:sz="8" w:space="0"/>
              <w:left w:val="single" w:color="000000" w:sz="8" w:space="0"/>
              <w:bottom w:val="nil"/>
              <w:right w:val="nil"/>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1、装修</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8" w:hRule="atLeast"/>
        </w:trPr>
        <w:tc>
          <w:tcPr>
            <w:tcW w:w="8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序号</w:t>
            </w:r>
          </w:p>
        </w:tc>
        <w:tc>
          <w:tcPr>
            <w:tcW w:w="29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材料名称</w:t>
            </w:r>
          </w:p>
        </w:tc>
        <w:tc>
          <w:tcPr>
            <w:tcW w:w="61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品牌</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38" w:hRule="atLeast"/>
        </w:trPr>
        <w:tc>
          <w:tcPr>
            <w:tcW w:w="8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29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抛光砖、内墙瓷片、防滑地砖</w:t>
            </w:r>
          </w:p>
        </w:tc>
        <w:tc>
          <w:tcPr>
            <w:tcW w:w="61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东鹏、蒙娜丽莎、马可波罗</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76" w:hRule="atLeast"/>
        </w:trPr>
        <w:tc>
          <w:tcPr>
            <w:tcW w:w="8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29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Corian人造石装饰板</w:t>
            </w:r>
          </w:p>
        </w:tc>
        <w:tc>
          <w:tcPr>
            <w:tcW w:w="61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杜邦、三星、LG</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38" w:hRule="atLeast"/>
        </w:trPr>
        <w:tc>
          <w:tcPr>
            <w:tcW w:w="8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c>
          <w:tcPr>
            <w:tcW w:w="29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铝板天花</w:t>
            </w:r>
          </w:p>
        </w:tc>
        <w:tc>
          <w:tcPr>
            <w:tcW w:w="61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欧陆、伟泰、新景、美伦、普基、金力龙</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12" w:hRule="atLeast"/>
        </w:trPr>
        <w:tc>
          <w:tcPr>
            <w:tcW w:w="8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c>
          <w:tcPr>
            <w:tcW w:w="29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PVC地板</w:t>
            </w:r>
          </w:p>
        </w:tc>
        <w:tc>
          <w:tcPr>
            <w:tcW w:w="61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阿姆斯壮、法国洁福、韩国LG、意大利盟多、欧保</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66" w:hRule="atLeast"/>
        </w:trPr>
        <w:tc>
          <w:tcPr>
            <w:tcW w:w="8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c>
          <w:tcPr>
            <w:tcW w:w="29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Low-E玻璃、钢化玻璃、夹胶玻璃、防火玻璃</w:t>
            </w:r>
          </w:p>
        </w:tc>
        <w:tc>
          <w:tcPr>
            <w:tcW w:w="61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南玻、信义、耀皮玻璃、旗滨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6" w:hRule="atLeast"/>
        </w:trPr>
        <w:tc>
          <w:tcPr>
            <w:tcW w:w="8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w:t>
            </w:r>
          </w:p>
        </w:tc>
        <w:tc>
          <w:tcPr>
            <w:tcW w:w="29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硅钙板天花(高晶板天花)</w:t>
            </w:r>
          </w:p>
        </w:tc>
        <w:tc>
          <w:tcPr>
            <w:tcW w:w="61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安雅达、美穗、云中龙、绿意雅</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44" w:hRule="atLeast"/>
        </w:trPr>
        <w:tc>
          <w:tcPr>
            <w:tcW w:w="8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7</w:t>
            </w:r>
          </w:p>
        </w:tc>
        <w:tc>
          <w:tcPr>
            <w:tcW w:w="29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内墙涂料、乳胶漆(含底漆、面漆)、N型耐水腻子、白乳胶、腻子、自洁漆(墙面)</w:t>
            </w:r>
          </w:p>
        </w:tc>
        <w:tc>
          <w:tcPr>
            <w:tcW w:w="61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多乐士、立邦、嘉宝莉、三棵树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8" w:hRule="atLeast"/>
        </w:trPr>
        <w:tc>
          <w:tcPr>
            <w:tcW w:w="8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8</w:t>
            </w:r>
          </w:p>
        </w:tc>
        <w:tc>
          <w:tcPr>
            <w:tcW w:w="29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石膏板</w:t>
            </w:r>
          </w:p>
        </w:tc>
        <w:tc>
          <w:tcPr>
            <w:tcW w:w="61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杰森、可耐福、博罗拉法基、北新龙牌</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68" w:hRule="atLeast"/>
        </w:trPr>
        <w:tc>
          <w:tcPr>
            <w:tcW w:w="8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9</w:t>
            </w:r>
          </w:p>
        </w:tc>
        <w:tc>
          <w:tcPr>
            <w:tcW w:w="29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防水材料(卷材)、聚合物水泥基防水材料</w:t>
            </w:r>
          </w:p>
        </w:tc>
        <w:tc>
          <w:tcPr>
            <w:tcW w:w="61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广东科顺、东方雨虹、广西千淳</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7" w:hRule="atLeast"/>
        </w:trPr>
        <w:tc>
          <w:tcPr>
            <w:tcW w:w="8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10</w:t>
            </w:r>
          </w:p>
        </w:tc>
        <w:tc>
          <w:tcPr>
            <w:tcW w:w="29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硅酮密封胶</w:t>
            </w:r>
          </w:p>
        </w:tc>
        <w:tc>
          <w:tcPr>
            <w:tcW w:w="61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道康宁、郑州中原、成都硅宝、白云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16" w:hRule="atLeast"/>
        </w:trPr>
        <w:tc>
          <w:tcPr>
            <w:tcW w:w="8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w:t>
            </w:r>
          </w:p>
        </w:tc>
        <w:tc>
          <w:tcPr>
            <w:tcW w:w="29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阻燃胶合板</w:t>
            </w:r>
          </w:p>
        </w:tc>
        <w:tc>
          <w:tcPr>
            <w:tcW w:w="61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兔宝宝、安途森、莫干山、燚煌、鸿宝树、家美乐</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8" w:hRule="atLeast"/>
        </w:trPr>
        <w:tc>
          <w:tcPr>
            <w:tcW w:w="8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12</w:t>
            </w:r>
          </w:p>
        </w:tc>
        <w:tc>
          <w:tcPr>
            <w:tcW w:w="29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防火板、洁菌板、抗倍特板</w:t>
            </w:r>
          </w:p>
        </w:tc>
        <w:tc>
          <w:tcPr>
            <w:tcW w:w="61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威盛亚、佳丽福、天润盛凯、富美家</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6" w:hRule="atLeast"/>
        </w:trPr>
        <w:tc>
          <w:tcPr>
            <w:tcW w:w="8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13</w:t>
            </w:r>
          </w:p>
        </w:tc>
        <w:tc>
          <w:tcPr>
            <w:tcW w:w="29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吸音板</w:t>
            </w:r>
          </w:p>
        </w:tc>
        <w:tc>
          <w:tcPr>
            <w:tcW w:w="61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粤发、丽音、富瑞天辰、上海倍优、凯克</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66" w:hRule="atLeast"/>
        </w:trPr>
        <w:tc>
          <w:tcPr>
            <w:tcW w:w="8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14</w:t>
            </w:r>
          </w:p>
        </w:tc>
        <w:tc>
          <w:tcPr>
            <w:tcW w:w="29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医用密闭门、医用自动门、诊室门、病房门</w:t>
            </w:r>
          </w:p>
        </w:tc>
        <w:tc>
          <w:tcPr>
            <w:tcW w:w="61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中冠、巨星、鹏驰、奥美特</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61" w:hRule="atLeast"/>
        </w:trPr>
        <w:tc>
          <w:tcPr>
            <w:tcW w:w="8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15</w:t>
            </w:r>
          </w:p>
        </w:tc>
        <w:tc>
          <w:tcPr>
            <w:tcW w:w="29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铝单板、蜂窝铝板</w:t>
            </w:r>
          </w:p>
        </w:tc>
        <w:tc>
          <w:tcPr>
            <w:tcW w:w="61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德宝龙、金霸、西蒙、加德精工、佳得利、富雅豪</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93" w:hRule="atLeast"/>
        </w:trPr>
        <w:tc>
          <w:tcPr>
            <w:tcW w:w="8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16</w:t>
            </w:r>
          </w:p>
        </w:tc>
        <w:tc>
          <w:tcPr>
            <w:tcW w:w="29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地坪漆</w:t>
            </w:r>
          </w:p>
        </w:tc>
        <w:tc>
          <w:tcPr>
            <w:tcW w:w="61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广州秀珀、深圳景江、深圳威尔、佛山西卡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8" w:hRule="atLeast"/>
        </w:trPr>
        <w:tc>
          <w:tcPr>
            <w:tcW w:w="9900"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2、电气</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8" w:hRule="atLeast"/>
        </w:trPr>
        <w:tc>
          <w:tcPr>
            <w:tcW w:w="8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序号</w:t>
            </w:r>
          </w:p>
        </w:tc>
        <w:tc>
          <w:tcPr>
            <w:tcW w:w="29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材料名称</w:t>
            </w:r>
          </w:p>
        </w:tc>
        <w:tc>
          <w:tcPr>
            <w:tcW w:w="615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65" w:hRule="atLeast"/>
        </w:trPr>
        <w:tc>
          <w:tcPr>
            <w:tcW w:w="8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29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三箱</w:t>
            </w:r>
          </w:p>
        </w:tc>
        <w:tc>
          <w:tcPr>
            <w:tcW w:w="61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广东金泽、威和电气、深圳征辉、南华西、深圳三江、深圳光辉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3" w:hRule="atLeast"/>
        </w:trPr>
        <w:tc>
          <w:tcPr>
            <w:tcW w:w="8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29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双电源(ATS)</w:t>
            </w:r>
          </w:p>
        </w:tc>
        <w:tc>
          <w:tcPr>
            <w:tcW w:w="61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ABB、施耐德、西门子</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8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c>
          <w:tcPr>
            <w:tcW w:w="29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有源滤波</w:t>
            </w:r>
          </w:p>
        </w:tc>
        <w:tc>
          <w:tcPr>
            <w:tcW w:w="61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英博电气、爱普科斯、诺基亚</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6" w:hRule="atLeast"/>
        </w:trPr>
        <w:tc>
          <w:tcPr>
            <w:tcW w:w="8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c>
          <w:tcPr>
            <w:tcW w:w="29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智能照明</w:t>
            </w:r>
          </w:p>
        </w:tc>
        <w:tc>
          <w:tcPr>
            <w:tcW w:w="61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ABB、施耐德、西门子、海格、西顿</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00" w:hRule="atLeast"/>
        </w:trPr>
        <w:tc>
          <w:tcPr>
            <w:tcW w:w="8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c>
          <w:tcPr>
            <w:tcW w:w="29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电线、电缆</w:t>
            </w:r>
          </w:p>
        </w:tc>
        <w:tc>
          <w:tcPr>
            <w:tcW w:w="61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深圳成天泰、佰佳、金龙羽、深圳东佳信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4" w:hRule="atLeast"/>
        </w:trPr>
        <w:tc>
          <w:tcPr>
            <w:tcW w:w="8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w:t>
            </w:r>
          </w:p>
        </w:tc>
        <w:tc>
          <w:tcPr>
            <w:tcW w:w="29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阻燃PVC电线管</w:t>
            </w:r>
          </w:p>
        </w:tc>
        <w:tc>
          <w:tcPr>
            <w:tcW w:w="61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联塑、日丰、雄塑、顾地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10" w:hRule="atLeast"/>
        </w:trPr>
        <w:tc>
          <w:tcPr>
            <w:tcW w:w="8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7</w:t>
            </w:r>
          </w:p>
        </w:tc>
        <w:tc>
          <w:tcPr>
            <w:tcW w:w="29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常规灯具(精装修区域)、LED灯</w:t>
            </w:r>
          </w:p>
        </w:tc>
        <w:tc>
          <w:tcPr>
            <w:tcW w:w="61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三雄极光、欧普、TCL、佛山照明、中山市品业灯饰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4" w:hRule="atLeast"/>
        </w:trPr>
        <w:tc>
          <w:tcPr>
            <w:tcW w:w="8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8</w:t>
            </w:r>
          </w:p>
        </w:tc>
        <w:tc>
          <w:tcPr>
            <w:tcW w:w="29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开关插座(精装修区域)</w:t>
            </w:r>
          </w:p>
        </w:tc>
        <w:tc>
          <w:tcPr>
            <w:tcW w:w="61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西门子、施耐德、ABB</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7" w:hRule="atLeast"/>
        </w:trPr>
        <w:tc>
          <w:tcPr>
            <w:tcW w:w="8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9</w:t>
            </w:r>
          </w:p>
        </w:tc>
        <w:tc>
          <w:tcPr>
            <w:tcW w:w="29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断路器</w:t>
            </w:r>
          </w:p>
        </w:tc>
        <w:tc>
          <w:tcPr>
            <w:tcW w:w="61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西门子、施耐德、ABB</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66" w:hRule="atLeast"/>
        </w:trPr>
        <w:tc>
          <w:tcPr>
            <w:tcW w:w="8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10</w:t>
            </w:r>
          </w:p>
        </w:tc>
        <w:tc>
          <w:tcPr>
            <w:tcW w:w="29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UPS主机、电池</w:t>
            </w:r>
          </w:p>
        </w:tc>
        <w:tc>
          <w:tcPr>
            <w:tcW w:w="61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24"/>
                <w:szCs w:val="24"/>
                <w:u w:val="none"/>
              </w:rPr>
            </w:pPr>
            <w:r>
              <w:rPr>
                <w:rStyle w:val="247"/>
                <w:color w:val="auto"/>
                <w:lang w:val="en-US" w:eastAsia="zh-CN" w:bidi="ar"/>
              </w:rPr>
              <w:t>索克曼、伊顿-山特、EAST/易事特、志成冠军、华为、</w:t>
            </w:r>
            <w:r>
              <w:rPr>
                <w:rStyle w:val="248"/>
                <w:color w:val="auto"/>
                <w:lang w:val="en-US" w:eastAsia="zh-CN" w:bidi="ar"/>
              </w:rPr>
              <w:t>麦腾、美泽</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2" w:hRule="atLeast"/>
        </w:trPr>
        <w:tc>
          <w:tcPr>
            <w:tcW w:w="8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w:t>
            </w:r>
          </w:p>
        </w:tc>
        <w:tc>
          <w:tcPr>
            <w:tcW w:w="29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隔离电源</w:t>
            </w:r>
          </w:p>
        </w:tc>
        <w:tc>
          <w:tcPr>
            <w:tcW w:w="61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深海诺、安科瑞、欧根</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8" w:hRule="atLeast"/>
        </w:trPr>
        <w:tc>
          <w:tcPr>
            <w:tcW w:w="9900"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3、给排水</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8" w:hRule="atLeast"/>
        </w:trPr>
        <w:tc>
          <w:tcPr>
            <w:tcW w:w="8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序号</w:t>
            </w:r>
          </w:p>
        </w:tc>
        <w:tc>
          <w:tcPr>
            <w:tcW w:w="29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材料名称</w:t>
            </w:r>
          </w:p>
        </w:tc>
        <w:tc>
          <w:tcPr>
            <w:tcW w:w="615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66" w:hRule="atLeast"/>
        </w:trPr>
        <w:tc>
          <w:tcPr>
            <w:tcW w:w="8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29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薄壁不锈钢管</w:t>
            </w:r>
          </w:p>
        </w:tc>
        <w:tc>
          <w:tcPr>
            <w:tcW w:w="61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深圳雅昌、南京金口、无锡金羊、四川民生、宁波福兰特、深圳市民乐、南京创通、宁波永享</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90" w:hRule="atLeast"/>
        </w:trPr>
        <w:tc>
          <w:tcPr>
            <w:tcW w:w="8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29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PVC-U给、排水管</w:t>
            </w:r>
          </w:p>
        </w:tc>
        <w:tc>
          <w:tcPr>
            <w:tcW w:w="61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联塑、雄塑、顾地、粤亚</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48" w:hRule="atLeast"/>
        </w:trPr>
        <w:tc>
          <w:tcPr>
            <w:tcW w:w="8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c>
          <w:tcPr>
            <w:tcW w:w="29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铜阀</w:t>
            </w:r>
          </w:p>
        </w:tc>
        <w:tc>
          <w:tcPr>
            <w:tcW w:w="61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埃美柯、盾安、华龙巨水、金锁、江欣</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7" w:hRule="atLeast"/>
        </w:trPr>
        <w:tc>
          <w:tcPr>
            <w:tcW w:w="8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c>
          <w:tcPr>
            <w:tcW w:w="29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橡胶接头、不锈钢软接头器、不锈钢波纹补偿器</w:t>
            </w:r>
          </w:p>
        </w:tc>
        <w:tc>
          <w:tcPr>
            <w:tcW w:w="61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上海松江橡胶(欣昌)、北京首航、航天晨光、杭州万全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3" w:hRule="atLeast"/>
        </w:trPr>
        <w:tc>
          <w:tcPr>
            <w:tcW w:w="8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c>
          <w:tcPr>
            <w:tcW w:w="29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橡塑保温材料</w:t>
            </w:r>
          </w:p>
        </w:tc>
        <w:tc>
          <w:tcPr>
            <w:tcW w:w="61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新皓、华美、杜彼、塞班</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7" w:hRule="atLeast"/>
        </w:trPr>
        <w:tc>
          <w:tcPr>
            <w:tcW w:w="8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w:t>
            </w:r>
          </w:p>
        </w:tc>
        <w:tc>
          <w:tcPr>
            <w:tcW w:w="29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阀门</w:t>
            </w:r>
          </w:p>
        </w:tc>
        <w:tc>
          <w:tcPr>
            <w:tcW w:w="61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正丰、上海标一、精嘉、良精、武汉大禹、迈克</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899" w:hRule="atLeast"/>
        </w:trPr>
        <w:tc>
          <w:tcPr>
            <w:tcW w:w="8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7</w:t>
            </w:r>
          </w:p>
        </w:tc>
        <w:tc>
          <w:tcPr>
            <w:tcW w:w="29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洁具、感应器、洁具龙头、混水阀、花洒类、拖把池、给排水五金配件(软管、拖把池龙头、地漏、角阀、洗手盆不锈钢排水存水弯等)</w:t>
            </w:r>
          </w:p>
        </w:tc>
        <w:tc>
          <w:tcPr>
            <w:tcW w:w="61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箭牌、东鹏、九牧、恒洁、鹰卫浴</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3" w:hRule="atLeast"/>
        </w:trPr>
        <w:tc>
          <w:tcPr>
            <w:tcW w:w="8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8</w:t>
            </w:r>
          </w:p>
        </w:tc>
        <w:tc>
          <w:tcPr>
            <w:tcW w:w="29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电热水器</w:t>
            </w:r>
          </w:p>
        </w:tc>
        <w:tc>
          <w:tcPr>
            <w:tcW w:w="61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美的、海尔、格力、万和、万家乐</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8" w:hRule="atLeast"/>
        </w:trPr>
        <w:tc>
          <w:tcPr>
            <w:tcW w:w="9900"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4、空调及通风</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8" w:hRule="atLeast"/>
        </w:trPr>
        <w:tc>
          <w:tcPr>
            <w:tcW w:w="8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序号</w:t>
            </w:r>
          </w:p>
        </w:tc>
        <w:tc>
          <w:tcPr>
            <w:tcW w:w="29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材料名称</w:t>
            </w:r>
          </w:p>
        </w:tc>
        <w:tc>
          <w:tcPr>
            <w:tcW w:w="615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4" w:hRule="atLeast"/>
        </w:trPr>
        <w:tc>
          <w:tcPr>
            <w:tcW w:w="8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29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净化空调机组</w:t>
            </w:r>
          </w:p>
        </w:tc>
        <w:tc>
          <w:tcPr>
            <w:tcW w:w="61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雅士、同方、天加、思科、申菱、美的、欧博</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54" w:hRule="atLeast"/>
        </w:trPr>
        <w:tc>
          <w:tcPr>
            <w:tcW w:w="8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29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风冷机组</w:t>
            </w:r>
          </w:p>
        </w:tc>
        <w:tc>
          <w:tcPr>
            <w:tcW w:w="61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24"/>
                <w:szCs w:val="24"/>
                <w:u w:val="none"/>
              </w:rPr>
            </w:pPr>
            <w:r>
              <w:rPr>
                <w:rStyle w:val="247"/>
                <w:color w:val="auto"/>
                <w:lang w:val="en-US" w:eastAsia="zh-CN" w:bidi="ar"/>
              </w:rPr>
              <w:t>格力、美的、海信、</w:t>
            </w:r>
            <w:r>
              <w:rPr>
                <w:rStyle w:val="248"/>
                <w:color w:val="auto"/>
                <w:lang w:val="en-US" w:eastAsia="zh-CN" w:bidi="ar"/>
              </w:rPr>
              <w:t>维克</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54" w:hRule="atLeast"/>
        </w:trPr>
        <w:tc>
          <w:tcPr>
            <w:tcW w:w="8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c>
          <w:tcPr>
            <w:tcW w:w="29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多联机组</w:t>
            </w:r>
          </w:p>
        </w:tc>
        <w:tc>
          <w:tcPr>
            <w:tcW w:w="61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格力、美的、海信、思科、欧博</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2" w:hRule="atLeast"/>
        </w:trPr>
        <w:tc>
          <w:tcPr>
            <w:tcW w:w="812"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c>
          <w:tcPr>
            <w:tcW w:w="293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风机</w:t>
            </w:r>
          </w:p>
        </w:tc>
        <w:tc>
          <w:tcPr>
            <w:tcW w:w="615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24"/>
                <w:szCs w:val="24"/>
                <w:u w:val="none"/>
              </w:rPr>
            </w:pPr>
            <w:r>
              <w:rPr>
                <w:rStyle w:val="249"/>
                <w:color w:val="auto"/>
                <w:lang w:val="en-US" w:eastAsia="zh-CN" w:bidi="ar"/>
              </w:rPr>
              <w:t>科禄格、专风（上虞专用）、南泰（南方风机）、亿利达、英飞、金盾</w:t>
            </w:r>
            <w:r>
              <w:rPr>
                <w:rStyle w:val="248"/>
                <w:color w:val="auto"/>
                <w:lang w:val="en-US" w:eastAsia="zh-CN" w:bidi="ar"/>
              </w:rPr>
              <w:t>、九洲普惠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4" w:hRule="atLeast"/>
        </w:trPr>
        <w:tc>
          <w:tcPr>
            <w:tcW w:w="812"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293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iCs w:val="0"/>
                <w:color w:val="auto"/>
                <w:sz w:val="24"/>
                <w:szCs w:val="24"/>
                <w:u w:val="none"/>
              </w:rPr>
            </w:pPr>
          </w:p>
        </w:tc>
        <w:tc>
          <w:tcPr>
            <w:tcW w:w="61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iCs w:val="0"/>
                <w:color w:val="auto"/>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66" w:hRule="atLeast"/>
        </w:trPr>
        <w:tc>
          <w:tcPr>
            <w:tcW w:w="8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c>
          <w:tcPr>
            <w:tcW w:w="29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空调末端(空调机组、风机盘管、新风机组)</w:t>
            </w:r>
          </w:p>
        </w:tc>
        <w:tc>
          <w:tcPr>
            <w:tcW w:w="61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格力、美的、海信、维克、思科、天加、欧博</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8" w:hRule="atLeast"/>
        </w:trPr>
        <w:tc>
          <w:tcPr>
            <w:tcW w:w="8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w:t>
            </w:r>
          </w:p>
        </w:tc>
        <w:tc>
          <w:tcPr>
            <w:tcW w:w="293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空调自控系统</w:t>
            </w:r>
          </w:p>
        </w:tc>
        <w:tc>
          <w:tcPr>
            <w:tcW w:w="61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美的、艾科瓦、柯耐弗、奥凌</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6" w:hRule="atLeast"/>
        </w:trPr>
        <w:tc>
          <w:tcPr>
            <w:tcW w:w="8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7</w:t>
            </w:r>
          </w:p>
        </w:tc>
        <w:tc>
          <w:tcPr>
            <w:tcW w:w="293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空调控制面板</w:t>
            </w:r>
          </w:p>
        </w:tc>
        <w:tc>
          <w:tcPr>
            <w:tcW w:w="61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海林、亿林、美的</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8" w:hRule="atLeast"/>
        </w:trPr>
        <w:tc>
          <w:tcPr>
            <w:tcW w:w="9900"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5、智能化</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8" w:hRule="atLeast"/>
        </w:trPr>
        <w:tc>
          <w:tcPr>
            <w:tcW w:w="8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序号</w:t>
            </w:r>
          </w:p>
        </w:tc>
        <w:tc>
          <w:tcPr>
            <w:tcW w:w="29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材料名称</w:t>
            </w:r>
          </w:p>
        </w:tc>
        <w:tc>
          <w:tcPr>
            <w:tcW w:w="615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66" w:hRule="atLeast"/>
        </w:trPr>
        <w:tc>
          <w:tcPr>
            <w:tcW w:w="8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29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内网及外网铜缆（六类或七类）</w:t>
            </w:r>
          </w:p>
        </w:tc>
        <w:tc>
          <w:tcPr>
            <w:tcW w:w="61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天诚、长飞、爱谱华顿、美立、H3C</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44" w:hRule="atLeast"/>
        </w:trPr>
        <w:tc>
          <w:tcPr>
            <w:tcW w:w="8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29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业务内网（全光网）设备、业务外网（全光网）设备、智能化专网设备</w:t>
            </w:r>
          </w:p>
        </w:tc>
        <w:tc>
          <w:tcPr>
            <w:tcW w:w="61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中兴、华为、烽火</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38" w:hRule="atLeast"/>
        </w:trPr>
        <w:tc>
          <w:tcPr>
            <w:tcW w:w="8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c>
          <w:tcPr>
            <w:tcW w:w="29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多媒体系统</w:t>
            </w:r>
          </w:p>
        </w:tc>
        <w:tc>
          <w:tcPr>
            <w:tcW w:w="61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BHX北航星、ITC 、特控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8" w:hRule="atLeast"/>
        </w:trPr>
        <w:tc>
          <w:tcPr>
            <w:tcW w:w="8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c>
          <w:tcPr>
            <w:tcW w:w="29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综合安防管理系统</w:t>
            </w:r>
          </w:p>
        </w:tc>
        <w:tc>
          <w:tcPr>
            <w:tcW w:w="61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海康威视、大华、宇视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8" w:hRule="atLeast"/>
        </w:trPr>
        <w:tc>
          <w:tcPr>
            <w:tcW w:w="8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c>
          <w:tcPr>
            <w:tcW w:w="29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视频安防监控系统</w:t>
            </w:r>
          </w:p>
        </w:tc>
        <w:tc>
          <w:tcPr>
            <w:tcW w:w="61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海康威视、大华、宇视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8" w:hRule="atLeast"/>
        </w:trPr>
        <w:tc>
          <w:tcPr>
            <w:tcW w:w="8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w:t>
            </w:r>
          </w:p>
        </w:tc>
        <w:tc>
          <w:tcPr>
            <w:tcW w:w="29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出入口控制系统</w:t>
            </w:r>
          </w:p>
        </w:tc>
        <w:tc>
          <w:tcPr>
            <w:tcW w:w="61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海康威视、大华、宇视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8" w:hRule="atLeast"/>
        </w:trPr>
        <w:tc>
          <w:tcPr>
            <w:tcW w:w="8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7</w:t>
            </w:r>
          </w:p>
        </w:tc>
        <w:tc>
          <w:tcPr>
            <w:tcW w:w="29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服务器、工作站及显示器</w:t>
            </w:r>
          </w:p>
        </w:tc>
        <w:tc>
          <w:tcPr>
            <w:tcW w:w="61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联想(Lenovo)、戴尔(DELL)、惠普(HP）、浪潮</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8" w:hRule="atLeast"/>
        </w:trPr>
        <w:tc>
          <w:tcPr>
            <w:tcW w:w="8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8</w:t>
            </w:r>
          </w:p>
        </w:tc>
        <w:tc>
          <w:tcPr>
            <w:tcW w:w="29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探视对讲系统</w:t>
            </w:r>
          </w:p>
        </w:tc>
        <w:tc>
          <w:tcPr>
            <w:tcW w:w="61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BHX北航星、ITC 、特控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8" w:hRule="atLeast"/>
        </w:trPr>
        <w:tc>
          <w:tcPr>
            <w:tcW w:w="9900"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6、医用气体</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8" w:hRule="atLeast"/>
        </w:trPr>
        <w:tc>
          <w:tcPr>
            <w:tcW w:w="8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序号</w:t>
            </w:r>
          </w:p>
        </w:tc>
        <w:tc>
          <w:tcPr>
            <w:tcW w:w="29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材料名称</w:t>
            </w:r>
          </w:p>
        </w:tc>
        <w:tc>
          <w:tcPr>
            <w:tcW w:w="615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8" w:hRule="atLeast"/>
        </w:trPr>
        <w:tc>
          <w:tcPr>
            <w:tcW w:w="8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29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医用脱脂紫铜管</w:t>
            </w:r>
          </w:p>
        </w:tc>
        <w:tc>
          <w:tcPr>
            <w:tcW w:w="61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山东宏方、浙江海亮、青岛宏泰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8" w:hRule="atLeast"/>
        </w:trPr>
        <w:tc>
          <w:tcPr>
            <w:tcW w:w="8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29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脱脂黄铜阀门、铜阀门</w:t>
            </w:r>
          </w:p>
        </w:tc>
        <w:tc>
          <w:tcPr>
            <w:tcW w:w="61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宁波埃美柯、宁波永享、浙江盾安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8" w:hRule="atLeast"/>
        </w:trPr>
        <w:tc>
          <w:tcPr>
            <w:tcW w:w="8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c>
          <w:tcPr>
            <w:tcW w:w="29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无缝脱脂不锈钢管</w:t>
            </w:r>
          </w:p>
        </w:tc>
        <w:tc>
          <w:tcPr>
            <w:tcW w:w="61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浙江合盛、浙江均悦、浙江康鑫</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8" w:hRule="atLeast"/>
        </w:trPr>
        <w:tc>
          <w:tcPr>
            <w:tcW w:w="8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c>
          <w:tcPr>
            <w:tcW w:w="29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医用气体终端</w:t>
            </w:r>
          </w:p>
        </w:tc>
        <w:tc>
          <w:tcPr>
            <w:tcW w:w="61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宇峰、捷鑫、超捷、捷工</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8" w:hRule="atLeast"/>
        </w:trPr>
        <w:tc>
          <w:tcPr>
            <w:tcW w:w="8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c>
          <w:tcPr>
            <w:tcW w:w="29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区域阀箱</w:t>
            </w:r>
          </w:p>
        </w:tc>
        <w:tc>
          <w:tcPr>
            <w:tcW w:w="61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宇峰、捷鑫、捷工</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66" w:hRule="atLeast"/>
        </w:trPr>
        <w:tc>
          <w:tcPr>
            <w:tcW w:w="8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w:t>
            </w:r>
          </w:p>
        </w:tc>
        <w:tc>
          <w:tcPr>
            <w:tcW w:w="29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医用气体报警系统（要求具有医疗器械注册证）</w:t>
            </w:r>
          </w:p>
        </w:tc>
        <w:tc>
          <w:tcPr>
            <w:tcW w:w="61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捷工、捷锐、超捷</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76" w:hRule="atLeast"/>
        </w:trPr>
        <w:tc>
          <w:tcPr>
            <w:tcW w:w="8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7</w:t>
            </w:r>
          </w:p>
        </w:tc>
        <w:tc>
          <w:tcPr>
            <w:tcW w:w="293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呼叫设备</w:t>
            </w:r>
          </w:p>
        </w:tc>
        <w:tc>
          <w:tcPr>
            <w:tcW w:w="61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比扬、维鼎康联、亚华</w:t>
            </w:r>
            <w:bookmarkStart w:id="105" w:name="_GoBack"/>
            <w:bookmarkEnd w:id="105"/>
            <w:r>
              <w:rPr>
                <w:rFonts w:hint="eastAsia" w:ascii="宋体" w:hAnsi="宋体" w:eastAsia="宋体" w:cs="宋体"/>
                <w:i w:val="0"/>
                <w:iCs w:val="0"/>
                <w:color w:val="000000"/>
                <w:kern w:val="0"/>
                <w:sz w:val="24"/>
                <w:szCs w:val="24"/>
                <w:u w:val="none"/>
                <w:lang w:val="en-US" w:eastAsia="zh-CN" w:bidi="ar"/>
              </w:rPr>
              <w:t>、来邦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76" w:hRule="atLeast"/>
        </w:trPr>
        <w:tc>
          <w:tcPr>
            <w:tcW w:w="8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8</w:t>
            </w:r>
          </w:p>
        </w:tc>
        <w:tc>
          <w:tcPr>
            <w:tcW w:w="29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汇流排（要求具有医疗器械注册证）</w:t>
            </w:r>
          </w:p>
        </w:tc>
        <w:tc>
          <w:tcPr>
            <w:tcW w:w="61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ascii="等线" w:hAnsi="等线" w:eastAsia="等线" w:cs="等线"/>
                <w:i w:val="0"/>
                <w:iCs w:val="0"/>
                <w:color w:val="000000"/>
                <w:sz w:val="22"/>
                <w:szCs w:val="22"/>
                <w:u w:val="none"/>
              </w:rPr>
            </w:pPr>
            <w:r>
              <w:rPr>
                <w:rFonts w:hint="eastAsia" w:ascii="宋体" w:hAnsi="宋体" w:eastAsia="宋体" w:cs="宋体"/>
                <w:i w:val="0"/>
                <w:iCs w:val="0"/>
                <w:color w:val="000000"/>
                <w:kern w:val="0"/>
                <w:sz w:val="24"/>
                <w:szCs w:val="24"/>
                <w:u w:val="none"/>
                <w:lang w:val="en-US" w:eastAsia="zh-CN" w:bidi="ar"/>
              </w:rPr>
              <w:t>捷工、捷锐、超捷</w:t>
            </w:r>
          </w:p>
        </w:tc>
      </w:tr>
    </w:tbl>
    <w:p>
      <w:pPr>
        <w:pStyle w:val="22"/>
        <w:jc w:val="left"/>
        <w:rPr>
          <w:rFonts w:hint="eastAsia"/>
          <w:color w:val="auto"/>
          <w:highlight w:val="none"/>
          <w:lang w:eastAsia="zh-CN"/>
        </w:rPr>
      </w:pPr>
    </w:p>
    <w:bookmarkEnd w:id="90"/>
    <w:bookmarkEnd w:id="91"/>
    <w:p>
      <w:pPr>
        <w:pStyle w:val="2"/>
        <w:rPr>
          <w:rFonts w:ascii="Times New Roman" w:hAnsi="Times New Roman" w:cs="Times New Roman"/>
          <w:color w:val="auto"/>
          <w:sz w:val="20"/>
          <w:szCs w:val="20"/>
          <w:highlight w:val="none"/>
          <w:lang w:eastAsia="zh-CN"/>
        </w:rPr>
      </w:pPr>
      <w:r>
        <w:rPr>
          <w:rFonts w:hint="eastAsia" w:hAnsi="宋体" w:cs="宋体"/>
          <w:i w:val="0"/>
          <w:color w:val="000000"/>
          <w:kern w:val="0"/>
          <w:sz w:val="22"/>
          <w:szCs w:val="22"/>
          <w:u w:val="none"/>
          <w:lang w:val="en-US" w:eastAsia="zh-CN" w:bidi="ar"/>
        </w:rPr>
        <w:t>注：</w:t>
      </w:r>
      <w:r>
        <w:rPr>
          <w:rFonts w:hint="eastAsia" w:ascii="宋体" w:hAnsi="宋体" w:eastAsia="宋体" w:cs="宋体"/>
          <w:i w:val="0"/>
          <w:color w:val="000000"/>
          <w:kern w:val="0"/>
          <w:sz w:val="22"/>
          <w:szCs w:val="22"/>
          <w:u w:val="none"/>
          <w:lang w:val="en-US" w:eastAsia="zh-CN" w:bidi="ar"/>
        </w:rPr>
        <w:t>本表为推荐品牌库，投标人可以提供所列举品牌、厂家或等同及以上的其他品牌、厂家；投标人若提供所列举品牌、厂家之外的其他品牌、厂家，需要提交相关的技术性能、应用业绩、认证情况等证明文件，最终由发包人确定是否选用。</w:t>
      </w:r>
      <w:r>
        <w:rPr>
          <w:color w:val="auto"/>
          <w:highlight w:val="none"/>
          <w:lang w:eastAsia="zh-CN"/>
        </w:rPr>
        <w:fldChar w:fldCharType="begin"/>
      </w:r>
      <w:r>
        <w:rPr>
          <w:color w:val="auto"/>
          <w:highlight w:val="none"/>
          <w:lang w:eastAsia="zh-CN"/>
        </w:rPr>
        <w:instrText xml:space="preserve"> LINK Excel.Sheet.12 "D:\\03附属医院\\05招标\\26、医疗专项\\白总意见\\广东医科大学附属医院海东院区医疗专项（品牌选定）根据白总意见修改2023.3.30.xlsx" "装修电气给排水空调（品牌表）!Print_Area" \a \f 5 \h  \* MERGEFORMAT </w:instrText>
      </w:r>
      <w:r>
        <w:rPr>
          <w:color w:val="auto"/>
          <w:highlight w:val="none"/>
          <w:lang w:eastAsia="zh-CN"/>
        </w:rPr>
        <w:fldChar w:fldCharType="separate"/>
      </w:r>
      <w:bookmarkStart w:id="92" w:name="RANGE!A1:E98"/>
    </w:p>
    <w:bookmarkEnd w:id="92"/>
    <w:p>
      <w:pPr>
        <w:pStyle w:val="2"/>
        <w:rPr>
          <w:color w:val="auto"/>
          <w:highlight w:val="none"/>
          <w:lang w:eastAsia="zh-CN"/>
        </w:rPr>
      </w:pPr>
      <w:r>
        <w:rPr>
          <w:color w:val="auto"/>
          <w:highlight w:val="none"/>
          <w:lang w:eastAsia="zh-CN"/>
        </w:rPr>
        <w:fldChar w:fldCharType="end"/>
      </w:r>
    </w:p>
    <w:p>
      <w:pPr>
        <w:pStyle w:val="2"/>
        <w:rPr>
          <w:rFonts w:hint="eastAsia"/>
          <w:color w:val="auto"/>
          <w:highlight w:val="none"/>
          <w:lang w:eastAsia="zh-CN"/>
        </w:rPr>
      </w:pPr>
    </w:p>
    <w:p>
      <w:pPr>
        <w:pStyle w:val="3"/>
        <w:rPr>
          <w:color w:val="auto"/>
          <w:highlight w:val="none"/>
        </w:rPr>
      </w:pPr>
      <w:r>
        <w:rPr>
          <w:rFonts w:hint="eastAsia"/>
          <w:color w:val="auto"/>
          <w:highlight w:val="none"/>
        </w:rPr>
        <w:t>现场管理违约处理规定</w:t>
      </w:r>
    </w:p>
    <w:p>
      <w:pPr>
        <w:spacing w:before="240" w:after="240"/>
        <w:outlineLvl w:val="2"/>
        <w:rPr>
          <w:b/>
          <w:color w:val="auto"/>
          <w:highlight w:val="none"/>
          <w:lang w:eastAsia="zh-CN"/>
        </w:rPr>
      </w:pPr>
      <w:r>
        <w:rPr>
          <w:rFonts w:hint="eastAsia"/>
          <w:b/>
          <w:color w:val="auto"/>
          <w:highlight w:val="none"/>
          <w:lang w:eastAsia="zh-CN"/>
        </w:rPr>
        <w:t>1</w:t>
      </w:r>
      <w:r>
        <w:rPr>
          <w:b/>
          <w:color w:val="auto"/>
          <w:highlight w:val="none"/>
          <w:lang w:eastAsia="zh-CN"/>
        </w:rPr>
        <w:t>、人员及架构管理方面处罚细则</w:t>
      </w:r>
    </w:p>
    <w:tbl>
      <w:tblPr>
        <w:tblStyle w:val="85"/>
        <w:tblW w:w="9731"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 w:type="dxa"/>
          <w:bottom w:w="0" w:type="dxa"/>
          <w:right w:w="10" w:type="dxa"/>
        </w:tblCellMar>
      </w:tblPr>
      <w:tblGrid>
        <w:gridCol w:w="713"/>
        <w:gridCol w:w="4592"/>
        <w:gridCol w:w="1984"/>
        <w:gridCol w:w="244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cantSplit/>
          <w:trHeight w:val="406" w:hRule="atLeast"/>
          <w:jc w:val="center"/>
        </w:trPr>
        <w:tc>
          <w:tcPr>
            <w:tcW w:w="713" w:type="dxa"/>
            <w:vAlign w:val="center"/>
          </w:tcPr>
          <w:p>
            <w:pPr>
              <w:jc w:val="center"/>
              <w:rPr>
                <w:rFonts w:cs="Times New Roman"/>
                <w:color w:val="auto"/>
                <w:szCs w:val="21"/>
                <w:highlight w:val="none"/>
              </w:rPr>
            </w:pPr>
            <w:r>
              <w:rPr>
                <w:rFonts w:cs="Times New Roman"/>
                <w:color w:val="auto"/>
                <w:szCs w:val="21"/>
                <w:highlight w:val="none"/>
              </w:rPr>
              <w:t>序号</w:t>
            </w:r>
          </w:p>
        </w:tc>
        <w:tc>
          <w:tcPr>
            <w:tcW w:w="4592" w:type="dxa"/>
            <w:vAlign w:val="center"/>
          </w:tcPr>
          <w:p>
            <w:pPr>
              <w:jc w:val="center"/>
              <w:rPr>
                <w:rFonts w:cs="Times New Roman"/>
                <w:color w:val="auto"/>
                <w:szCs w:val="21"/>
                <w:highlight w:val="none"/>
              </w:rPr>
            </w:pPr>
            <w:r>
              <w:rPr>
                <w:rFonts w:cs="Times New Roman"/>
                <w:color w:val="auto"/>
                <w:szCs w:val="21"/>
                <w:highlight w:val="none"/>
              </w:rPr>
              <w:t>事项</w:t>
            </w:r>
          </w:p>
        </w:tc>
        <w:tc>
          <w:tcPr>
            <w:tcW w:w="1984" w:type="dxa"/>
            <w:vAlign w:val="center"/>
          </w:tcPr>
          <w:p>
            <w:pPr>
              <w:jc w:val="center"/>
              <w:rPr>
                <w:rFonts w:cs="Times New Roman"/>
                <w:color w:val="auto"/>
                <w:szCs w:val="21"/>
                <w:highlight w:val="none"/>
              </w:rPr>
            </w:pPr>
            <w:r>
              <w:rPr>
                <w:rFonts w:cs="Times New Roman"/>
                <w:color w:val="auto"/>
                <w:szCs w:val="21"/>
                <w:highlight w:val="none"/>
              </w:rPr>
              <w:t>处罚标准</w:t>
            </w:r>
          </w:p>
        </w:tc>
        <w:tc>
          <w:tcPr>
            <w:tcW w:w="2442" w:type="dxa"/>
            <w:vAlign w:val="center"/>
          </w:tcPr>
          <w:p>
            <w:pPr>
              <w:jc w:val="center"/>
              <w:rPr>
                <w:rFonts w:cs="Times New Roman"/>
                <w:color w:val="auto"/>
                <w:szCs w:val="21"/>
                <w:highlight w:val="none"/>
              </w:rPr>
            </w:pPr>
            <w:r>
              <w:rPr>
                <w:rFonts w:cs="Times New Roman"/>
                <w:color w:val="auto"/>
                <w:szCs w:val="21"/>
                <w:highlight w:val="none"/>
              </w:rPr>
              <w:t>备注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cantSplit/>
          <w:trHeight w:val="1136" w:hRule="atLeast"/>
          <w:jc w:val="center"/>
        </w:trPr>
        <w:tc>
          <w:tcPr>
            <w:tcW w:w="713" w:type="dxa"/>
            <w:vAlign w:val="center"/>
          </w:tcPr>
          <w:p>
            <w:pPr>
              <w:spacing w:line="360" w:lineRule="auto"/>
              <w:jc w:val="center"/>
              <w:rPr>
                <w:rFonts w:cs="Times New Roman"/>
                <w:color w:val="auto"/>
                <w:szCs w:val="21"/>
                <w:highlight w:val="none"/>
              </w:rPr>
            </w:pPr>
            <w:r>
              <w:rPr>
                <w:rFonts w:cs="Times New Roman"/>
                <w:color w:val="auto"/>
                <w:szCs w:val="21"/>
                <w:highlight w:val="none"/>
              </w:rPr>
              <w:t>1</w:t>
            </w:r>
          </w:p>
        </w:tc>
        <w:tc>
          <w:tcPr>
            <w:tcW w:w="4592" w:type="dxa"/>
            <w:vAlign w:val="center"/>
          </w:tcPr>
          <w:p>
            <w:pPr>
              <w:snapToGrid w:val="0"/>
              <w:rPr>
                <w:rFonts w:cs="Times New Roman"/>
                <w:color w:val="auto"/>
                <w:szCs w:val="21"/>
                <w:highlight w:val="none"/>
                <w:lang w:eastAsia="zh-CN"/>
              </w:rPr>
            </w:pPr>
            <w:r>
              <w:rPr>
                <w:rFonts w:cs="Times New Roman"/>
                <w:color w:val="auto"/>
                <w:szCs w:val="21"/>
                <w:highlight w:val="none"/>
                <w:lang w:eastAsia="zh-CN"/>
              </w:rPr>
              <w:t>投标时确定的项目经理不就位；</w:t>
            </w:r>
          </w:p>
          <w:p>
            <w:pPr>
              <w:snapToGrid w:val="0"/>
              <w:rPr>
                <w:rFonts w:cs="Times New Roman"/>
                <w:color w:val="auto"/>
                <w:szCs w:val="21"/>
                <w:highlight w:val="none"/>
                <w:lang w:eastAsia="zh-CN"/>
              </w:rPr>
            </w:pPr>
            <w:r>
              <w:rPr>
                <w:rFonts w:cs="Times New Roman"/>
                <w:color w:val="auto"/>
                <w:szCs w:val="21"/>
                <w:highlight w:val="none"/>
                <w:lang w:eastAsia="zh-CN"/>
              </w:rPr>
              <w:t>履约过程中，未提前15天以上以正式书面形式通知监理公司、发包人并获得批准，擅自更换项目经理、技术负责人</w:t>
            </w:r>
          </w:p>
        </w:tc>
        <w:tc>
          <w:tcPr>
            <w:tcW w:w="1984" w:type="dxa"/>
            <w:vAlign w:val="center"/>
          </w:tcPr>
          <w:p>
            <w:pPr>
              <w:snapToGrid w:val="0"/>
              <w:rPr>
                <w:rFonts w:cs="Times New Roman"/>
                <w:color w:val="auto"/>
                <w:szCs w:val="21"/>
                <w:highlight w:val="none"/>
              </w:rPr>
            </w:pPr>
            <w:r>
              <w:rPr>
                <w:rFonts w:cs="Times New Roman"/>
                <w:color w:val="auto"/>
                <w:szCs w:val="21"/>
                <w:highlight w:val="none"/>
              </w:rPr>
              <w:t>2万元</w:t>
            </w:r>
          </w:p>
        </w:tc>
        <w:tc>
          <w:tcPr>
            <w:tcW w:w="2442" w:type="dxa"/>
            <w:vAlign w:val="center"/>
          </w:tcPr>
          <w:p>
            <w:pPr>
              <w:snapToGrid w:val="0"/>
              <w:rPr>
                <w:rFonts w:cs="Times New Roman"/>
                <w:color w:val="auto"/>
                <w:szCs w:val="21"/>
                <w:highlight w:val="none"/>
                <w:lang w:eastAsia="zh-CN"/>
              </w:rPr>
            </w:pPr>
            <w:r>
              <w:rPr>
                <w:rFonts w:cs="Times New Roman"/>
                <w:color w:val="auto"/>
                <w:szCs w:val="21"/>
                <w:highlight w:val="none"/>
                <w:lang w:eastAsia="zh-CN"/>
              </w:rPr>
              <w:t>罚款立即执行。以发包人、监理公司核实为准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cantSplit/>
          <w:trHeight w:val="1136" w:hRule="atLeast"/>
          <w:jc w:val="center"/>
        </w:trPr>
        <w:tc>
          <w:tcPr>
            <w:tcW w:w="713" w:type="dxa"/>
            <w:vAlign w:val="center"/>
          </w:tcPr>
          <w:p>
            <w:pPr>
              <w:spacing w:line="360" w:lineRule="auto"/>
              <w:jc w:val="center"/>
              <w:rPr>
                <w:rFonts w:cs="Times New Roman"/>
                <w:color w:val="auto"/>
                <w:szCs w:val="21"/>
                <w:highlight w:val="none"/>
              </w:rPr>
            </w:pPr>
            <w:r>
              <w:rPr>
                <w:rFonts w:cs="Times New Roman"/>
                <w:color w:val="auto"/>
                <w:szCs w:val="21"/>
                <w:highlight w:val="none"/>
              </w:rPr>
              <w:t>2</w:t>
            </w:r>
          </w:p>
        </w:tc>
        <w:tc>
          <w:tcPr>
            <w:tcW w:w="4592" w:type="dxa"/>
            <w:vAlign w:val="center"/>
          </w:tcPr>
          <w:p>
            <w:pPr>
              <w:snapToGrid w:val="0"/>
              <w:rPr>
                <w:rFonts w:cs="Times New Roman"/>
                <w:color w:val="auto"/>
                <w:szCs w:val="21"/>
                <w:highlight w:val="none"/>
                <w:lang w:eastAsia="zh-CN"/>
              </w:rPr>
            </w:pPr>
            <w:r>
              <w:rPr>
                <w:rFonts w:cs="Times New Roman"/>
                <w:color w:val="auto"/>
                <w:szCs w:val="21"/>
                <w:highlight w:val="none"/>
                <w:lang w:eastAsia="zh-CN"/>
              </w:rPr>
              <w:t>投标确定的主要管理人员不就位；</w:t>
            </w:r>
          </w:p>
          <w:p>
            <w:pPr>
              <w:snapToGrid w:val="0"/>
              <w:rPr>
                <w:rFonts w:cs="Times New Roman"/>
                <w:color w:val="auto"/>
                <w:szCs w:val="21"/>
                <w:highlight w:val="none"/>
                <w:lang w:eastAsia="zh-CN"/>
              </w:rPr>
            </w:pPr>
            <w:r>
              <w:rPr>
                <w:rFonts w:cs="Times New Roman"/>
                <w:color w:val="auto"/>
                <w:szCs w:val="21"/>
                <w:highlight w:val="none"/>
                <w:lang w:eastAsia="zh-CN"/>
              </w:rPr>
              <w:t>履约过程中，未提前15天以上以正式书面形式通知监理公司、发包人并获得批准，擅自更换主要管理人员</w:t>
            </w:r>
          </w:p>
        </w:tc>
        <w:tc>
          <w:tcPr>
            <w:tcW w:w="1984" w:type="dxa"/>
            <w:vAlign w:val="center"/>
          </w:tcPr>
          <w:p>
            <w:pPr>
              <w:snapToGrid w:val="0"/>
              <w:rPr>
                <w:rFonts w:cs="Times New Roman"/>
                <w:color w:val="auto"/>
                <w:szCs w:val="21"/>
                <w:highlight w:val="none"/>
              </w:rPr>
            </w:pPr>
            <w:r>
              <w:rPr>
                <w:rFonts w:cs="Times New Roman"/>
                <w:color w:val="auto"/>
                <w:szCs w:val="21"/>
                <w:highlight w:val="none"/>
              </w:rPr>
              <w:t>2万元</w:t>
            </w:r>
          </w:p>
        </w:tc>
        <w:tc>
          <w:tcPr>
            <w:tcW w:w="2442" w:type="dxa"/>
            <w:vAlign w:val="center"/>
          </w:tcPr>
          <w:p>
            <w:pPr>
              <w:snapToGrid w:val="0"/>
              <w:rPr>
                <w:rFonts w:cs="Times New Roman"/>
                <w:color w:val="auto"/>
                <w:szCs w:val="21"/>
                <w:highlight w:val="none"/>
                <w:lang w:eastAsia="zh-CN"/>
              </w:rPr>
            </w:pPr>
            <w:r>
              <w:rPr>
                <w:rFonts w:cs="Times New Roman"/>
                <w:color w:val="auto"/>
                <w:szCs w:val="21"/>
                <w:highlight w:val="none"/>
                <w:lang w:eastAsia="zh-CN"/>
              </w:rPr>
              <w:t>罚款立即执行。以发包人、监理公司核实为准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cantSplit/>
          <w:trHeight w:val="1136" w:hRule="atLeast"/>
          <w:jc w:val="center"/>
        </w:trPr>
        <w:tc>
          <w:tcPr>
            <w:tcW w:w="713" w:type="dxa"/>
            <w:vAlign w:val="center"/>
          </w:tcPr>
          <w:p>
            <w:pPr>
              <w:spacing w:line="360" w:lineRule="auto"/>
              <w:jc w:val="center"/>
              <w:rPr>
                <w:rFonts w:cs="Times New Roman"/>
                <w:color w:val="auto"/>
                <w:szCs w:val="21"/>
                <w:highlight w:val="none"/>
              </w:rPr>
            </w:pPr>
            <w:r>
              <w:rPr>
                <w:rFonts w:cs="Times New Roman"/>
                <w:color w:val="auto"/>
                <w:szCs w:val="21"/>
                <w:highlight w:val="none"/>
              </w:rPr>
              <w:t>3</w:t>
            </w:r>
          </w:p>
        </w:tc>
        <w:tc>
          <w:tcPr>
            <w:tcW w:w="4592" w:type="dxa"/>
            <w:vAlign w:val="center"/>
          </w:tcPr>
          <w:p>
            <w:pPr>
              <w:snapToGrid w:val="0"/>
              <w:rPr>
                <w:rFonts w:cs="Times New Roman"/>
                <w:color w:val="auto"/>
                <w:szCs w:val="21"/>
                <w:highlight w:val="none"/>
                <w:lang w:eastAsia="zh-CN"/>
              </w:rPr>
            </w:pPr>
            <w:r>
              <w:rPr>
                <w:rFonts w:cs="Times New Roman"/>
                <w:color w:val="auto"/>
                <w:szCs w:val="21"/>
                <w:highlight w:val="none"/>
                <w:lang w:eastAsia="zh-CN"/>
              </w:rPr>
              <w:t>发包人有权对不适合的项目主要管理人员向承包人提出更换并无需解释，接发包人书面通知后，承包人未在规定时间内将相关人员更换到位</w:t>
            </w:r>
          </w:p>
        </w:tc>
        <w:tc>
          <w:tcPr>
            <w:tcW w:w="1984" w:type="dxa"/>
            <w:vAlign w:val="center"/>
          </w:tcPr>
          <w:p>
            <w:pPr>
              <w:snapToGrid w:val="0"/>
              <w:rPr>
                <w:rFonts w:cs="Times New Roman"/>
                <w:color w:val="auto"/>
                <w:szCs w:val="21"/>
                <w:highlight w:val="none"/>
                <w:lang w:eastAsia="zh-CN"/>
              </w:rPr>
            </w:pPr>
            <w:r>
              <w:rPr>
                <w:rFonts w:cs="Times New Roman"/>
                <w:color w:val="auto"/>
                <w:szCs w:val="21"/>
                <w:highlight w:val="none"/>
                <w:lang w:eastAsia="zh-CN"/>
              </w:rPr>
              <w:t>项目经理1万元/天；其他主要管理人员</w:t>
            </w:r>
            <w:r>
              <w:rPr>
                <w:rFonts w:hint="eastAsia" w:cs="Times New Roman"/>
                <w:color w:val="auto"/>
                <w:szCs w:val="21"/>
                <w:highlight w:val="none"/>
                <w:lang w:eastAsia="zh-CN"/>
              </w:rPr>
              <w:t>0.5</w:t>
            </w:r>
            <w:r>
              <w:rPr>
                <w:rFonts w:cs="Times New Roman"/>
                <w:color w:val="auto"/>
                <w:szCs w:val="21"/>
                <w:highlight w:val="none"/>
                <w:lang w:eastAsia="zh-CN"/>
              </w:rPr>
              <w:t>万元/天，直至人员到位</w:t>
            </w:r>
          </w:p>
        </w:tc>
        <w:tc>
          <w:tcPr>
            <w:tcW w:w="2442" w:type="dxa"/>
            <w:vAlign w:val="center"/>
          </w:tcPr>
          <w:p>
            <w:pPr>
              <w:snapToGrid w:val="0"/>
              <w:rPr>
                <w:rFonts w:cs="Times New Roman"/>
                <w:color w:val="auto"/>
                <w:szCs w:val="21"/>
                <w:highlight w:val="none"/>
                <w:lang w:eastAsia="zh-CN"/>
              </w:rPr>
            </w:pPr>
            <w:r>
              <w:rPr>
                <w:rFonts w:cs="Times New Roman"/>
                <w:color w:val="auto"/>
                <w:szCs w:val="21"/>
                <w:highlight w:val="none"/>
                <w:lang w:eastAsia="zh-CN"/>
              </w:rPr>
              <w:t>发包人、监理公司确认为准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cantSplit/>
          <w:trHeight w:val="1136" w:hRule="atLeast"/>
          <w:jc w:val="center"/>
        </w:trPr>
        <w:tc>
          <w:tcPr>
            <w:tcW w:w="713" w:type="dxa"/>
            <w:vAlign w:val="center"/>
          </w:tcPr>
          <w:p>
            <w:pPr>
              <w:jc w:val="center"/>
              <w:rPr>
                <w:rFonts w:cs="Times New Roman"/>
                <w:color w:val="auto"/>
                <w:szCs w:val="21"/>
                <w:highlight w:val="none"/>
              </w:rPr>
            </w:pPr>
            <w:r>
              <w:rPr>
                <w:rFonts w:cs="Times New Roman"/>
                <w:color w:val="auto"/>
                <w:szCs w:val="21"/>
                <w:highlight w:val="none"/>
              </w:rPr>
              <w:t>4</w:t>
            </w:r>
          </w:p>
        </w:tc>
        <w:tc>
          <w:tcPr>
            <w:tcW w:w="4592" w:type="dxa"/>
            <w:vAlign w:val="center"/>
          </w:tcPr>
          <w:p>
            <w:pPr>
              <w:rPr>
                <w:rFonts w:cs="Times New Roman"/>
                <w:color w:val="auto"/>
                <w:szCs w:val="21"/>
                <w:highlight w:val="none"/>
                <w:lang w:eastAsia="zh-CN"/>
              </w:rPr>
            </w:pPr>
            <w:r>
              <w:rPr>
                <w:rFonts w:cs="Times New Roman"/>
                <w:color w:val="auto"/>
                <w:szCs w:val="21"/>
                <w:highlight w:val="none"/>
                <w:lang w:eastAsia="zh-CN"/>
              </w:rPr>
              <w:t>承包人不配合提供打卡记录或篡改打卡记录</w:t>
            </w:r>
          </w:p>
        </w:tc>
        <w:tc>
          <w:tcPr>
            <w:tcW w:w="1984" w:type="dxa"/>
            <w:vAlign w:val="center"/>
          </w:tcPr>
          <w:p>
            <w:pPr>
              <w:rPr>
                <w:rFonts w:cs="Times New Roman"/>
                <w:color w:val="auto"/>
                <w:szCs w:val="21"/>
                <w:highlight w:val="none"/>
                <w:lang w:eastAsia="zh-CN"/>
              </w:rPr>
            </w:pPr>
            <w:r>
              <w:rPr>
                <w:rFonts w:cs="Times New Roman"/>
                <w:color w:val="auto"/>
                <w:szCs w:val="21"/>
                <w:highlight w:val="none"/>
                <w:lang w:eastAsia="zh-CN"/>
              </w:rPr>
              <w:t>视情节严重程度，罚款1000~10000元/次</w:t>
            </w:r>
          </w:p>
        </w:tc>
        <w:tc>
          <w:tcPr>
            <w:tcW w:w="2442" w:type="dxa"/>
            <w:vAlign w:val="center"/>
          </w:tcPr>
          <w:p>
            <w:pPr>
              <w:rPr>
                <w:rFonts w:cs="Times New Roman"/>
                <w:color w:val="auto"/>
                <w:szCs w:val="21"/>
                <w:highlight w:val="none"/>
              </w:rPr>
            </w:pPr>
            <w:r>
              <w:rPr>
                <w:rFonts w:cs="Times New Roman"/>
                <w:color w:val="auto"/>
                <w:szCs w:val="21"/>
                <w:highlight w:val="none"/>
              </w:rPr>
              <w:t>发包人核实为准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cantSplit/>
          <w:trHeight w:val="1136" w:hRule="atLeast"/>
          <w:jc w:val="center"/>
        </w:trPr>
        <w:tc>
          <w:tcPr>
            <w:tcW w:w="713" w:type="dxa"/>
            <w:vAlign w:val="center"/>
          </w:tcPr>
          <w:p>
            <w:pPr>
              <w:jc w:val="center"/>
              <w:rPr>
                <w:rFonts w:cs="Times New Roman"/>
                <w:color w:val="auto"/>
                <w:szCs w:val="21"/>
                <w:highlight w:val="none"/>
              </w:rPr>
            </w:pPr>
            <w:r>
              <w:rPr>
                <w:rFonts w:cs="Times New Roman"/>
                <w:color w:val="auto"/>
                <w:szCs w:val="21"/>
                <w:highlight w:val="none"/>
              </w:rPr>
              <w:t>4</w:t>
            </w:r>
          </w:p>
        </w:tc>
        <w:tc>
          <w:tcPr>
            <w:tcW w:w="4592" w:type="dxa"/>
            <w:vAlign w:val="center"/>
          </w:tcPr>
          <w:p>
            <w:pPr>
              <w:rPr>
                <w:rFonts w:cs="Times New Roman"/>
                <w:color w:val="auto"/>
                <w:szCs w:val="21"/>
                <w:highlight w:val="none"/>
                <w:lang w:eastAsia="zh-CN"/>
              </w:rPr>
            </w:pPr>
            <w:r>
              <w:rPr>
                <w:rFonts w:cs="Times New Roman"/>
                <w:color w:val="auto"/>
                <w:szCs w:val="21"/>
                <w:highlight w:val="none"/>
                <w:lang w:eastAsia="zh-CN"/>
              </w:rPr>
              <w:t>承包人在合同（投标书）中确定的项目经理及主要管理人员周出勤率不足90%</w:t>
            </w:r>
          </w:p>
        </w:tc>
        <w:tc>
          <w:tcPr>
            <w:tcW w:w="1984" w:type="dxa"/>
            <w:vAlign w:val="center"/>
          </w:tcPr>
          <w:p>
            <w:pPr>
              <w:rPr>
                <w:rFonts w:cs="Times New Roman"/>
                <w:color w:val="auto"/>
                <w:szCs w:val="21"/>
                <w:highlight w:val="none"/>
                <w:lang w:eastAsia="zh-CN"/>
              </w:rPr>
            </w:pPr>
            <w:r>
              <w:rPr>
                <w:rFonts w:cs="Times New Roman"/>
                <w:color w:val="auto"/>
                <w:szCs w:val="21"/>
                <w:highlight w:val="none"/>
                <w:lang w:eastAsia="zh-CN"/>
              </w:rPr>
              <w:t>项目经理出勤率不足的，罚款</w:t>
            </w:r>
            <w:r>
              <w:rPr>
                <w:rFonts w:hint="eastAsia" w:cs="Times New Roman"/>
                <w:color w:val="auto"/>
                <w:szCs w:val="21"/>
                <w:highlight w:val="none"/>
                <w:lang w:eastAsia="zh-CN"/>
              </w:rPr>
              <w:t>3</w:t>
            </w:r>
            <w:r>
              <w:rPr>
                <w:rFonts w:cs="Times New Roman"/>
                <w:color w:val="auto"/>
                <w:szCs w:val="21"/>
                <w:highlight w:val="none"/>
                <w:lang w:eastAsia="zh-CN"/>
              </w:rPr>
              <w:t>000元／天·人，其他人员出勤率不足的，罚款</w:t>
            </w:r>
            <w:r>
              <w:rPr>
                <w:rFonts w:hint="eastAsia" w:cs="Times New Roman"/>
                <w:color w:val="auto"/>
                <w:szCs w:val="21"/>
                <w:highlight w:val="none"/>
                <w:lang w:eastAsia="zh-CN"/>
              </w:rPr>
              <w:t>1</w:t>
            </w:r>
            <w:r>
              <w:rPr>
                <w:rFonts w:cs="Times New Roman"/>
                <w:color w:val="auto"/>
                <w:szCs w:val="21"/>
                <w:highlight w:val="none"/>
                <w:lang w:eastAsia="zh-CN"/>
              </w:rPr>
              <w:t>000元／天·人</w:t>
            </w:r>
          </w:p>
        </w:tc>
        <w:tc>
          <w:tcPr>
            <w:tcW w:w="2442" w:type="dxa"/>
            <w:vAlign w:val="center"/>
          </w:tcPr>
          <w:p>
            <w:pPr>
              <w:rPr>
                <w:rFonts w:cs="Times New Roman"/>
                <w:color w:val="auto"/>
                <w:szCs w:val="21"/>
                <w:highlight w:val="none"/>
                <w:lang w:eastAsia="zh-CN"/>
              </w:rPr>
            </w:pPr>
            <w:r>
              <w:rPr>
                <w:rFonts w:cs="Times New Roman"/>
                <w:color w:val="auto"/>
                <w:szCs w:val="21"/>
                <w:highlight w:val="none"/>
                <w:lang w:eastAsia="zh-CN"/>
              </w:rPr>
              <w:t>指纹打卡记录以及发包人、监理单位检查为准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cantSplit/>
          <w:trHeight w:val="1136" w:hRule="atLeast"/>
          <w:jc w:val="center"/>
        </w:trPr>
        <w:tc>
          <w:tcPr>
            <w:tcW w:w="713" w:type="dxa"/>
            <w:vAlign w:val="center"/>
          </w:tcPr>
          <w:p>
            <w:pPr>
              <w:spacing w:line="360" w:lineRule="auto"/>
              <w:jc w:val="center"/>
              <w:rPr>
                <w:rFonts w:cs="Times New Roman"/>
                <w:color w:val="auto"/>
                <w:szCs w:val="21"/>
                <w:highlight w:val="none"/>
              </w:rPr>
            </w:pPr>
            <w:r>
              <w:rPr>
                <w:rFonts w:cs="Times New Roman"/>
                <w:color w:val="auto"/>
                <w:szCs w:val="21"/>
                <w:highlight w:val="none"/>
              </w:rPr>
              <w:t>5</w:t>
            </w:r>
          </w:p>
        </w:tc>
        <w:tc>
          <w:tcPr>
            <w:tcW w:w="4592" w:type="dxa"/>
            <w:vAlign w:val="center"/>
          </w:tcPr>
          <w:p>
            <w:pPr>
              <w:snapToGrid w:val="0"/>
              <w:rPr>
                <w:rFonts w:cs="Times New Roman"/>
                <w:color w:val="auto"/>
                <w:szCs w:val="21"/>
                <w:highlight w:val="none"/>
                <w:lang w:eastAsia="zh-CN"/>
              </w:rPr>
            </w:pPr>
            <w:r>
              <w:rPr>
                <w:rFonts w:cs="Times New Roman"/>
                <w:color w:val="auto"/>
                <w:szCs w:val="21"/>
                <w:highlight w:val="none"/>
                <w:lang w:eastAsia="zh-CN"/>
              </w:rPr>
              <w:t>项目经理、项目技术负责人和项目副经理必须常驻现场，离开现场超过一天的，未向发包人项目部请假</w:t>
            </w:r>
          </w:p>
        </w:tc>
        <w:tc>
          <w:tcPr>
            <w:tcW w:w="1984" w:type="dxa"/>
            <w:vAlign w:val="center"/>
          </w:tcPr>
          <w:p>
            <w:pPr>
              <w:snapToGrid w:val="0"/>
              <w:rPr>
                <w:rFonts w:cs="Times New Roman"/>
                <w:color w:val="auto"/>
                <w:szCs w:val="21"/>
                <w:highlight w:val="none"/>
              </w:rPr>
            </w:pPr>
            <w:r>
              <w:rPr>
                <w:rFonts w:cs="Times New Roman"/>
                <w:color w:val="auto"/>
                <w:szCs w:val="21"/>
                <w:highlight w:val="none"/>
              </w:rPr>
              <w:t>2000元/人·天</w:t>
            </w:r>
          </w:p>
        </w:tc>
        <w:tc>
          <w:tcPr>
            <w:tcW w:w="2442" w:type="dxa"/>
            <w:vAlign w:val="center"/>
          </w:tcPr>
          <w:p>
            <w:pPr>
              <w:snapToGrid w:val="0"/>
              <w:rPr>
                <w:rFonts w:cs="Times New Roman"/>
                <w:color w:val="auto"/>
                <w:szCs w:val="21"/>
                <w:highlight w:val="none"/>
              </w:rPr>
            </w:pPr>
            <w:r>
              <w:rPr>
                <w:rFonts w:cs="Times New Roman"/>
                <w:color w:val="auto"/>
                <w:szCs w:val="21"/>
                <w:highlight w:val="none"/>
              </w:rPr>
              <w:t>发包人、监理核实</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cantSplit/>
          <w:trHeight w:val="1136" w:hRule="atLeast"/>
          <w:jc w:val="center"/>
        </w:trPr>
        <w:tc>
          <w:tcPr>
            <w:tcW w:w="713" w:type="dxa"/>
            <w:vAlign w:val="center"/>
          </w:tcPr>
          <w:p>
            <w:pPr>
              <w:spacing w:line="360" w:lineRule="auto"/>
              <w:jc w:val="center"/>
              <w:rPr>
                <w:rFonts w:cs="Times New Roman"/>
                <w:color w:val="auto"/>
                <w:szCs w:val="21"/>
                <w:highlight w:val="none"/>
              </w:rPr>
            </w:pPr>
            <w:r>
              <w:rPr>
                <w:rFonts w:cs="Times New Roman"/>
                <w:color w:val="auto"/>
                <w:szCs w:val="21"/>
                <w:highlight w:val="none"/>
              </w:rPr>
              <w:t>6</w:t>
            </w:r>
          </w:p>
        </w:tc>
        <w:tc>
          <w:tcPr>
            <w:tcW w:w="4592" w:type="dxa"/>
            <w:vAlign w:val="center"/>
          </w:tcPr>
          <w:p>
            <w:pPr>
              <w:snapToGrid w:val="0"/>
              <w:rPr>
                <w:rFonts w:cs="Times New Roman"/>
                <w:color w:val="auto"/>
                <w:szCs w:val="21"/>
                <w:highlight w:val="none"/>
                <w:lang w:eastAsia="zh-CN"/>
              </w:rPr>
            </w:pPr>
            <w:r>
              <w:rPr>
                <w:rFonts w:cs="Times New Roman"/>
                <w:color w:val="auto"/>
                <w:szCs w:val="21"/>
                <w:highlight w:val="none"/>
                <w:lang w:eastAsia="zh-CN"/>
              </w:rPr>
              <w:t>项目经理、项目技术负责人和项目副经理必须常驻现场，若暂时离开现场3天，未按照要求向发包人项目部请假，或未指定适合的项目经理代表、项目技术负责人代行其职责并书面通知监理及发包人</w:t>
            </w:r>
          </w:p>
        </w:tc>
        <w:tc>
          <w:tcPr>
            <w:tcW w:w="1984" w:type="dxa"/>
            <w:vAlign w:val="center"/>
          </w:tcPr>
          <w:p>
            <w:pPr>
              <w:snapToGrid w:val="0"/>
              <w:rPr>
                <w:rFonts w:cs="Times New Roman"/>
                <w:color w:val="auto"/>
                <w:szCs w:val="21"/>
                <w:highlight w:val="none"/>
              </w:rPr>
            </w:pPr>
            <w:r>
              <w:rPr>
                <w:rFonts w:cs="Times New Roman"/>
                <w:color w:val="auto"/>
                <w:szCs w:val="21"/>
                <w:highlight w:val="none"/>
              </w:rPr>
              <w:t>5000元/人·天</w:t>
            </w:r>
          </w:p>
        </w:tc>
        <w:tc>
          <w:tcPr>
            <w:tcW w:w="2442" w:type="dxa"/>
            <w:vAlign w:val="center"/>
          </w:tcPr>
          <w:p>
            <w:pPr>
              <w:snapToGrid w:val="0"/>
              <w:rPr>
                <w:rFonts w:cs="Times New Roman"/>
                <w:color w:val="auto"/>
                <w:szCs w:val="21"/>
                <w:highlight w:val="none"/>
              </w:rPr>
            </w:pPr>
            <w:r>
              <w:rPr>
                <w:rFonts w:cs="Times New Roman"/>
                <w:color w:val="auto"/>
                <w:szCs w:val="21"/>
                <w:highlight w:val="none"/>
              </w:rPr>
              <w:t>发包人、监理核实</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cantSplit/>
          <w:trHeight w:val="1136" w:hRule="atLeast"/>
          <w:jc w:val="center"/>
        </w:trPr>
        <w:tc>
          <w:tcPr>
            <w:tcW w:w="713" w:type="dxa"/>
            <w:vAlign w:val="center"/>
          </w:tcPr>
          <w:p>
            <w:pPr>
              <w:jc w:val="center"/>
              <w:rPr>
                <w:rFonts w:cs="Times New Roman"/>
                <w:color w:val="auto"/>
                <w:szCs w:val="21"/>
                <w:highlight w:val="none"/>
              </w:rPr>
            </w:pPr>
            <w:r>
              <w:rPr>
                <w:rFonts w:cs="Times New Roman"/>
                <w:color w:val="auto"/>
                <w:szCs w:val="21"/>
                <w:highlight w:val="none"/>
              </w:rPr>
              <w:t>7</w:t>
            </w:r>
          </w:p>
        </w:tc>
        <w:tc>
          <w:tcPr>
            <w:tcW w:w="4592" w:type="dxa"/>
            <w:vAlign w:val="center"/>
          </w:tcPr>
          <w:p>
            <w:pPr>
              <w:rPr>
                <w:rFonts w:cs="Times New Roman"/>
                <w:color w:val="auto"/>
                <w:szCs w:val="21"/>
                <w:highlight w:val="none"/>
                <w:lang w:eastAsia="zh-CN"/>
              </w:rPr>
            </w:pPr>
            <w:r>
              <w:rPr>
                <w:rFonts w:cs="Times New Roman"/>
                <w:color w:val="auto"/>
                <w:szCs w:val="21"/>
                <w:highlight w:val="none"/>
                <w:lang w:eastAsia="zh-CN"/>
              </w:rPr>
              <w:t>承包人其他的现场施工管理人员不到岗或脱岗影响工作，视为内部管理混乱，经发包（监理）方催告累计两次后仍无效</w:t>
            </w:r>
          </w:p>
        </w:tc>
        <w:tc>
          <w:tcPr>
            <w:tcW w:w="1984" w:type="dxa"/>
            <w:vAlign w:val="center"/>
          </w:tcPr>
          <w:p>
            <w:pPr>
              <w:rPr>
                <w:rFonts w:cs="Times New Roman"/>
                <w:color w:val="auto"/>
                <w:szCs w:val="21"/>
                <w:highlight w:val="none"/>
                <w:lang w:eastAsia="zh-CN"/>
              </w:rPr>
            </w:pPr>
            <w:r>
              <w:rPr>
                <w:rFonts w:cs="Times New Roman"/>
                <w:color w:val="auto"/>
                <w:szCs w:val="21"/>
                <w:highlight w:val="none"/>
                <w:lang w:eastAsia="zh-CN"/>
              </w:rPr>
              <w:t>视情节严重程度，罚款500~2000元/次</w:t>
            </w:r>
          </w:p>
        </w:tc>
        <w:tc>
          <w:tcPr>
            <w:tcW w:w="2442" w:type="dxa"/>
            <w:vAlign w:val="center"/>
          </w:tcPr>
          <w:p>
            <w:pPr>
              <w:rPr>
                <w:rFonts w:cs="Times New Roman"/>
                <w:color w:val="auto"/>
                <w:szCs w:val="21"/>
                <w:highlight w:val="none"/>
                <w:lang w:eastAsia="zh-CN"/>
              </w:rPr>
            </w:pPr>
            <w:r>
              <w:rPr>
                <w:rFonts w:cs="Times New Roman"/>
                <w:color w:val="auto"/>
                <w:szCs w:val="21"/>
                <w:highlight w:val="none"/>
                <w:lang w:eastAsia="zh-CN"/>
              </w:rPr>
              <w:t>根据发包人及监理现场记录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cantSplit/>
          <w:trHeight w:val="688" w:hRule="atLeast"/>
          <w:jc w:val="center"/>
        </w:trPr>
        <w:tc>
          <w:tcPr>
            <w:tcW w:w="713" w:type="dxa"/>
            <w:vAlign w:val="center"/>
          </w:tcPr>
          <w:p>
            <w:pPr>
              <w:jc w:val="center"/>
              <w:rPr>
                <w:rFonts w:cs="Times New Roman"/>
                <w:color w:val="auto"/>
                <w:szCs w:val="21"/>
                <w:highlight w:val="none"/>
              </w:rPr>
            </w:pPr>
            <w:r>
              <w:rPr>
                <w:rFonts w:cs="Times New Roman"/>
                <w:color w:val="auto"/>
                <w:szCs w:val="21"/>
                <w:highlight w:val="none"/>
              </w:rPr>
              <w:t>8</w:t>
            </w:r>
          </w:p>
        </w:tc>
        <w:tc>
          <w:tcPr>
            <w:tcW w:w="4592" w:type="dxa"/>
            <w:vAlign w:val="center"/>
          </w:tcPr>
          <w:p>
            <w:pPr>
              <w:rPr>
                <w:rFonts w:cs="Times New Roman"/>
                <w:color w:val="auto"/>
                <w:szCs w:val="21"/>
                <w:highlight w:val="none"/>
                <w:lang w:eastAsia="zh-CN"/>
              </w:rPr>
            </w:pPr>
            <w:r>
              <w:rPr>
                <w:rFonts w:cs="Times New Roman"/>
                <w:color w:val="auto"/>
                <w:szCs w:val="21"/>
                <w:highlight w:val="none"/>
                <w:lang w:eastAsia="zh-CN"/>
              </w:rPr>
              <w:t>对于不能保证施工质量、工期、安全的班组及不称职的施工管理人员，发包人有权要求撤换，并限期离开施工现场；如在限期过后不离开现场、不更换、或更换不到位的。</w:t>
            </w:r>
          </w:p>
        </w:tc>
        <w:tc>
          <w:tcPr>
            <w:tcW w:w="1984" w:type="dxa"/>
            <w:vAlign w:val="center"/>
          </w:tcPr>
          <w:p>
            <w:pPr>
              <w:rPr>
                <w:rFonts w:cs="Times New Roman"/>
                <w:color w:val="auto"/>
                <w:szCs w:val="21"/>
                <w:highlight w:val="none"/>
              </w:rPr>
            </w:pPr>
            <w:r>
              <w:rPr>
                <w:rFonts w:cs="Times New Roman"/>
                <w:color w:val="auto"/>
                <w:szCs w:val="21"/>
                <w:highlight w:val="none"/>
              </w:rPr>
              <w:t>5000元/人·天</w:t>
            </w:r>
          </w:p>
        </w:tc>
        <w:tc>
          <w:tcPr>
            <w:tcW w:w="2442" w:type="dxa"/>
            <w:vAlign w:val="center"/>
          </w:tcPr>
          <w:p>
            <w:pPr>
              <w:rPr>
                <w:rFonts w:cs="Times New Roman"/>
                <w:color w:val="auto"/>
                <w:szCs w:val="21"/>
                <w:highlight w:val="none"/>
              </w:rPr>
            </w:pPr>
            <w:r>
              <w:rPr>
                <w:rFonts w:cs="Times New Roman"/>
                <w:color w:val="auto"/>
                <w:szCs w:val="21"/>
                <w:highlight w:val="none"/>
              </w:rPr>
              <w:t>发包人、监理核实</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cantSplit/>
          <w:trHeight w:val="1136" w:hRule="atLeast"/>
          <w:jc w:val="center"/>
        </w:trPr>
        <w:tc>
          <w:tcPr>
            <w:tcW w:w="713" w:type="dxa"/>
            <w:vAlign w:val="center"/>
          </w:tcPr>
          <w:p>
            <w:pPr>
              <w:jc w:val="center"/>
              <w:rPr>
                <w:rFonts w:cs="Times New Roman"/>
                <w:color w:val="auto"/>
                <w:szCs w:val="21"/>
                <w:highlight w:val="none"/>
              </w:rPr>
            </w:pPr>
            <w:r>
              <w:rPr>
                <w:rFonts w:cs="Times New Roman"/>
                <w:color w:val="auto"/>
                <w:szCs w:val="21"/>
                <w:highlight w:val="none"/>
              </w:rPr>
              <w:t>9</w:t>
            </w:r>
          </w:p>
        </w:tc>
        <w:tc>
          <w:tcPr>
            <w:tcW w:w="4592" w:type="dxa"/>
            <w:vAlign w:val="center"/>
          </w:tcPr>
          <w:p>
            <w:pPr>
              <w:rPr>
                <w:rFonts w:cs="Times New Roman"/>
                <w:color w:val="auto"/>
                <w:szCs w:val="21"/>
                <w:highlight w:val="none"/>
                <w:lang w:eastAsia="zh-CN"/>
              </w:rPr>
            </w:pPr>
            <w:r>
              <w:rPr>
                <w:rFonts w:cs="Times New Roman"/>
                <w:color w:val="auto"/>
                <w:szCs w:val="21"/>
                <w:highlight w:val="none"/>
                <w:lang w:eastAsia="zh-CN"/>
              </w:rPr>
              <w:t>承包人项目部相关人员未按照发包人及监理单位要求参加工程相关会议，擅自缺席</w:t>
            </w:r>
          </w:p>
        </w:tc>
        <w:tc>
          <w:tcPr>
            <w:tcW w:w="1984" w:type="dxa"/>
            <w:vAlign w:val="center"/>
          </w:tcPr>
          <w:p>
            <w:pPr>
              <w:rPr>
                <w:rFonts w:cs="Times New Roman"/>
                <w:color w:val="auto"/>
                <w:szCs w:val="21"/>
                <w:highlight w:val="none"/>
                <w:lang w:eastAsia="zh-CN"/>
              </w:rPr>
            </w:pPr>
            <w:r>
              <w:rPr>
                <w:rFonts w:cs="Times New Roman"/>
                <w:color w:val="auto"/>
                <w:szCs w:val="21"/>
                <w:highlight w:val="none"/>
                <w:lang w:eastAsia="zh-CN"/>
              </w:rPr>
              <w:t>视情节严重程度，罚款500~2000元/人·次</w:t>
            </w:r>
          </w:p>
        </w:tc>
        <w:tc>
          <w:tcPr>
            <w:tcW w:w="2442" w:type="dxa"/>
            <w:vAlign w:val="center"/>
          </w:tcPr>
          <w:p>
            <w:pPr>
              <w:rPr>
                <w:rFonts w:cs="Times New Roman"/>
                <w:color w:val="auto"/>
                <w:szCs w:val="21"/>
                <w:highlight w:val="none"/>
                <w:lang w:eastAsia="zh-CN"/>
              </w:rPr>
            </w:pPr>
            <w:r>
              <w:rPr>
                <w:rFonts w:cs="Times New Roman"/>
                <w:color w:val="auto"/>
                <w:szCs w:val="21"/>
                <w:highlight w:val="none"/>
                <w:lang w:eastAsia="zh-CN"/>
              </w:rPr>
              <w:t>会议签到并经发包人、监理核实</w:t>
            </w:r>
          </w:p>
        </w:tc>
      </w:tr>
    </w:tbl>
    <w:p>
      <w:pPr>
        <w:rPr>
          <w:rFonts w:cs="Times New Roman"/>
          <w:color w:val="auto"/>
          <w:szCs w:val="21"/>
          <w:highlight w:val="none"/>
          <w:lang w:eastAsia="zh-CN"/>
        </w:rPr>
      </w:pPr>
    </w:p>
    <w:p>
      <w:pPr>
        <w:spacing w:before="240" w:after="240"/>
        <w:outlineLvl w:val="2"/>
        <w:rPr>
          <w:b/>
          <w:color w:val="auto"/>
          <w:highlight w:val="none"/>
          <w:lang w:eastAsia="zh-CN"/>
        </w:rPr>
      </w:pPr>
      <w:r>
        <w:rPr>
          <w:b/>
          <w:color w:val="auto"/>
          <w:highlight w:val="none"/>
          <w:lang w:eastAsia="zh-CN"/>
        </w:rPr>
        <w:t>2、安全文明施工处罚细则</w:t>
      </w:r>
    </w:p>
    <w:tbl>
      <w:tblPr>
        <w:tblStyle w:val="8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1613"/>
        <w:gridCol w:w="3891"/>
        <w:gridCol w:w="1584"/>
        <w:gridCol w:w="142"/>
        <w:gridCol w:w="19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ind w:right="-165"/>
              <w:jc w:val="center"/>
              <w:rPr>
                <w:rFonts w:cs="Times New Roman"/>
                <w:b/>
                <w:color w:val="auto"/>
                <w:szCs w:val="21"/>
                <w:highlight w:val="none"/>
              </w:rPr>
            </w:pPr>
            <w:r>
              <w:rPr>
                <w:rFonts w:cs="Times New Roman"/>
                <w:b/>
                <w:color w:val="auto"/>
                <w:szCs w:val="21"/>
                <w:highlight w:val="none"/>
              </w:rPr>
              <w:t>序号</w:t>
            </w:r>
          </w:p>
        </w:tc>
        <w:tc>
          <w:tcPr>
            <w:tcW w:w="3891" w:type="dxa"/>
            <w:vAlign w:val="center"/>
          </w:tcPr>
          <w:p>
            <w:pPr>
              <w:spacing w:line="360" w:lineRule="auto"/>
              <w:ind w:right="-165"/>
              <w:jc w:val="center"/>
              <w:rPr>
                <w:rFonts w:cs="Times New Roman"/>
                <w:b/>
                <w:color w:val="auto"/>
                <w:szCs w:val="21"/>
                <w:highlight w:val="none"/>
              </w:rPr>
            </w:pPr>
            <w:r>
              <w:rPr>
                <w:rFonts w:cs="Times New Roman"/>
                <w:b/>
                <w:color w:val="auto"/>
                <w:szCs w:val="21"/>
                <w:highlight w:val="none"/>
              </w:rPr>
              <w:t>事项</w:t>
            </w:r>
          </w:p>
        </w:tc>
        <w:tc>
          <w:tcPr>
            <w:tcW w:w="1584" w:type="dxa"/>
          </w:tcPr>
          <w:p>
            <w:pPr>
              <w:spacing w:line="360" w:lineRule="auto"/>
              <w:ind w:right="-165"/>
              <w:jc w:val="center"/>
              <w:rPr>
                <w:rFonts w:cs="Times New Roman"/>
                <w:b/>
                <w:color w:val="auto"/>
                <w:szCs w:val="21"/>
                <w:highlight w:val="none"/>
              </w:rPr>
            </w:pPr>
            <w:r>
              <w:rPr>
                <w:rFonts w:cs="Times New Roman"/>
                <w:b/>
                <w:color w:val="auto"/>
                <w:szCs w:val="21"/>
                <w:highlight w:val="none"/>
              </w:rPr>
              <w:t>处罚标准</w:t>
            </w:r>
          </w:p>
        </w:tc>
        <w:tc>
          <w:tcPr>
            <w:tcW w:w="2126" w:type="dxa"/>
            <w:gridSpan w:val="2"/>
            <w:vAlign w:val="center"/>
          </w:tcPr>
          <w:p>
            <w:pPr>
              <w:spacing w:line="360" w:lineRule="auto"/>
              <w:ind w:right="-165"/>
              <w:jc w:val="center"/>
              <w:rPr>
                <w:rFonts w:cs="Times New Roman"/>
                <w:b/>
                <w:color w:val="auto"/>
                <w:szCs w:val="21"/>
                <w:highlight w:val="none"/>
              </w:rPr>
            </w:pPr>
            <w:r>
              <w:rPr>
                <w:rFonts w:cs="Times New Roman"/>
                <w:b/>
                <w:color w:val="auto"/>
                <w:szCs w:val="21"/>
                <w:highlight w:val="none"/>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9214" w:type="dxa"/>
            <w:gridSpan w:val="5"/>
            <w:vAlign w:val="center"/>
          </w:tcPr>
          <w:p>
            <w:pPr>
              <w:spacing w:line="360" w:lineRule="auto"/>
              <w:ind w:right="-165"/>
              <w:rPr>
                <w:rFonts w:cs="Times New Roman"/>
                <w:color w:val="auto"/>
                <w:szCs w:val="21"/>
                <w:highlight w:val="none"/>
              </w:rPr>
            </w:pPr>
            <w:r>
              <w:rPr>
                <w:rFonts w:cs="Times New Roman"/>
                <w:color w:val="auto"/>
                <w:szCs w:val="21"/>
                <w:highlight w:val="none"/>
              </w:rPr>
              <w:t>组织机构与人员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cs="Times New Roman"/>
                <w:color w:val="auto"/>
                <w:szCs w:val="21"/>
                <w:highlight w:val="none"/>
              </w:rPr>
              <w:t>1</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未建立健全安全管理组织机构或管理网络。</w:t>
            </w:r>
          </w:p>
        </w:tc>
        <w:tc>
          <w:tcPr>
            <w:tcW w:w="1584" w:type="dxa"/>
            <w:vAlign w:val="center"/>
          </w:tcPr>
          <w:p>
            <w:pPr>
              <w:rPr>
                <w:rFonts w:cs="Times New Roman"/>
                <w:color w:val="auto"/>
                <w:szCs w:val="21"/>
                <w:highlight w:val="none"/>
              </w:rPr>
            </w:pPr>
            <w:r>
              <w:rPr>
                <w:rFonts w:hint="eastAsia" w:cs="Times New Roman"/>
                <w:color w:val="auto"/>
                <w:szCs w:val="21"/>
                <w:highlight w:val="none"/>
              </w:rPr>
              <w:t>2</w:t>
            </w:r>
            <w:r>
              <w:rPr>
                <w:rFonts w:cs="Times New Roman"/>
                <w:color w:val="auto"/>
                <w:szCs w:val="21"/>
                <w:highlight w:val="none"/>
              </w:rPr>
              <w:t>0000~50000</w:t>
            </w:r>
          </w:p>
        </w:tc>
        <w:tc>
          <w:tcPr>
            <w:tcW w:w="2126" w:type="dxa"/>
            <w:gridSpan w:val="2"/>
            <w:vAlign w:val="center"/>
          </w:tcPr>
          <w:p>
            <w:pPr>
              <w:rPr>
                <w:rFonts w:cs="Times New Roman"/>
                <w:color w:val="auto"/>
                <w:szCs w:val="21"/>
                <w:highlight w:val="none"/>
                <w:lang w:eastAsia="zh-CN"/>
              </w:rPr>
            </w:pPr>
            <w:r>
              <w:rPr>
                <w:rFonts w:cs="Times New Roman"/>
                <w:color w:val="auto"/>
                <w:szCs w:val="21"/>
                <w:highlight w:val="none"/>
                <w:lang w:eastAsia="zh-CN"/>
              </w:rPr>
              <w:t>罚款立即执行。以发包人、监理公司核实为准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cs="Times New Roman"/>
                <w:color w:val="auto"/>
                <w:szCs w:val="21"/>
                <w:highlight w:val="none"/>
              </w:rPr>
              <w:t>2</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未按规定配备专职安全管理人员，或未根据工程实际增配符合要求的专（兼）职安全管理人员。</w:t>
            </w:r>
          </w:p>
        </w:tc>
        <w:tc>
          <w:tcPr>
            <w:tcW w:w="1584" w:type="dxa"/>
            <w:vAlign w:val="center"/>
          </w:tcPr>
          <w:p>
            <w:pPr>
              <w:rPr>
                <w:rFonts w:cs="Times New Roman"/>
                <w:color w:val="auto"/>
                <w:szCs w:val="21"/>
                <w:highlight w:val="none"/>
              </w:rPr>
            </w:pPr>
            <w:r>
              <w:rPr>
                <w:rFonts w:cs="Times New Roman"/>
                <w:color w:val="auto"/>
                <w:szCs w:val="21"/>
                <w:highlight w:val="none"/>
              </w:rPr>
              <w:t>10000~20000</w:t>
            </w:r>
          </w:p>
        </w:tc>
        <w:tc>
          <w:tcPr>
            <w:tcW w:w="2126" w:type="dxa"/>
            <w:gridSpan w:val="2"/>
            <w:vAlign w:val="center"/>
          </w:tcPr>
          <w:p>
            <w:pPr>
              <w:rPr>
                <w:rFonts w:cs="Times New Roman"/>
                <w:color w:val="auto"/>
                <w:szCs w:val="21"/>
                <w:highlight w:val="none"/>
                <w:lang w:eastAsia="zh-CN"/>
              </w:rPr>
            </w:pPr>
            <w:r>
              <w:rPr>
                <w:rFonts w:cs="Times New Roman"/>
                <w:color w:val="auto"/>
                <w:szCs w:val="21"/>
                <w:highlight w:val="none"/>
                <w:lang w:eastAsia="zh-CN"/>
              </w:rPr>
              <w:t>罚款立即执行。以发包人、监理公司核实为准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9214" w:type="dxa"/>
            <w:gridSpan w:val="5"/>
            <w:vAlign w:val="center"/>
          </w:tcPr>
          <w:p>
            <w:pPr>
              <w:rPr>
                <w:rFonts w:cs="Times New Roman"/>
                <w:color w:val="auto"/>
                <w:szCs w:val="21"/>
                <w:highlight w:val="none"/>
              </w:rPr>
            </w:pPr>
            <w:r>
              <w:rPr>
                <w:rFonts w:cs="Times New Roman"/>
                <w:color w:val="auto"/>
                <w:szCs w:val="21"/>
                <w:highlight w:val="none"/>
              </w:rPr>
              <w:t>安全生产管理制度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cs="Times New Roman"/>
                <w:color w:val="auto"/>
                <w:szCs w:val="21"/>
                <w:highlight w:val="none"/>
              </w:rPr>
              <w:t>3</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未按规定建立健全安全生产责任制、安全生产目标管理制度等EHS管理制度。</w:t>
            </w:r>
          </w:p>
        </w:tc>
        <w:tc>
          <w:tcPr>
            <w:tcW w:w="1584" w:type="dxa"/>
            <w:vAlign w:val="center"/>
          </w:tcPr>
          <w:p>
            <w:pPr>
              <w:rPr>
                <w:rFonts w:cs="Times New Roman"/>
                <w:color w:val="auto"/>
                <w:szCs w:val="21"/>
                <w:highlight w:val="none"/>
              </w:rPr>
            </w:pPr>
            <w:r>
              <w:rPr>
                <w:rFonts w:cs="Times New Roman"/>
                <w:color w:val="auto"/>
                <w:szCs w:val="21"/>
                <w:highlight w:val="none"/>
              </w:rPr>
              <w:t>2000~5000</w:t>
            </w:r>
          </w:p>
        </w:tc>
        <w:tc>
          <w:tcPr>
            <w:tcW w:w="2126" w:type="dxa"/>
            <w:gridSpan w:val="2"/>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以发包人、监理公司核实为准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cs="Times New Roman"/>
                <w:color w:val="auto"/>
                <w:szCs w:val="21"/>
                <w:highlight w:val="none"/>
              </w:rPr>
              <w:t>4</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EHS管理制度针对性、实用性不强，经发包人提出整改要求后，未及时落实整改的。</w:t>
            </w:r>
          </w:p>
        </w:tc>
        <w:tc>
          <w:tcPr>
            <w:tcW w:w="1584" w:type="dxa"/>
            <w:vAlign w:val="center"/>
          </w:tcPr>
          <w:p>
            <w:pPr>
              <w:rPr>
                <w:rFonts w:cs="Times New Roman"/>
                <w:color w:val="auto"/>
                <w:szCs w:val="21"/>
                <w:highlight w:val="none"/>
              </w:rPr>
            </w:pPr>
            <w:r>
              <w:rPr>
                <w:rFonts w:cs="Times New Roman"/>
                <w:color w:val="auto"/>
                <w:szCs w:val="21"/>
                <w:highlight w:val="none"/>
              </w:rPr>
              <w:t>3000</w:t>
            </w:r>
          </w:p>
        </w:tc>
        <w:tc>
          <w:tcPr>
            <w:tcW w:w="2126" w:type="dxa"/>
            <w:gridSpan w:val="2"/>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以发包人、监理公司审核情况为准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cs="Times New Roman"/>
                <w:color w:val="auto"/>
                <w:szCs w:val="21"/>
                <w:highlight w:val="none"/>
              </w:rPr>
              <w:t>5</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EHS管理制度未执行，或执行效果不佳。</w:t>
            </w:r>
          </w:p>
        </w:tc>
        <w:tc>
          <w:tcPr>
            <w:tcW w:w="1584" w:type="dxa"/>
            <w:vAlign w:val="center"/>
          </w:tcPr>
          <w:p>
            <w:pPr>
              <w:rPr>
                <w:rFonts w:cs="Times New Roman"/>
                <w:color w:val="auto"/>
                <w:szCs w:val="21"/>
                <w:highlight w:val="none"/>
              </w:rPr>
            </w:pPr>
            <w:r>
              <w:rPr>
                <w:rFonts w:cs="Times New Roman"/>
                <w:color w:val="auto"/>
                <w:szCs w:val="21"/>
                <w:highlight w:val="none"/>
              </w:rPr>
              <w:t>1000~3000</w:t>
            </w:r>
          </w:p>
        </w:tc>
        <w:tc>
          <w:tcPr>
            <w:tcW w:w="2126" w:type="dxa"/>
            <w:gridSpan w:val="2"/>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以发包人、监理公司核实为准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9214" w:type="dxa"/>
            <w:gridSpan w:val="5"/>
            <w:vAlign w:val="center"/>
          </w:tcPr>
          <w:p>
            <w:pPr>
              <w:rPr>
                <w:rFonts w:cs="Times New Roman"/>
                <w:color w:val="auto"/>
                <w:szCs w:val="21"/>
                <w:highlight w:val="none"/>
                <w:lang w:eastAsia="zh-CN"/>
              </w:rPr>
            </w:pPr>
            <w:r>
              <w:rPr>
                <w:rFonts w:cs="Times New Roman"/>
                <w:color w:val="auto"/>
                <w:szCs w:val="21"/>
                <w:highlight w:val="none"/>
                <w:lang w:eastAsia="zh-CN"/>
              </w:rPr>
              <w:t>安全教育培训、安全技术管理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hint="eastAsia" w:cs="Times New Roman"/>
                <w:color w:val="auto"/>
                <w:szCs w:val="21"/>
                <w:highlight w:val="none"/>
              </w:rPr>
              <w:t>6</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未落实人员三级安全教育及岗前安全技术交底工作，违背“不教育不入场，不合格不上岗”原则。</w:t>
            </w:r>
          </w:p>
        </w:tc>
        <w:tc>
          <w:tcPr>
            <w:tcW w:w="1584" w:type="dxa"/>
            <w:vAlign w:val="center"/>
          </w:tcPr>
          <w:p>
            <w:pPr>
              <w:rPr>
                <w:rFonts w:cs="Times New Roman"/>
                <w:color w:val="auto"/>
                <w:szCs w:val="21"/>
                <w:highlight w:val="none"/>
              </w:rPr>
            </w:pPr>
            <w:r>
              <w:rPr>
                <w:rFonts w:cs="Times New Roman"/>
                <w:color w:val="auto"/>
                <w:szCs w:val="21"/>
                <w:highlight w:val="none"/>
              </w:rPr>
              <w:t>500/人·次</w:t>
            </w:r>
          </w:p>
        </w:tc>
        <w:tc>
          <w:tcPr>
            <w:tcW w:w="2126" w:type="dxa"/>
            <w:gridSpan w:val="2"/>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以发包人、监理公司检查情况为准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hint="eastAsia" w:cs="Times New Roman"/>
                <w:color w:val="auto"/>
                <w:szCs w:val="21"/>
                <w:highlight w:val="none"/>
              </w:rPr>
              <w:t>7</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未按规定组织开展特殊工种、违章复训、机操工岗前培训等教育培训的。</w:t>
            </w:r>
          </w:p>
        </w:tc>
        <w:tc>
          <w:tcPr>
            <w:tcW w:w="1584" w:type="dxa"/>
            <w:vAlign w:val="center"/>
          </w:tcPr>
          <w:p>
            <w:pPr>
              <w:rPr>
                <w:rFonts w:cs="Times New Roman"/>
                <w:color w:val="auto"/>
                <w:szCs w:val="21"/>
                <w:highlight w:val="none"/>
              </w:rPr>
            </w:pPr>
            <w:r>
              <w:rPr>
                <w:rFonts w:cs="Times New Roman"/>
                <w:color w:val="auto"/>
                <w:szCs w:val="21"/>
                <w:highlight w:val="none"/>
              </w:rPr>
              <w:t xml:space="preserve">1000~3000 </w:t>
            </w:r>
          </w:p>
        </w:tc>
        <w:tc>
          <w:tcPr>
            <w:tcW w:w="2126" w:type="dxa"/>
            <w:gridSpan w:val="2"/>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以发包人、监理公司检查情况为准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hint="eastAsia" w:cs="Times New Roman"/>
                <w:color w:val="auto"/>
                <w:szCs w:val="21"/>
                <w:highlight w:val="none"/>
              </w:rPr>
              <w:t>8</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分部（分项）工程施工无书面安全技术交底、交底针对性不强、交底不全面，安全交底未履行当事人签字手续的。 </w:t>
            </w:r>
          </w:p>
        </w:tc>
        <w:tc>
          <w:tcPr>
            <w:tcW w:w="1584" w:type="dxa"/>
            <w:vAlign w:val="center"/>
          </w:tcPr>
          <w:p>
            <w:pPr>
              <w:rPr>
                <w:rFonts w:cs="Times New Roman"/>
                <w:color w:val="auto"/>
                <w:szCs w:val="21"/>
                <w:highlight w:val="none"/>
              </w:rPr>
            </w:pPr>
            <w:r>
              <w:rPr>
                <w:rFonts w:cs="Times New Roman"/>
                <w:color w:val="auto"/>
                <w:szCs w:val="21"/>
                <w:highlight w:val="none"/>
              </w:rPr>
              <w:t>2000~5000</w:t>
            </w:r>
          </w:p>
        </w:tc>
        <w:tc>
          <w:tcPr>
            <w:tcW w:w="2126" w:type="dxa"/>
            <w:gridSpan w:val="2"/>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以发包人、监理公司检查情况为准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hint="eastAsia" w:cs="Times New Roman"/>
                <w:color w:val="auto"/>
                <w:szCs w:val="21"/>
                <w:highlight w:val="none"/>
              </w:rPr>
              <w:t>9</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未制定各工种安全技术操作规程，或违反操作规程施工作业。</w:t>
            </w:r>
          </w:p>
        </w:tc>
        <w:tc>
          <w:tcPr>
            <w:tcW w:w="1584" w:type="dxa"/>
            <w:vAlign w:val="center"/>
          </w:tcPr>
          <w:p>
            <w:pPr>
              <w:rPr>
                <w:rFonts w:cs="Times New Roman"/>
                <w:color w:val="auto"/>
                <w:szCs w:val="21"/>
                <w:highlight w:val="none"/>
              </w:rPr>
            </w:pPr>
            <w:r>
              <w:rPr>
                <w:rFonts w:cs="Times New Roman"/>
                <w:color w:val="auto"/>
                <w:szCs w:val="21"/>
                <w:highlight w:val="none"/>
              </w:rPr>
              <w:t>2000~5000</w:t>
            </w:r>
          </w:p>
        </w:tc>
        <w:tc>
          <w:tcPr>
            <w:tcW w:w="2126" w:type="dxa"/>
            <w:gridSpan w:val="2"/>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以发包人、监理公司检查情况为准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hint="eastAsia" w:cs="Times New Roman"/>
                <w:color w:val="auto"/>
                <w:szCs w:val="21"/>
                <w:highlight w:val="none"/>
              </w:rPr>
              <w:t>10</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未按规定编制安全方案及措施，或未按规定流程报审报批，或方案变更后未重新报审报批。</w:t>
            </w:r>
          </w:p>
        </w:tc>
        <w:tc>
          <w:tcPr>
            <w:tcW w:w="1584" w:type="dxa"/>
            <w:vAlign w:val="center"/>
          </w:tcPr>
          <w:p>
            <w:pPr>
              <w:rPr>
                <w:rFonts w:cs="Times New Roman"/>
                <w:color w:val="auto"/>
                <w:szCs w:val="21"/>
                <w:highlight w:val="none"/>
              </w:rPr>
            </w:pPr>
            <w:r>
              <w:rPr>
                <w:rFonts w:cs="Times New Roman"/>
                <w:color w:val="auto"/>
                <w:szCs w:val="21"/>
                <w:highlight w:val="none"/>
              </w:rPr>
              <w:t>10000~20000</w:t>
            </w:r>
          </w:p>
        </w:tc>
        <w:tc>
          <w:tcPr>
            <w:tcW w:w="2126" w:type="dxa"/>
            <w:gridSpan w:val="2"/>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以发包人、监理公司审核情况为准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cs="Times New Roman"/>
                <w:color w:val="auto"/>
                <w:szCs w:val="21"/>
                <w:highlight w:val="none"/>
              </w:rPr>
              <w:t>1</w:t>
            </w:r>
            <w:r>
              <w:rPr>
                <w:rFonts w:hint="eastAsia" w:cs="Times New Roman"/>
                <w:color w:val="auto"/>
                <w:szCs w:val="21"/>
                <w:highlight w:val="none"/>
              </w:rPr>
              <w:t>1</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未按经审批的安全方案及措施组织实施，或实施效果不佳。</w:t>
            </w:r>
          </w:p>
        </w:tc>
        <w:tc>
          <w:tcPr>
            <w:tcW w:w="1584" w:type="dxa"/>
            <w:vAlign w:val="center"/>
          </w:tcPr>
          <w:p>
            <w:pPr>
              <w:rPr>
                <w:rFonts w:cs="Times New Roman"/>
                <w:color w:val="auto"/>
                <w:szCs w:val="21"/>
                <w:highlight w:val="none"/>
              </w:rPr>
            </w:pPr>
            <w:r>
              <w:rPr>
                <w:rFonts w:cs="Times New Roman"/>
                <w:color w:val="auto"/>
                <w:szCs w:val="21"/>
                <w:highlight w:val="none"/>
              </w:rPr>
              <w:t>2000~5000</w:t>
            </w:r>
          </w:p>
        </w:tc>
        <w:tc>
          <w:tcPr>
            <w:tcW w:w="2126" w:type="dxa"/>
            <w:gridSpan w:val="2"/>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以发包人、监理公司检查情况为准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9214" w:type="dxa"/>
            <w:gridSpan w:val="5"/>
            <w:vAlign w:val="center"/>
          </w:tcPr>
          <w:p>
            <w:pPr>
              <w:rPr>
                <w:rFonts w:cs="Times New Roman"/>
                <w:color w:val="auto"/>
                <w:szCs w:val="21"/>
                <w:highlight w:val="none"/>
              </w:rPr>
            </w:pPr>
            <w:r>
              <w:rPr>
                <w:rFonts w:cs="Times New Roman"/>
                <w:color w:val="auto"/>
                <w:szCs w:val="21"/>
                <w:highlight w:val="none"/>
              </w:rPr>
              <w:t>资格资质与协议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cs="Times New Roman"/>
                <w:color w:val="auto"/>
                <w:szCs w:val="21"/>
                <w:highlight w:val="none"/>
              </w:rPr>
              <w:t>1</w:t>
            </w:r>
            <w:r>
              <w:rPr>
                <w:rFonts w:hint="eastAsia" w:cs="Times New Roman"/>
                <w:color w:val="auto"/>
                <w:szCs w:val="21"/>
                <w:highlight w:val="none"/>
              </w:rPr>
              <w:t>2</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企业（含分包商）资质、安全生产许可证、三类人员证书等资质资格不符合规定。</w:t>
            </w:r>
          </w:p>
        </w:tc>
        <w:tc>
          <w:tcPr>
            <w:tcW w:w="1584" w:type="dxa"/>
            <w:vAlign w:val="center"/>
          </w:tcPr>
          <w:p>
            <w:pPr>
              <w:rPr>
                <w:rFonts w:cs="Times New Roman"/>
                <w:color w:val="auto"/>
                <w:szCs w:val="21"/>
                <w:highlight w:val="none"/>
              </w:rPr>
            </w:pPr>
            <w:r>
              <w:rPr>
                <w:rFonts w:cs="Times New Roman"/>
                <w:color w:val="auto"/>
                <w:szCs w:val="21"/>
                <w:highlight w:val="none"/>
              </w:rPr>
              <w:t>20000~50000</w:t>
            </w:r>
          </w:p>
        </w:tc>
        <w:tc>
          <w:tcPr>
            <w:tcW w:w="2126" w:type="dxa"/>
            <w:gridSpan w:val="2"/>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以发包人、监理公司核实为准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cs="Times New Roman"/>
                <w:color w:val="auto"/>
                <w:szCs w:val="21"/>
                <w:highlight w:val="none"/>
              </w:rPr>
              <w:t>1</w:t>
            </w:r>
            <w:r>
              <w:rPr>
                <w:rFonts w:hint="eastAsia" w:cs="Times New Roman"/>
                <w:color w:val="auto"/>
                <w:szCs w:val="21"/>
                <w:highlight w:val="none"/>
              </w:rPr>
              <w:t>3</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未按规定签订安全生产协议书或其他安全管理协议文件。</w:t>
            </w:r>
          </w:p>
        </w:tc>
        <w:tc>
          <w:tcPr>
            <w:tcW w:w="1584" w:type="dxa"/>
            <w:vAlign w:val="center"/>
          </w:tcPr>
          <w:p>
            <w:pPr>
              <w:rPr>
                <w:rFonts w:cs="Times New Roman"/>
                <w:color w:val="auto"/>
                <w:szCs w:val="21"/>
                <w:highlight w:val="none"/>
              </w:rPr>
            </w:pPr>
            <w:r>
              <w:rPr>
                <w:rFonts w:cs="Times New Roman"/>
                <w:color w:val="auto"/>
                <w:szCs w:val="21"/>
                <w:highlight w:val="none"/>
              </w:rPr>
              <w:t>10000~30000</w:t>
            </w:r>
          </w:p>
        </w:tc>
        <w:tc>
          <w:tcPr>
            <w:tcW w:w="2126" w:type="dxa"/>
            <w:gridSpan w:val="2"/>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以发包人、监理公司核实为准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9214" w:type="dxa"/>
            <w:gridSpan w:val="5"/>
            <w:vAlign w:val="center"/>
          </w:tcPr>
          <w:p>
            <w:pPr>
              <w:rPr>
                <w:rFonts w:cs="Times New Roman"/>
                <w:color w:val="auto"/>
                <w:szCs w:val="21"/>
                <w:highlight w:val="none"/>
              </w:rPr>
            </w:pPr>
            <w:r>
              <w:rPr>
                <w:rFonts w:cs="Times New Roman"/>
                <w:color w:val="auto"/>
                <w:szCs w:val="21"/>
                <w:highlight w:val="none"/>
              </w:rPr>
              <w:t>安全活动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cs="Times New Roman"/>
                <w:color w:val="auto"/>
                <w:szCs w:val="21"/>
                <w:highlight w:val="none"/>
              </w:rPr>
              <w:t>1</w:t>
            </w:r>
            <w:r>
              <w:rPr>
                <w:rFonts w:hint="eastAsia" w:cs="Times New Roman"/>
                <w:color w:val="auto"/>
                <w:szCs w:val="21"/>
                <w:highlight w:val="none"/>
              </w:rPr>
              <w:t>4</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未建立健全安全检查制度和安全例会制度，安全检查、安全例会等安全活动无记录，或记录不真实、不齐全。</w:t>
            </w:r>
          </w:p>
        </w:tc>
        <w:tc>
          <w:tcPr>
            <w:tcW w:w="1584" w:type="dxa"/>
            <w:vAlign w:val="center"/>
          </w:tcPr>
          <w:p>
            <w:pPr>
              <w:rPr>
                <w:rFonts w:cs="Times New Roman"/>
                <w:color w:val="auto"/>
                <w:szCs w:val="21"/>
                <w:highlight w:val="none"/>
              </w:rPr>
            </w:pPr>
            <w:r>
              <w:rPr>
                <w:rFonts w:cs="Times New Roman"/>
                <w:color w:val="auto"/>
                <w:szCs w:val="21"/>
                <w:highlight w:val="none"/>
              </w:rPr>
              <w:t>2000~5000</w:t>
            </w:r>
          </w:p>
        </w:tc>
        <w:tc>
          <w:tcPr>
            <w:tcW w:w="2126" w:type="dxa"/>
            <w:gridSpan w:val="2"/>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以发包人、监理公司检查情况为准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cs="Times New Roman"/>
                <w:color w:val="auto"/>
                <w:szCs w:val="21"/>
                <w:highlight w:val="none"/>
              </w:rPr>
              <w:t>1</w:t>
            </w:r>
            <w:r>
              <w:rPr>
                <w:rFonts w:hint="eastAsia" w:cs="Times New Roman"/>
                <w:color w:val="auto"/>
                <w:szCs w:val="21"/>
                <w:highlight w:val="none"/>
              </w:rPr>
              <w:t>5</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不积极配合、参加安全会议、检查、考评及其它形式的安全活动，或未有效落实有关安全活动要求的。</w:t>
            </w:r>
          </w:p>
        </w:tc>
        <w:tc>
          <w:tcPr>
            <w:tcW w:w="1584" w:type="dxa"/>
            <w:vAlign w:val="center"/>
          </w:tcPr>
          <w:p>
            <w:pPr>
              <w:rPr>
                <w:rFonts w:cs="Times New Roman"/>
                <w:color w:val="auto"/>
                <w:szCs w:val="21"/>
                <w:highlight w:val="none"/>
              </w:rPr>
            </w:pPr>
            <w:r>
              <w:rPr>
                <w:rFonts w:cs="Times New Roman"/>
                <w:color w:val="auto"/>
                <w:szCs w:val="21"/>
                <w:highlight w:val="none"/>
              </w:rPr>
              <w:t>2000~5000</w:t>
            </w:r>
          </w:p>
        </w:tc>
        <w:tc>
          <w:tcPr>
            <w:tcW w:w="2126" w:type="dxa"/>
            <w:gridSpan w:val="2"/>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以发包人、监理公司核实为准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hint="eastAsia" w:cs="Times New Roman"/>
                <w:color w:val="auto"/>
                <w:szCs w:val="21"/>
                <w:highlight w:val="none"/>
              </w:rPr>
              <w:t>16</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违反安全检查、安全会议等安全活动纪律的。</w:t>
            </w:r>
          </w:p>
        </w:tc>
        <w:tc>
          <w:tcPr>
            <w:tcW w:w="1584" w:type="dxa"/>
            <w:vAlign w:val="center"/>
          </w:tcPr>
          <w:p>
            <w:pPr>
              <w:rPr>
                <w:rFonts w:cs="Times New Roman"/>
                <w:color w:val="auto"/>
                <w:szCs w:val="21"/>
                <w:highlight w:val="none"/>
              </w:rPr>
            </w:pPr>
            <w:r>
              <w:rPr>
                <w:rFonts w:cs="Times New Roman"/>
                <w:color w:val="auto"/>
                <w:szCs w:val="21"/>
                <w:highlight w:val="none"/>
              </w:rPr>
              <w:t>1000/人·次</w:t>
            </w:r>
          </w:p>
        </w:tc>
        <w:tc>
          <w:tcPr>
            <w:tcW w:w="2126" w:type="dxa"/>
            <w:gridSpan w:val="2"/>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以发包人、监理公司核实为准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hint="eastAsia" w:cs="Times New Roman"/>
                <w:color w:val="auto"/>
                <w:szCs w:val="21"/>
                <w:highlight w:val="none"/>
              </w:rPr>
              <w:t>17</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未按“五定”原则整改安全隐患的。</w:t>
            </w:r>
          </w:p>
        </w:tc>
        <w:tc>
          <w:tcPr>
            <w:tcW w:w="1584" w:type="dxa"/>
            <w:vAlign w:val="center"/>
          </w:tcPr>
          <w:p>
            <w:pPr>
              <w:rPr>
                <w:rFonts w:cs="Times New Roman"/>
                <w:color w:val="auto"/>
                <w:szCs w:val="21"/>
                <w:highlight w:val="none"/>
              </w:rPr>
            </w:pPr>
            <w:r>
              <w:rPr>
                <w:rFonts w:cs="Times New Roman"/>
                <w:color w:val="auto"/>
                <w:szCs w:val="21"/>
                <w:highlight w:val="none"/>
              </w:rPr>
              <w:t>2000~5000</w:t>
            </w:r>
          </w:p>
        </w:tc>
        <w:tc>
          <w:tcPr>
            <w:tcW w:w="2126" w:type="dxa"/>
            <w:gridSpan w:val="2"/>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以发包人、监理公司核实为准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jc w:val="center"/>
              <w:rPr>
                <w:rFonts w:cs="Times New Roman"/>
                <w:color w:val="auto"/>
                <w:szCs w:val="21"/>
                <w:highlight w:val="none"/>
              </w:rPr>
            </w:pPr>
            <w:r>
              <w:rPr>
                <w:rFonts w:hint="eastAsia" w:cs="Times New Roman"/>
                <w:color w:val="auto"/>
                <w:szCs w:val="21"/>
                <w:highlight w:val="none"/>
              </w:rPr>
              <w:t>18</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未对安全隐患整改效果进行验证，未形成闭环管理。</w:t>
            </w:r>
          </w:p>
        </w:tc>
        <w:tc>
          <w:tcPr>
            <w:tcW w:w="1584" w:type="dxa"/>
            <w:vAlign w:val="center"/>
          </w:tcPr>
          <w:p>
            <w:pPr>
              <w:rPr>
                <w:rFonts w:cs="Times New Roman"/>
                <w:color w:val="auto"/>
                <w:szCs w:val="21"/>
                <w:highlight w:val="none"/>
              </w:rPr>
            </w:pPr>
            <w:r>
              <w:rPr>
                <w:rFonts w:cs="Times New Roman"/>
                <w:color w:val="auto"/>
                <w:szCs w:val="21"/>
                <w:highlight w:val="none"/>
              </w:rPr>
              <w:t>1000~3000</w:t>
            </w:r>
          </w:p>
        </w:tc>
        <w:tc>
          <w:tcPr>
            <w:tcW w:w="2126" w:type="dxa"/>
            <w:gridSpan w:val="2"/>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以发包人、监理公司核实为准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jc w:val="center"/>
              <w:rPr>
                <w:rFonts w:cs="Times New Roman"/>
                <w:color w:val="auto"/>
                <w:szCs w:val="21"/>
                <w:highlight w:val="none"/>
              </w:rPr>
            </w:pPr>
            <w:r>
              <w:rPr>
                <w:rFonts w:hint="eastAsia" w:cs="Times New Roman"/>
                <w:color w:val="auto"/>
                <w:szCs w:val="21"/>
                <w:highlight w:val="none"/>
              </w:rPr>
              <w:t>19</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未按要求上报安全隐患整改回复文件的，或回复内容不真实的。</w:t>
            </w:r>
          </w:p>
        </w:tc>
        <w:tc>
          <w:tcPr>
            <w:tcW w:w="1584" w:type="dxa"/>
            <w:vAlign w:val="center"/>
          </w:tcPr>
          <w:p>
            <w:pPr>
              <w:rPr>
                <w:rFonts w:cs="Times New Roman"/>
                <w:color w:val="auto"/>
                <w:szCs w:val="21"/>
                <w:highlight w:val="none"/>
              </w:rPr>
            </w:pPr>
            <w:r>
              <w:rPr>
                <w:rFonts w:cs="Times New Roman"/>
                <w:color w:val="auto"/>
                <w:szCs w:val="21"/>
                <w:highlight w:val="none"/>
              </w:rPr>
              <w:t>2000</w:t>
            </w:r>
          </w:p>
        </w:tc>
        <w:tc>
          <w:tcPr>
            <w:tcW w:w="2126" w:type="dxa"/>
            <w:gridSpan w:val="2"/>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以发包人、监理公司核实为准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9214" w:type="dxa"/>
            <w:gridSpan w:val="5"/>
            <w:vAlign w:val="center"/>
          </w:tcPr>
          <w:p>
            <w:pPr>
              <w:rPr>
                <w:rFonts w:cs="Times New Roman"/>
                <w:color w:val="auto"/>
                <w:szCs w:val="21"/>
                <w:highlight w:val="none"/>
              </w:rPr>
            </w:pPr>
            <w:r>
              <w:rPr>
                <w:rFonts w:cs="Times New Roman"/>
                <w:color w:val="auto"/>
                <w:szCs w:val="21"/>
                <w:highlight w:val="none"/>
              </w:rPr>
              <w:t>风险管控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hint="eastAsia" w:cs="Times New Roman"/>
                <w:color w:val="auto"/>
                <w:szCs w:val="21"/>
                <w:highlight w:val="none"/>
              </w:rPr>
              <w:t>20</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未开展风险辨识评价活动，未编制危险源清单，或未制定针对性的事故预防措施的。</w:t>
            </w:r>
          </w:p>
        </w:tc>
        <w:tc>
          <w:tcPr>
            <w:tcW w:w="1584" w:type="dxa"/>
            <w:vAlign w:val="center"/>
          </w:tcPr>
          <w:p>
            <w:pPr>
              <w:rPr>
                <w:rFonts w:cs="Times New Roman"/>
                <w:color w:val="auto"/>
                <w:szCs w:val="21"/>
                <w:highlight w:val="none"/>
              </w:rPr>
            </w:pPr>
            <w:r>
              <w:rPr>
                <w:rFonts w:cs="Times New Roman"/>
                <w:color w:val="auto"/>
                <w:szCs w:val="21"/>
                <w:highlight w:val="none"/>
              </w:rPr>
              <w:t>2000~5000</w:t>
            </w:r>
          </w:p>
        </w:tc>
        <w:tc>
          <w:tcPr>
            <w:tcW w:w="2126" w:type="dxa"/>
            <w:gridSpan w:val="2"/>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以发包人、监理公司核实为准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jc w:val="center"/>
              <w:rPr>
                <w:rFonts w:cs="Times New Roman"/>
                <w:color w:val="auto"/>
                <w:szCs w:val="21"/>
                <w:highlight w:val="none"/>
              </w:rPr>
            </w:pPr>
            <w:r>
              <w:rPr>
                <w:rFonts w:cs="Times New Roman"/>
                <w:color w:val="auto"/>
                <w:szCs w:val="21"/>
                <w:highlight w:val="none"/>
              </w:rPr>
              <w:t>2</w:t>
            </w:r>
            <w:r>
              <w:rPr>
                <w:rFonts w:hint="eastAsia" w:cs="Times New Roman"/>
                <w:color w:val="auto"/>
                <w:szCs w:val="21"/>
                <w:highlight w:val="none"/>
              </w:rPr>
              <w:t>1</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未按要求对施工现场开展风险评估活动或未按要求编制、上报风险分析评估报告的。</w:t>
            </w:r>
          </w:p>
        </w:tc>
        <w:tc>
          <w:tcPr>
            <w:tcW w:w="1584" w:type="dxa"/>
            <w:vAlign w:val="center"/>
          </w:tcPr>
          <w:p>
            <w:pPr>
              <w:rPr>
                <w:rFonts w:cs="Times New Roman"/>
                <w:color w:val="auto"/>
                <w:szCs w:val="21"/>
                <w:highlight w:val="none"/>
              </w:rPr>
            </w:pPr>
            <w:r>
              <w:rPr>
                <w:rFonts w:cs="Times New Roman"/>
                <w:color w:val="auto"/>
                <w:szCs w:val="21"/>
                <w:highlight w:val="none"/>
              </w:rPr>
              <w:t>2000</w:t>
            </w:r>
          </w:p>
        </w:tc>
        <w:tc>
          <w:tcPr>
            <w:tcW w:w="2126" w:type="dxa"/>
            <w:gridSpan w:val="2"/>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以发包人、监理公司核实为准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cs="Times New Roman"/>
                <w:color w:val="auto"/>
                <w:szCs w:val="21"/>
                <w:highlight w:val="none"/>
              </w:rPr>
              <w:t>2</w:t>
            </w:r>
            <w:r>
              <w:rPr>
                <w:rFonts w:hint="eastAsia" w:cs="Times New Roman"/>
                <w:color w:val="auto"/>
                <w:szCs w:val="21"/>
                <w:highlight w:val="none"/>
              </w:rPr>
              <w:t>2</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未制定高风险作业专项管控措施，或措施未有效执行的。</w:t>
            </w:r>
          </w:p>
        </w:tc>
        <w:tc>
          <w:tcPr>
            <w:tcW w:w="1584" w:type="dxa"/>
            <w:vAlign w:val="center"/>
          </w:tcPr>
          <w:p>
            <w:pPr>
              <w:rPr>
                <w:rFonts w:cs="Times New Roman"/>
                <w:color w:val="auto"/>
                <w:szCs w:val="21"/>
                <w:highlight w:val="none"/>
              </w:rPr>
            </w:pPr>
            <w:r>
              <w:rPr>
                <w:rFonts w:cs="Times New Roman"/>
                <w:color w:val="auto"/>
                <w:szCs w:val="21"/>
                <w:highlight w:val="none"/>
              </w:rPr>
              <w:t>2000~5000</w:t>
            </w:r>
          </w:p>
        </w:tc>
        <w:tc>
          <w:tcPr>
            <w:tcW w:w="2126" w:type="dxa"/>
            <w:gridSpan w:val="2"/>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以发包人、监理公司核实为准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cs="Times New Roman"/>
                <w:color w:val="auto"/>
                <w:szCs w:val="21"/>
                <w:highlight w:val="none"/>
              </w:rPr>
              <w:t>2</w:t>
            </w:r>
            <w:r>
              <w:rPr>
                <w:rFonts w:hint="eastAsia" w:cs="Times New Roman"/>
                <w:color w:val="auto"/>
                <w:szCs w:val="21"/>
                <w:highlight w:val="none"/>
              </w:rPr>
              <w:t>3</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未有效执行风险管控程序，或未针对风险预警信息落实相关要求的。</w:t>
            </w:r>
          </w:p>
        </w:tc>
        <w:tc>
          <w:tcPr>
            <w:tcW w:w="1584" w:type="dxa"/>
            <w:vAlign w:val="center"/>
          </w:tcPr>
          <w:p>
            <w:pPr>
              <w:rPr>
                <w:rFonts w:cs="Times New Roman"/>
                <w:color w:val="auto"/>
                <w:szCs w:val="21"/>
                <w:highlight w:val="none"/>
              </w:rPr>
            </w:pPr>
            <w:r>
              <w:rPr>
                <w:rFonts w:cs="Times New Roman"/>
                <w:color w:val="auto"/>
                <w:szCs w:val="21"/>
                <w:highlight w:val="none"/>
              </w:rPr>
              <w:t>2000~5000</w:t>
            </w:r>
          </w:p>
        </w:tc>
        <w:tc>
          <w:tcPr>
            <w:tcW w:w="2126" w:type="dxa"/>
            <w:gridSpan w:val="2"/>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以发包人、监理公司核实为准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9214" w:type="dxa"/>
            <w:gridSpan w:val="5"/>
            <w:vAlign w:val="center"/>
          </w:tcPr>
          <w:p>
            <w:pPr>
              <w:rPr>
                <w:rFonts w:cs="Times New Roman"/>
                <w:color w:val="auto"/>
                <w:szCs w:val="21"/>
                <w:highlight w:val="none"/>
              </w:rPr>
            </w:pPr>
            <w:r>
              <w:rPr>
                <w:rFonts w:cs="Times New Roman"/>
                <w:color w:val="auto"/>
                <w:szCs w:val="21"/>
                <w:highlight w:val="none"/>
              </w:rPr>
              <w:t>文明施工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hint="eastAsia" w:cs="Times New Roman"/>
                <w:color w:val="auto"/>
                <w:szCs w:val="21"/>
                <w:highlight w:val="none"/>
              </w:rPr>
              <w:t>24</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未对施工现场进行文明施工总体规划，或未按规划实施的。</w:t>
            </w:r>
          </w:p>
        </w:tc>
        <w:tc>
          <w:tcPr>
            <w:tcW w:w="1584" w:type="dxa"/>
            <w:vAlign w:val="center"/>
          </w:tcPr>
          <w:p>
            <w:pPr>
              <w:rPr>
                <w:rFonts w:cs="Times New Roman"/>
                <w:color w:val="auto"/>
                <w:szCs w:val="21"/>
                <w:highlight w:val="none"/>
              </w:rPr>
            </w:pPr>
            <w:r>
              <w:rPr>
                <w:rFonts w:cs="Times New Roman"/>
                <w:color w:val="auto"/>
                <w:szCs w:val="21"/>
                <w:highlight w:val="none"/>
              </w:rPr>
              <w:t>10000~20000</w:t>
            </w:r>
          </w:p>
        </w:tc>
        <w:tc>
          <w:tcPr>
            <w:tcW w:w="2126" w:type="dxa"/>
            <w:gridSpan w:val="2"/>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以发包人、监理公司核实为准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hint="eastAsia" w:cs="Times New Roman"/>
                <w:color w:val="auto"/>
                <w:szCs w:val="21"/>
                <w:highlight w:val="none"/>
              </w:rPr>
              <w:t>25</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未按规定设置围墙、围挡，或不牢固、不整洁美观、不符合防火要求。</w:t>
            </w:r>
          </w:p>
        </w:tc>
        <w:tc>
          <w:tcPr>
            <w:tcW w:w="1584" w:type="dxa"/>
            <w:vAlign w:val="center"/>
          </w:tcPr>
          <w:p>
            <w:pPr>
              <w:rPr>
                <w:rFonts w:cs="Times New Roman"/>
                <w:color w:val="auto"/>
                <w:szCs w:val="21"/>
                <w:highlight w:val="none"/>
              </w:rPr>
            </w:pPr>
            <w:r>
              <w:rPr>
                <w:rFonts w:cs="Times New Roman"/>
                <w:color w:val="auto"/>
                <w:szCs w:val="21"/>
                <w:highlight w:val="none"/>
              </w:rPr>
              <w:t>2000~5000</w:t>
            </w:r>
          </w:p>
        </w:tc>
        <w:tc>
          <w:tcPr>
            <w:tcW w:w="2126" w:type="dxa"/>
            <w:gridSpan w:val="2"/>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以发包人、监理公司检查情况为准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hint="eastAsia" w:cs="Times New Roman"/>
                <w:color w:val="auto"/>
                <w:szCs w:val="21"/>
                <w:highlight w:val="none"/>
              </w:rPr>
              <w:t>26</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未对施工现场进行硬底化管理，或道路设置不满足安全要求。</w:t>
            </w:r>
          </w:p>
        </w:tc>
        <w:tc>
          <w:tcPr>
            <w:tcW w:w="1584" w:type="dxa"/>
            <w:vAlign w:val="center"/>
          </w:tcPr>
          <w:p>
            <w:pPr>
              <w:rPr>
                <w:rFonts w:cs="Times New Roman"/>
                <w:color w:val="auto"/>
                <w:szCs w:val="21"/>
                <w:highlight w:val="none"/>
              </w:rPr>
            </w:pPr>
            <w:r>
              <w:rPr>
                <w:rFonts w:cs="Times New Roman"/>
                <w:color w:val="auto"/>
                <w:szCs w:val="21"/>
                <w:highlight w:val="none"/>
              </w:rPr>
              <w:t>2000~5000</w:t>
            </w:r>
          </w:p>
        </w:tc>
        <w:tc>
          <w:tcPr>
            <w:tcW w:w="2126" w:type="dxa"/>
            <w:gridSpan w:val="2"/>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以发包人、监理公司检查情况为准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hint="eastAsia" w:cs="Times New Roman"/>
                <w:color w:val="auto"/>
                <w:szCs w:val="21"/>
                <w:highlight w:val="none"/>
              </w:rPr>
              <w:t>27</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未在施工现场合理设置排水设施，或排水不畅通，现场有积水。</w:t>
            </w:r>
          </w:p>
        </w:tc>
        <w:tc>
          <w:tcPr>
            <w:tcW w:w="1584" w:type="dxa"/>
            <w:vAlign w:val="center"/>
          </w:tcPr>
          <w:p>
            <w:pPr>
              <w:rPr>
                <w:rFonts w:cs="Times New Roman"/>
                <w:color w:val="auto"/>
                <w:szCs w:val="21"/>
                <w:highlight w:val="none"/>
              </w:rPr>
            </w:pPr>
            <w:r>
              <w:rPr>
                <w:rFonts w:cs="Times New Roman"/>
                <w:color w:val="auto"/>
                <w:szCs w:val="21"/>
                <w:highlight w:val="none"/>
              </w:rPr>
              <w:t>500~2000</w:t>
            </w:r>
          </w:p>
        </w:tc>
        <w:tc>
          <w:tcPr>
            <w:tcW w:w="2126" w:type="dxa"/>
            <w:gridSpan w:val="2"/>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以发包人、监理公司检查情况为准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hint="eastAsia" w:cs="Times New Roman"/>
                <w:color w:val="auto"/>
                <w:szCs w:val="21"/>
                <w:highlight w:val="none"/>
              </w:rPr>
              <w:t>28</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未在施工现场出入口设置车辆冲洗设施，或冲洗效果不佳。</w:t>
            </w:r>
          </w:p>
        </w:tc>
        <w:tc>
          <w:tcPr>
            <w:tcW w:w="1584" w:type="dxa"/>
            <w:vAlign w:val="center"/>
          </w:tcPr>
          <w:p>
            <w:pPr>
              <w:rPr>
                <w:rFonts w:cs="Times New Roman"/>
                <w:color w:val="auto"/>
                <w:szCs w:val="21"/>
                <w:highlight w:val="none"/>
              </w:rPr>
            </w:pPr>
            <w:r>
              <w:rPr>
                <w:rFonts w:cs="Times New Roman"/>
                <w:color w:val="auto"/>
                <w:szCs w:val="21"/>
                <w:highlight w:val="none"/>
              </w:rPr>
              <w:t>5000~10000</w:t>
            </w:r>
          </w:p>
        </w:tc>
        <w:tc>
          <w:tcPr>
            <w:tcW w:w="2126" w:type="dxa"/>
            <w:gridSpan w:val="2"/>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以发包人、监理公司检查情况为准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jc w:val="center"/>
              <w:rPr>
                <w:rFonts w:cs="Times New Roman"/>
                <w:color w:val="auto"/>
                <w:szCs w:val="21"/>
                <w:highlight w:val="none"/>
              </w:rPr>
            </w:pPr>
            <w:r>
              <w:rPr>
                <w:rFonts w:hint="eastAsia" w:cs="Times New Roman"/>
                <w:color w:val="auto"/>
                <w:szCs w:val="21"/>
                <w:highlight w:val="none"/>
              </w:rPr>
              <w:t>29</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未对裸露土进行覆盖，未采取有效的防尘降尘措施，现场扬尘污染严重。</w:t>
            </w:r>
          </w:p>
        </w:tc>
        <w:tc>
          <w:tcPr>
            <w:tcW w:w="1584" w:type="dxa"/>
            <w:vAlign w:val="center"/>
          </w:tcPr>
          <w:p>
            <w:pPr>
              <w:rPr>
                <w:rFonts w:cs="Times New Roman"/>
                <w:color w:val="auto"/>
                <w:szCs w:val="21"/>
                <w:highlight w:val="none"/>
              </w:rPr>
            </w:pPr>
            <w:r>
              <w:rPr>
                <w:rFonts w:cs="Times New Roman"/>
                <w:color w:val="auto"/>
                <w:szCs w:val="21"/>
                <w:highlight w:val="none"/>
              </w:rPr>
              <w:t>2000~5000</w:t>
            </w:r>
          </w:p>
        </w:tc>
        <w:tc>
          <w:tcPr>
            <w:tcW w:w="2126" w:type="dxa"/>
            <w:gridSpan w:val="2"/>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以发包人、监理公司检查情况为准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tcPr>
          <w:p>
            <w:pPr>
              <w:jc w:val="center"/>
              <w:rPr>
                <w:rFonts w:cs="Times New Roman"/>
                <w:color w:val="auto"/>
                <w:szCs w:val="21"/>
                <w:highlight w:val="none"/>
              </w:rPr>
            </w:pPr>
            <w:r>
              <w:rPr>
                <w:rFonts w:hint="eastAsia" w:cs="Times New Roman"/>
                <w:color w:val="auto"/>
                <w:szCs w:val="21"/>
                <w:highlight w:val="none"/>
              </w:rPr>
              <w:t>30</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未对施工材料进行有序管理，材料堆码不整齐、不美观。</w:t>
            </w:r>
          </w:p>
        </w:tc>
        <w:tc>
          <w:tcPr>
            <w:tcW w:w="1584" w:type="dxa"/>
            <w:vAlign w:val="center"/>
          </w:tcPr>
          <w:p>
            <w:pPr>
              <w:rPr>
                <w:rFonts w:cs="Times New Roman"/>
                <w:color w:val="auto"/>
                <w:szCs w:val="21"/>
                <w:highlight w:val="none"/>
              </w:rPr>
            </w:pPr>
            <w:r>
              <w:rPr>
                <w:rFonts w:cs="Times New Roman"/>
                <w:color w:val="auto"/>
                <w:szCs w:val="21"/>
                <w:highlight w:val="none"/>
              </w:rPr>
              <w:t xml:space="preserve">500~2000 </w:t>
            </w:r>
          </w:p>
        </w:tc>
        <w:tc>
          <w:tcPr>
            <w:tcW w:w="2126" w:type="dxa"/>
            <w:gridSpan w:val="2"/>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以发包人、监理公司检查情况为准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hint="eastAsia" w:cs="Times New Roman"/>
                <w:color w:val="auto"/>
                <w:szCs w:val="21"/>
                <w:highlight w:val="none"/>
              </w:rPr>
              <w:t>31</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施工现场脏乱差，未实现安全文明施工“六化”要求（总体布局模块化、责任区域定置化、安全管理制度化、安全设施标准化、作业行为规范化和施工环境整洁化）。</w:t>
            </w:r>
          </w:p>
        </w:tc>
        <w:tc>
          <w:tcPr>
            <w:tcW w:w="1584" w:type="dxa"/>
            <w:vAlign w:val="center"/>
          </w:tcPr>
          <w:p>
            <w:pPr>
              <w:rPr>
                <w:rFonts w:cs="Times New Roman"/>
                <w:color w:val="auto"/>
                <w:szCs w:val="21"/>
                <w:highlight w:val="none"/>
              </w:rPr>
            </w:pPr>
            <w:r>
              <w:rPr>
                <w:rFonts w:cs="Times New Roman"/>
                <w:color w:val="auto"/>
                <w:szCs w:val="21"/>
                <w:highlight w:val="none"/>
              </w:rPr>
              <w:t>2000~5000</w:t>
            </w:r>
          </w:p>
        </w:tc>
        <w:tc>
          <w:tcPr>
            <w:tcW w:w="2126" w:type="dxa"/>
            <w:gridSpan w:val="2"/>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以发包人、监理公司检查情况为准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7088" w:type="dxa"/>
            <w:gridSpan w:val="3"/>
            <w:vAlign w:val="center"/>
          </w:tcPr>
          <w:p>
            <w:pPr>
              <w:rPr>
                <w:rFonts w:cs="Times New Roman"/>
                <w:color w:val="auto"/>
                <w:szCs w:val="21"/>
                <w:highlight w:val="none"/>
              </w:rPr>
            </w:pPr>
            <w:r>
              <w:rPr>
                <w:rFonts w:cs="Times New Roman"/>
                <w:color w:val="auto"/>
                <w:szCs w:val="21"/>
                <w:highlight w:val="none"/>
              </w:rPr>
              <w:t>人员行为</w:t>
            </w:r>
          </w:p>
        </w:tc>
        <w:tc>
          <w:tcPr>
            <w:tcW w:w="2126" w:type="dxa"/>
            <w:gridSpan w:val="2"/>
            <w:vAlign w:val="center"/>
          </w:tcPr>
          <w:p>
            <w:pPr>
              <w:rPr>
                <w:rFonts w:cs="Times New Roman"/>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cs="Times New Roman"/>
                <w:color w:val="auto"/>
                <w:szCs w:val="21"/>
                <w:highlight w:val="none"/>
              </w:rPr>
              <w:t>3</w:t>
            </w:r>
            <w:r>
              <w:rPr>
                <w:rFonts w:hint="eastAsia" w:cs="Times New Roman"/>
                <w:color w:val="auto"/>
                <w:szCs w:val="21"/>
                <w:highlight w:val="none"/>
              </w:rPr>
              <w:t>2</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未经允许，私自进入未授权区域的。</w:t>
            </w:r>
          </w:p>
        </w:tc>
        <w:tc>
          <w:tcPr>
            <w:tcW w:w="1584" w:type="dxa"/>
            <w:vAlign w:val="center"/>
          </w:tcPr>
          <w:p>
            <w:pPr>
              <w:rPr>
                <w:rFonts w:cs="Times New Roman"/>
                <w:color w:val="auto"/>
                <w:szCs w:val="21"/>
                <w:highlight w:val="none"/>
              </w:rPr>
            </w:pPr>
            <w:r>
              <w:rPr>
                <w:rFonts w:cs="Times New Roman"/>
                <w:color w:val="auto"/>
                <w:szCs w:val="21"/>
                <w:highlight w:val="none"/>
              </w:rPr>
              <w:t>500/人·次</w:t>
            </w:r>
          </w:p>
        </w:tc>
        <w:tc>
          <w:tcPr>
            <w:tcW w:w="2126" w:type="dxa"/>
            <w:gridSpan w:val="2"/>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以发包人、监理公司检查情况为准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hint="eastAsia" w:cs="Times New Roman"/>
                <w:color w:val="auto"/>
                <w:szCs w:val="21"/>
                <w:highlight w:val="none"/>
              </w:rPr>
              <w:t>33</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生产活动或人员行为对周边场所造成不良影响的。</w:t>
            </w:r>
          </w:p>
        </w:tc>
        <w:tc>
          <w:tcPr>
            <w:tcW w:w="1584" w:type="dxa"/>
            <w:vAlign w:val="center"/>
          </w:tcPr>
          <w:p>
            <w:pPr>
              <w:rPr>
                <w:rFonts w:cs="Times New Roman"/>
                <w:color w:val="auto"/>
                <w:szCs w:val="21"/>
                <w:highlight w:val="none"/>
              </w:rPr>
            </w:pPr>
            <w:r>
              <w:rPr>
                <w:rFonts w:cs="Times New Roman"/>
                <w:color w:val="auto"/>
                <w:szCs w:val="21"/>
                <w:highlight w:val="none"/>
              </w:rPr>
              <w:t xml:space="preserve">5000~10000 </w:t>
            </w:r>
          </w:p>
        </w:tc>
        <w:tc>
          <w:tcPr>
            <w:tcW w:w="2126" w:type="dxa"/>
            <w:gridSpan w:val="2"/>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以发包人、监理公司核实为准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hint="eastAsia" w:cs="Times New Roman"/>
                <w:color w:val="auto"/>
                <w:szCs w:val="21"/>
                <w:highlight w:val="none"/>
              </w:rPr>
              <w:t>34</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人员酒后上岗作业，或在禁烟区吸烟。</w:t>
            </w:r>
          </w:p>
        </w:tc>
        <w:tc>
          <w:tcPr>
            <w:tcW w:w="1584" w:type="dxa"/>
            <w:vAlign w:val="center"/>
          </w:tcPr>
          <w:p>
            <w:pPr>
              <w:rPr>
                <w:rFonts w:cs="Times New Roman"/>
                <w:color w:val="auto"/>
                <w:szCs w:val="21"/>
                <w:highlight w:val="none"/>
              </w:rPr>
            </w:pPr>
            <w:r>
              <w:rPr>
                <w:rFonts w:cs="Times New Roman"/>
                <w:color w:val="auto"/>
                <w:szCs w:val="21"/>
                <w:highlight w:val="none"/>
              </w:rPr>
              <w:t>500/人·次</w:t>
            </w:r>
          </w:p>
        </w:tc>
        <w:tc>
          <w:tcPr>
            <w:tcW w:w="2126" w:type="dxa"/>
            <w:gridSpan w:val="2"/>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以发包人、监理公司检查情况为准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hint="eastAsia" w:cs="Times New Roman"/>
                <w:color w:val="auto"/>
                <w:szCs w:val="21"/>
                <w:highlight w:val="none"/>
              </w:rPr>
              <w:t>35</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人员打架斗殴、偷盗、赌博、破坏公共财产等违反劳动纪律或治安保卫条例的行为。</w:t>
            </w:r>
          </w:p>
        </w:tc>
        <w:tc>
          <w:tcPr>
            <w:tcW w:w="1584" w:type="dxa"/>
            <w:vAlign w:val="center"/>
          </w:tcPr>
          <w:p>
            <w:pPr>
              <w:rPr>
                <w:rFonts w:cs="Times New Roman"/>
                <w:color w:val="auto"/>
                <w:szCs w:val="21"/>
                <w:highlight w:val="none"/>
              </w:rPr>
            </w:pPr>
            <w:r>
              <w:rPr>
                <w:rFonts w:cs="Times New Roman"/>
                <w:color w:val="auto"/>
                <w:szCs w:val="21"/>
                <w:highlight w:val="none"/>
              </w:rPr>
              <w:t>10000 /人·次</w:t>
            </w:r>
          </w:p>
        </w:tc>
        <w:tc>
          <w:tcPr>
            <w:tcW w:w="2126" w:type="dxa"/>
            <w:gridSpan w:val="2"/>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以发包人、监理公司检查情况为准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hint="eastAsia" w:cs="Times New Roman"/>
                <w:color w:val="auto"/>
                <w:szCs w:val="21"/>
                <w:highlight w:val="none"/>
              </w:rPr>
              <w:t>36</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人员存在随地大小便、衣衫不整等不文明行为。</w:t>
            </w:r>
          </w:p>
        </w:tc>
        <w:tc>
          <w:tcPr>
            <w:tcW w:w="1584" w:type="dxa"/>
            <w:vAlign w:val="center"/>
          </w:tcPr>
          <w:p>
            <w:pPr>
              <w:rPr>
                <w:rFonts w:cs="Times New Roman"/>
                <w:color w:val="auto"/>
                <w:szCs w:val="21"/>
                <w:highlight w:val="none"/>
              </w:rPr>
            </w:pPr>
            <w:r>
              <w:rPr>
                <w:rFonts w:cs="Times New Roman"/>
                <w:color w:val="auto"/>
                <w:szCs w:val="21"/>
                <w:highlight w:val="none"/>
              </w:rPr>
              <w:t>500/人·次</w:t>
            </w:r>
          </w:p>
        </w:tc>
        <w:tc>
          <w:tcPr>
            <w:tcW w:w="2126" w:type="dxa"/>
            <w:gridSpan w:val="2"/>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以发包人、监理公司核实为准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hint="eastAsia" w:cs="Times New Roman"/>
                <w:color w:val="auto"/>
                <w:szCs w:val="21"/>
                <w:highlight w:val="none"/>
              </w:rPr>
              <w:t>37</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人员在施工现场电梯口（内）、通道、楼梯间及其他区域嬉戏打闹。</w:t>
            </w:r>
          </w:p>
        </w:tc>
        <w:tc>
          <w:tcPr>
            <w:tcW w:w="1584" w:type="dxa"/>
            <w:vAlign w:val="center"/>
          </w:tcPr>
          <w:p>
            <w:pPr>
              <w:rPr>
                <w:rFonts w:cs="Times New Roman"/>
                <w:color w:val="auto"/>
                <w:szCs w:val="21"/>
                <w:highlight w:val="none"/>
              </w:rPr>
            </w:pPr>
            <w:r>
              <w:rPr>
                <w:rFonts w:cs="Times New Roman"/>
                <w:color w:val="auto"/>
                <w:szCs w:val="21"/>
                <w:highlight w:val="none"/>
              </w:rPr>
              <w:t>500/人·次</w:t>
            </w:r>
          </w:p>
        </w:tc>
        <w:tc>
          <w:tcPr>
            <w:tcW w:w="2126" w:type="dxa"/>
            <w:gridSpan w:val="2"/>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以发包人、监理公司核实为准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hint="eastAsia" w:cs="Times New Roman"/>
                <w:color w:val="auto"/>
                <w:szCs w:val="21"/>
                <w:highlight w:val="none"/>
              </w:rPr>
              <w:t>38</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人员存在私自拆除安全设施、标语或高空抛掷物料等严重违章行为。</w:t>
            </w:r>
          </w:p>
        </w:tc>
        <w:tc>
          <w:tcPr>
            <w:tcW w:w="1584" w:type="dxa"/>
            <w:vAlign w:val="center"/>
          </w:tcPr>
          <w:p>
            <w:pPr>
              <w:rPr>
                <w:rFonts w:cs="Times New Roman"/>
                <w:color w:val="auto"/>
                <w:szCs w:val="21"/>
                <w:highlight w:val="none"/>
              </w:rPr>
            </w:pPr>
            <w:r>
              <w:rPr>
                <w:rFonts w:cs="Times New Roman"/>
                <w:color w:val="auto"/>
                <w:szCs w:val="21"/>
                <w:highlight w:val="none"/>
              </w:rPr>
              <w:t>5000~10000/人·次</w:t>
            </w:r>
          </w:p>
        </w:tc>
        <w:tc>
          <w:tcPr>
            <w:tcW w:w="2126" w:type="dxa"/>
            <w:gridSpan w:val="2"/>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以发包人、监理公司核实为准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hint="eastAsia" w:cs="Times New Roman"/>
                <w:color w:val="auto"/>
                <w:szCs w:val="21"/>
                <w:highlight w:val="none"/>
              </w:rPr>
              <w:t>39</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人员不服从管理、态度粗鲁、缺乏礼貌。</w:t>
            </w:r>
          </w:p>
        </w:tc>
        <w:tc>
          <w:tcPr>
            <w:tcW w:w="1584" w:type="dxa"/>
            <w:vAlign w:val="center"/>
          </w:tcPr>
          <w:p>
            <w:pPr>
              <w:rPr>
                <w:rFonts w:cs="Times New Roman"/>
                <w:color w:val="auto"/>
                <w:szCs w:val="21"/>
                <w:highlight w:val="none"/>
              </w:rPr>
            </w:pPr>
            <w:r>
              <w:rPr>
                <w:rFonts w:cs="Times New Roman"/>
                <w:color w:val="auto"/>
                <w:szCs w:val="21"/>
                <w:highlight w:val="none"/>
              </w:rPr>
              <w:t>5000/人·次</w:t>
            </w:r>
          </w:p>
        </w:tc>
        <w:tc>
          <w:tcPr>
            <w:tcW w:w="2126" w:type="dxa"/>
            <w:gridSpan w:val="2"/>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以发包人、监理公司核实为准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hint="eastAsia" w:cs="Times New Roman"/>
                <w:color w:val="auto"/>
                <w:szCs w:val="21"/>
                <w:highlight w:val="none"/>
              </w:rPr>
              <w:t>40</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人员违章指挥或强令冒险作业。</w:t>
            </w:r>
          </w:p>
        </w:tc>
        <w:tc>
          <w:tcPr>
            <w:tcW w:w="1584" w:type="dxa"/>
            <w:vAlign w:val="center"/>
          </w:tcPr>
          <w:p>
            <w:pPr>
              <w:rPr>
                <w:rFonts w:cs="Times New Roman"/>
                <w:color w:val="auto"/>
                <w:szCs w:val="21"/>
                <w:highlight w:val="none"/>
              </w:rPr>
            </w:pPr>
            <w:r>
              <w:rPr>
                <w:rFonts w:cs="Times New Roman"/>
                <w:color w:val="auto"/>
                <w:szCs w:val="21"/>
                <w:highlight w:val="none"/>
              </w:rPr>
              <w:t>5000/人·次</w:t>
            </w:r>
          </w:p>
        </w:tc>
        <w:tc>
          <w:tcPr>
            <w:tcW w:w="2126" w:type="dxa"/>
            <w:gridSpan w:val="2"/>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以发包人、监理公司核实为准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cs="Times New Roman"/>
                <w:color w:val="auto"/>
                <w:szCs w:val="21"/>
                <w:highlight w:val="none"/>
              </w:rPr>
              <w:t>4</w:t>
            </w:r>
            <w:r>
              <w:rPr>
                <w:rFonts w:hint="eastAsia" w:cs="Times New Roman"/>
                <w:color w:val="auto"/>
                <w:szCs w:val="21"/>
                <w:highlight w:val="none"/>
              </w:rPr>
              <w:t>1</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无证人员擅自从事特种作业。</w:t>
            </w:r>
          </w:p>
        </w:tc>
        <w:tc>
          <w:tcPr>
            <w:tcW w:w="1584" w:type="dxa"/>
            <w:vAlign w:val="center"/>
          </w:tcPr>
          <w:p>
            <w:pPr>
              <w:rPr>
                <w:rFonts w:cs="Times New Roman"/>
                <w:color w:val="auto"/>
                <w:szCs w:val="21"/>
                <w:highlight w:val="none"/>
              </w:rPr>
            </w:pPr>
            <w:r>
              <w:rPr>
                <w:rFonts w:cs="Times New Roman"/>
                <w:color w:val="auto"/>
                <w:szCs w:val="21"/>
                <w:highlight w:val="none"/>
              </w:rPr>
              <w:t>1000/人·次</w:t>
            </w:r>
          </w:p>
        </w:tc>
        <w:tc>
          <w:tcPr>
            <w:tcW w:w="2126" w:type="dxa"/>
            <w:gridSpan w:val="2"/>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以发包人、监理公司核实为准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cs="Times New Roman"/>
                <w:color w:val="auto"/>
                <w:szCs w:val="21"/>
                <w:highlight w:val="none"/>
              </w:rPr>
              <w:t>4</w:t>
            </w:r>
            <w:r>
              <w:rPr>
                <w:rFonts w:hint="eastAsia" w:cs="Times New Roman"/>
                <w:color w:val="auto"/>
                <w:szCs w:val="21"/>
                <w:highlight w:val="none"/>
              </w:rPr>
              <w:t>2</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监理人提出的承包人的违规、违章行为，经发包人核实确属事实的。</w:t>
            </w:r>
          </w:p>
        </w:tc>
        <w:tc>
          <w:tcPr>
            <w:tcW w:w="1584" w:type="dxa"/>
            <w:vAlign w:val="center"/>
          </w:tcPr>
          <w:p>
            <w:pPr>
              <w:rPr>
                <w:rFonts w:cs="Times New Roman"/>
                <w:color w:val="auto"/>
                <w:szCs w:val="21"/>
                <w:highlight w:val="none"/>
              </w:rPr>
            </w:pPr>
            <w:r>
              <w:rPr>
                <w:rFonts w:cs="Times New Roman"/>
                <w:color w:val="auto"/>
                <w:szCs w:val="21"/>
                <w:highlight w:val="none"/>
              </w:rPr>
              <w:t xml:space="preserve">1000~3000 </w:t>
            </w:r>
          </w:p>
        </w:tc>
        <w:tc>
          <w:tcPr>
            <w:tcW w:w="2126" w:type="dxa"/>
            <w:gridSpan w:val="2"/>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以发包人、监理公司核实为准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cs="Times New Roman"/>
                <w:color w:val="auto"/>
                <w:szCs w:val="21"/>
                <w:highlight w:val="none"/>
              </w:rPr>
              <w:t>4</w:t>
            </w:r>
            <w:r>
              <w:rPr>
                <w:rFonts w:hint="eastAsia" w:cs="Times New Roman"/>
                <w:color w:val="auto"/>
                <w:szCs w:val="21"/>
                <w:highlight w:val="none"/>
              </w:rPr>
              <w:t>3</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其他形成即刻事故风险的违章行为。</w:t>
            </w:r>
          </w:p>
        </w:tc>
        <w:tc>
          <w:tcPr>
            <w:tcW w:w="1584" w:type="dxa"/>
            <w:vAlign w:val="center"/>
          </w:tcPr>
          <w:p>
            <w:pPr>
              <w:rPr>
                <w:rFonts w:cs="Times New Roman"/>
                <w:color w:val="auto"/>
                <w:szCs w:val="21"/>
                <w:highlight w:val="none"/>
              </w:rPr>
            </w:pPr>
            <w:r>
              <w:rPr>
                <w:rFonts w:cs="Times New Roman"/>
                <w:color w:val="auto"/>
                <w:szCs w:val="21"/>
                <w:highlight w:val="none"/>
              </w:rPr>
              <w:t>1000/人·次</w:t>
            </w:r>
          </w:p>
        </w:tc>
        <w:tc>
          <w:tcPr>
            <w:tcW w:w="2126" w:type="dxa"/>
            <w:gridSpan w:val="2"/>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以发包人、监理公司核实为准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9214" w:type="dxa"/>
            <w:gridSpan w:val="5"/>
            <w:vAlign w:val="center"/>
          </w:tcPr>
          <w:p>
            <w:pPr>
              <w:rPr>
                <w:rFonts w:cs="Times New Roman"/>
                <w:color w:val="auto"/>
                <w:szCs w:val="21"/>
                <w:highlight w:val="none"/>
              </w:rPr>
            </w:pPr>
            <w:r>
              <w:rPr>
                <w:rFonts w:cs="Times New Roman"/>
                <w:color w:val="auto"/>
                <w:szCs w:val="21"/>
                <w:highlight w:val="none"/>
              </w:rPr>
              <w:t>临建管理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cs="Times New Roman"/>
                <w:color w:val="auto"/>
                <w:szCs w:val="21"/>
                <w:highlight w:val="none"/>
              </w:rPr>
              <w:t>4</w:t>
            </w:r>
            <w:r>
              <w:rPr>
                <w:rFonts w:hint="eastAsia" w:cs="Times New Roman"/>
                <w:color w:val="auto"/>
                <w:szCs w:val="21"/>
                <w:highlight w:val="none"/>
              </w:rPr>
              <w:t>4</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临建规划不合理或不满足安全、消防及卫生防疫要求的。</w:t>
            </w:r>
          </w:p>
        </w:tc>
        <w:tc>
          <w:tcPr>
            <w:tcW w:w="1726" w:type="dxa"/>
            <w:gridSpan w:val="2"/>
            <w:vAlign w:val="center"/>
          </w:tcPr>
          <w:p>
            <w:pPr>
              <w:rPr>
                <w:rFonts w:cs="Times New Roman"/>
                <w:color w:val="auto"/>
                <w:szCs w:val="21"/>
                <w:highlight w:val="none"/>
              </w:rPr>
            </w:pPr>
            <w:r>
              <w:rPr>
                <w:rFonts w:cs="Times New Roman"/>
                <w:color w:val="auto"/>
                <w:szCs w:val="21"/>
                <w:highlight w:val="none"/>
              </w:rPr>
              <w:t>5000~10000</w:t>
            </w:r>
          </w:p>
        </w:tc>
        <w:tc>
          <w:tcPr>
            <w:tcW w:w="1984" w:type="dxa"/>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以发包人、监理公司现场检查记录为依据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hint="eastAsia" w:cs="Times New Roman"/>
                <w:color w:val="auto"/>
                <w:szCs w:val="21"/>
                <w:highlight w:val="none"/>
              </w:rPr>
              <w:t>45</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临建设施未经验收擅自投入使用。</w:t>
            </w:r>
          </w:p>
        </w:tc>
        <w:tc>
          <w:tcPr>
            <w:tcW w:w="1726" w:type="dxa"/>
            <w:gridSpan w:val="2"/>
            <w:vAlign w:val="center"/>
          </w:tcPr>
          <w:p>
            <w:pPr>
              <w:rPr>
                <w:rFonts w:cs="Times New Roman"/>
                <w:color w:val="auto"/>
                <w:szCs w:val="21"/>
                <w:highlight w:val="none"/>
              </w:rPr>
            </w:pPr>
            <w:r>
              <w:rPr>
                <w:rFonts w:cs="Times New Roman"/>
                <w:color w:val="auto"/>
                <w:szCs w:val="21"/>
                <w:highlight w:val="none"/>
              </w:rPr>
              <w:t>2000~5000</w:t>
            </w:r>
          </w:p>
        </w:tc>
        <w:tc>
          <w:tcPr>
            <w:tcW w:w="1984" w:type="dxa"/>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以发包人、监理公司现场检查记录为依据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hint="eastAsia" w:cs="Times New Roman"/>
                <w:color w:val="auto"/>
                <w:szCs w:val="21"/>
                <w:highlight w:val="none"/>
              </w:rPr>
              <w:t>46</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集体食堂未办理卫生许可证或从业人员无上岗资格或未制定卫生防疫责任制度或存在卫生防疫问题未及时整改的。</w:t>
            </w:r>
          </w:p>
        </w:tc>
        <w:tc>
          <w:tcPr>
            <w:tcW w:w="1726" w:type="dxa"/>
            <w:gridSpan w:val="2"/>
            <w:vAlign w:val="center"/>
          </w:tcPr>
          <w:p>
            <w:pPr>
              <w:rPr>
                <w:rFonts w:cs="Times New Roman"/>
                <w:color w:val="auto"/>
                <w:szCs w:val="21"/>
                <w:highlight w:val="none"/>
              </w:rPr>
            </w:pPr>
            <w:r>
              <w:rPr>
                <w:rFonts w:cs="Times New Roman"/>
                <w:color w:val="auto"/>
                <w:szCs w:val="21"/>
                <w:highlight w:val="none"/>
              </w:rPr>
              <w:t>2000~5000</w:t>
            </w:r>
          </w:p>
        </w:tc>
        <w:tc>
          <w:tcPr>
            <w:tcW w:w="1984" w:type="dxa"/>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以发包人、监理公司现场检查记录为依据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jc w:val="center"/>
              <w:rPr>
                <w:rFonts w:cs="Times New Roman"/>
                <w:color w:val="auto"/>
                <w:szCs w:val="21"/>
                <w:highlight w:val="none"/>
              </w:rPr>
            </w:pPr>
            <w:r>
              <w:rPr>
                <w:rFonts w:hint="eastAsia" w:cs="Times New Roman"/>
                <w:color w:val="auto"/>
                <w:szCs w:val="21"/>
                <w:highlight w:val="none"/>
              </w:rPr>
              <w:t>47</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临建区违章动火或使用明火或违规存放易燃易爆危险品。</w:t>
            </w:r>
          </w:p>
        </w:tc>
        <w:tc>
          <w:tcPr>
            <w:tcW w:w="1726" w:type="dxa"/>
            <w:gridSpan w:val="2"/>
            <w:vAlign w:val="center"/>
          </w:tcPr>
          <w:p>
            <w:pPr>
              <w:rPr>
                <w:rFonts w:cs="Times New Roman"/>
                <w:color w:val="auto"/>
                <w:szCs w:val="21"/>
                <w:highlight w:val="none"/>
              </w:rPr>
            </w:pPr>
            <w:r>
              <w:rPr>
                <w:rFonts w:cs="Times New Roman"/>
                <w:color w:val="auto"/>
                <w:szCs w:val="21"/>
                <w:highlight w:val="none"/>
              </w:rPr>
              <w:t>2000~5000</w:t>
            </w:r>
          </w:p>
        </w:tc>
        <w:tc>
          <w:tcPr>
            <w:tcW w:w="1984" w:type="dxa"/>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以发包人、监理公司现场检查记录为依据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hint="eastAsia" w:cs="Times New Roman"/>
                <w:color w:val="auto"/>
                <w:szCs w:val="21"/>
                <w:highlight w:val="none"/>
              </w:rPr>
              <w:t>48</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生活区、施工现场未合理设置厕所或厕所卫生不达标。</w:t>
            </w:r>
          </w:p>
        </w:tc>
        <w:tc>
          <w:tcPr>
            <w:tcW w:w="1726" w:type="dxa"/>
            <w:gridSpan w:val="2"/>
            <w:vAlign w:val="center"/>
          </w:tcPr>
          <w:p>
            <w:pPr>
              <w:rPr>
                <w:rFonts w:cs="Times New Roman"/>
                <w:color w:val="auto"/>
                <w:szCs w:val="21"/>
                <w:highlight w:val="none"/>
              </w:rPr>
            </w:pPr>
            <w:r>
              <w:rPr>
                <w:rFonts w:cs="Times New Roman"/>
                <w:color w:val="auto"/>
                <w:szCs w:val="21"/>
                <w:highlight w:val="none"/>
              </w:rPr>
              <w:t>1000~2000</w:t>
            </w:r>
          </w:p>
        </w:tc>
        <w:tc>
          <w:tcPr>
            <w:tcW w:w="1984" w:type="dxa"/>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以发包人、监理公司现场检查记录为依据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hint="eastAsia" w:cs="Times New Roman"/>
                <w:color w:val="auto"/>
                <w:szCs w:val="21"/>
                <w:highlight w:val="none"/>
              </w:rPr>
              <w:t>49</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临建未设置“三防”（防台、防雷、防汛）应急设施，或设施不满足应急要求。</w:t>
            </w:r>
          </w:p>
        </w:tc>
        <w:tc>
          <w:tcPr>
            <w:tcW w:w="1726" w:type="dxa"/>
            <w:gridSpan w:val="2"/>
            <w:vAlign w:val="center"/>
          </w:tcPr>
          <w:p>
            <w:pPr>
              <w:rPr>
                <w:rFonts w:cs="Times New Roman"/>
                <w:color w:val="auto"/>
                <w:szCs w:val="21"/>
                <w:highlight w:val="none"/>
              </w:rPr>
            </w:pPr>
            <w:r>
              <w:rPr>
                <w:rFonts w:cs="Times New Roman"/>
                <w:color w:val="auto"/>
                <w:szCs w:val="21"/>
                <w:highlight w:val="none"/>
              </w:rPr>
              <w:t>1000~3000</w:t>
            </w:r>
          </w:p>
        </w:tc>
        <w:tc>
          <w:tcPr>
            <w:tcW w:w="1984" w:type="dxa"/>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以发包人、监理公司现场检查记录为依据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cs="Times New Roman"/>
                <w:color w:val="auto"/>
                <w:szCs w:val="21"/>
                <w:highlight w:val="none"/>
              </w:rPr>
              <w:t>5</w:t>
            </w:r>
            <w:r>
              <w:rPr>
                <w:rFonts w:hint="eastAsia" w:cs="Times New Roman"/>
                <w:color w:val="auto"/>
                <w:szCs w:val="21"/>
                <w:highlight w:val="none"/>
              </w:rPr>
              <w:t>0</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作业人员在在建工程内违规住宿。</w:t>
            </w:r>
          </w:p>
        </w:tc>
        <w:tc>
          <w:tcPr>
            <w:tcW w:w="1726" w:type="dxa"/>
            <w:gridSpan w:val="2"/>
            <w:vAlign w:val="center"/>
          </w:tcPr>
          <w:p>
            <w:pPr>
              <w:rPr>
                <w:rFonts w:cs="Times New Roman"/>
                <w:color w:val="auto"/>
                <w:szCs w:val="21"/>
                <w:highlight w:val="none"/>
              </w:rPr>
            </w:pPr>
            <w:r>
              <w:rPr>
                <w:rFonts w:cs="Times New Roman"/>
                <w:color w:val="auto"/>
                <w:szCs w:val="21"/>
                <w:highlight w:val="none"/>
              </w:rPr>
              <w:t>500/人·次</w:t>
            </w:r>
          </w:p>
        </w:tc>
        <w:tc>
          <w:tcPr>
            <w:tcW w:w="1984" w:type="dxa"/>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以发包人、监理公司现场检查记录为依据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cs="Times New Roman"/>
                <w:color w:val="auto"/>
                <w:szCs w:val="21"/>
                <w:highlight w:val="none"/>
              </w:rPr>
              <w:t>5</w:t>
            </w:r>
            <w:r>
              <w:rPr>
                <w:rFonts w:hint="eastAsia" w:cs="Times New Roman"/>
                <w:color w:val="auto"/>
                <w:szCs w:val="21"/>
                <w:highlight w:val="none"/>
              </w:rPr>
              <w:t>1</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临建生活区用电未设置有效限载限流装置，或存在私拉乱接、使用花线、大功率电器等违章行为。</w:t>
            </w:r>
          </w:p>
        </w:tc>
        <w:tc>
          <w:tcPr>
            <w:tcW w:w="1726" w:type="dxa"/>
            <w:gridSpan w:val="2"/>
            <w:vAlign w:val="center"/>
          </w:tcPr>
          <w:p>
            <w:pPr>
              <w:rPr>
                <w:rFonts w:cs="Times New Roman"/>
                <w:color w:val="auto"/>
                <w:szCs w:val="21"/>
                <w:highlight w:val="none"/>
              </w:rPr>
            </w:pPr>
            <w:r>
              <w:rPr>
                <w:rFonts w:cs="Times New Roman"/>
                <w:color w:val="auto"/>
                <w:szCs w:val="21"/>
                <w:highlight w:val="none"/>
              </w:rPr>
              <w:t>2000~5000</w:t>
            </w:r>
          </w:p>
        </w:tc>
        <w:tc>
          <w:tcPr>
            <w:tcW w:w="1984" w:type="dxa"/>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以发包人、监理公司现场检查记录为依据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cs="Times New Roman"/>
                <w:color w:val="auto"/>
                <w:szCs w:val="21"/>
                <w:highlight w:val="none"/>
              </w:rPr>
              <w:t>5</w:t>
            </w:r>
            <w:r>
              <w:rPr>
                <w:rFonts w:hint="eastAsia" w:cs="Times New Roman"/>
                <w:color w:val="auto"/>
                <w:szCs w:val="21"/>
                <w:highlight w:val="none"/>
              </w:rPr>
              <w:t>2</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临建区淋浴房、厕所等潮湿环境未按规定使用安全电压照明。</w:t>
            </w:r>
          </w:p>
        </w:tc>
        <w:tc>
          <w:tcPr>
            <w:tcW w:w="1726" w:type="dxa"/>
            <w:gridSpan w:val="2"/>
            <w:vAlign w:val="center"/>
          </w:tcPr>
          <w:p>
            <w:pPr>
              <w:rPr>
                <w:rFonts w:cs="Times New Roman"/>
                <w:color w:val="auto"/>
                <w:szCs w:val="21"/>
                <w:highlight w:val="none"/>
              </w:rPr>
            </w:pPr>
            <w:r>
              <w:rPr>
                <w:rFonts w:cs="Times New Roman"/>
                <w:color w:val="auto"/>
                <w:szCs w:val="21"/>
                <w:highlight w:val="none"/>
              </w:rPr>
              <w:t>1000~3000</w:t>
            </w:r>
          </w:p>
        </w:tc>
        <w:tc>
          <w:tcPr>
            <w:tcW w:w="1984" w:type="dxa"/>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以发包人、监理公司现场检查记录为依据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9214" w:type="dxa"/>
            <w:gridSpan w:val="5"/>
            <w:vAlign w:val="center"/>
          </w:tcPr>
          <w:p>
            <w:pPr>
              <w:rPr>
                <w:rFonts w:cs="Times New Roman"/>
                <w:color w:val="auto"/>
                <w:szCs w:val="21"/>
                <w:highlight w:val="none"/>
              </w:rPr>
            </w:pPr>
            <w:r>
              <w:rPr>
                <w:rFonts w:cs="Times New Roman"/>
                <w:color w:val="auto"/>
                <w:szCs w:val="21"/>
                <w:highlight w:val="none"/>
              </w:rPr>
              <w:t>劳动防护用品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cs="Times New Roman"/>
                <w:color w:val="auto"/>
                <w:szCs w:val="21"/>
                <w:highlight w:val="none"/>
              </w:rPr>
              <w:t>5</w:t>
            </w:r>
            <w:r>
              <w:rPr>
                <w:rFonts w:hint="eastAsia" w:cs="Times New Roman"/>
                <w:color w:val="auto"/>
                <w:szCs w:val="21"/>
                <w:highlight w:val="none"/>
              </w:rPr>
              <w:t>3</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未按规定为从业人员配备、发放劳动防护用品或劳动防护用品质量不满足安全要求。</w:t>
            </w:r>
          </w:p>
        </w:tc>
        <w:tc>
          <w:tcPr>
            <w:tcW w:w="1726" w:type="dxa"/>
            <w:gridSpan w:val="2"/>
            <w:vAlign w:val="center"/>
          </w:tcPr>
          <w:p>
            <w:pPr>
              <w:rPr>
                <w:rFonts w:cs="Times New Roman"/>
                <w:color w:val="auto"/>
                <w:szCs w:val="21"/>
                <w:highlight w:val="none"/>
              </w:rPr>
            </w:pPr>
            <w:r>
              <w:rPr>
                <w:rFonts w:cs="Times New Roman"/>
                <w:color w:val="auto"/>
                <w:szCs w:val="21"/>
                <w:highlight w:val="none"/>
              </w:rPr>
              <w:t>2000~5000</w:t>
            </w:r>
          </w:p>
        </w:tc>
        <w:tc>
          <w:tcPr>
            <w:tcW w:w="1984" w:type="dxa"/>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以发包人、监理公司核实为准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cs="Times New Roman"/>
                <w:color w:val="auto"/>
                <w:szCs w:val="21"/>
                <w:highlight w:val="none"/>
              </w:rPr>
              <w:t>5</w:t>
            </w:r>
            <w:r>
              <w:rPr>
                <w:rFonts w:hint="eastAsia" w:cs="Times New Roman"/>
                <w:color w:val="auto"/>
                <w:szCs w:val="21"/>
                <w:highlight w:val="none"/>
              </w:rPr>
              <w:t>4</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人员在施工现场内未正确佩戴安全帽。</w:t>
            </w:r>
          </w:p>
        </w:tc>
        <w:tc>
          <w:tcPr>
            <w:tcW w:w="1726" w:type="dxa"/>
            <w:gridSpan w:val="2"/>
            <w:vAlign w:val="center"/>
          </w:tcPr>
          <w:p>
            <w:pPr>
              <w:rPr>
                <w:rFonts w:cs="Times New Roman"/>
                <w:color w:val="auto"/>
                <w:szCs w:val="21"/>
                <w:highlight w:val="none"/>
              </w:rPr>
            </w:pPr>
            <w:r>
              <w:rPr>
                <w:rFonts w:cs="Times New Roman"/>
                <w:color w:val="auto"/>
                <w:szCs w:val="21"/>
                <w:highlight w:val="none"/>
              </w:rPr>
              <w:t>500/人·次</w:t>
            </w:r>
          </w:p>
        </w:tc>
        <w:tc>
          <w:tcPr>
            <w:tcW w:w="1984" w:type="dxa"/>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以发包人、监理公司现场检查记录为依据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hint="eastAsia" w:cs="Times New Roman"/>
                <w:color w:val="auto"/>
                <w:szCs w:val="21"/>
                <w:highlight w:val="none"/>
              </w:rPr>
              <w:t>55</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人员高空、临边作业未正确佩戴使用安全带。</w:t>
            </w:r>
          </w:p>
        </w:tc>
        <w:tc>
          <w:tcPr>
            <w:tcW w:w="1726" w:type="dxa"/>
            <w:gridSpan w:val="2"/>
            <w:vAlign w:val="center"/>
          </w:tcPr>
          <w:p>
            <w:pPr>
              <w:rPr>
                <w:rFonts w:cs="Times New Roman"/>
                <w:color w:val="auto"/>
                <w:szCs w:val="21"/>
                <w:highlight w:val="none"/>
              </w:rPr>
            </w:pPr>
            <w:r>
              <w:rPr>
                <w:rFonts w:cs="Times New Roman"/>
                <w:color w:val="auto"/>
                <w:szCs w:val="21"/>
                <w:highlight w:val="none"/>
              </w:rPr>
              <w:t>1000/人·次</w:t>
            </w:r>
          </w:p>
        </w:tc>
        <w:tc>
          <w:tcPr>
            <w:tcW w:w="1984" w:type="dxa"/>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以发包人、监理公司现场检查记录为依据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hint="eastAsia" w:cs="Times New Roman"/>
                <w:color w:val="auto"/>
                <w:szCs w:val="21"/>
                <w:highlight w:val="none"/>
              </w:rPr>
              <w:t>56</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人员在进行特种作业时未按规定正确佩戴使用相应的劳动防护用品。</w:t>
            </w:r>
          </w:p>
        </w:tc>
        <w:tc>
          <w:tcPr>
            <w:tcW w:w="1726" w:type="dxa"/>
            <w:gridSpan w:val="2"/>
            <w:vAlign w:val="center"/>
          </w:tcPr>
          <w:p>
            <w:pPr>
              <w:rPr>
                <w:rFonts w:cs="Times New Roman"/>
                <w:color w:val="auto"/>
                <w:szCs w:val="21"/>
                <w:highlight w:val="none"/>
              </w:rPr>
            </w:pPr>
            <w:r>
              <w:rPr>
                <w:rFonts w:cs="Times New Roman"/>
                <w:color w:val="auto"/>
                <w:szCs w:val="21"/>
                <w:highlight w:val="none"/>
              </w:rPr>
              <w:t>500/人·次</w:t>
            </w:r>
          </w:p>
        </w:tc>
        <w:tc>
          <w:tcPr>
            <w:tcW w:w="1984" w:type="dxa"/>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以发包人、监理公司现场检查记录为依据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hint="eastAsia" w:cs="Times New Roman"/>
                <w:color w:val="auto"/>
                <w:szCs w:val="21"/>
                <w:highlight w:val="none"/>
              </w:rPr>
              <w:t>57</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未按规定着装或着装给现场形象造成不良影响的。</w:t>
            </w:r>
          </w:p>
        </w:tc>
        <w:tc>
          <w:tcPr>
            <w:tcW w:w="1726" w:type="dxa"/>
            <w:gridSpan w:val="2"/>
            <w:vAlign w:val="center"/>
          </w:tcPr>
          <w:p>
            <w:pPr>
              <w:rPr>
                <w:rFonts w:cs="Times New Roman"/>
                <w:color w:val="auto"/>
                <w:szCs w:val="21"/>
                <w:highlight w:val="none"/>
              </w:rPr>
            </w:pPr>
            <w:r>
              <w:rPr>
                <w:rFonts w:cs="Times New Roman"/>
                <w:color w:val="auto"/>
                <w:szCs w:val="21"/>
                <w:highlight w:val="none"/>
              </w:rPr>
              <w:t>500/人·次</w:t>
            </w:r>
          </w:p>
        </w:tc>
        <w:tc>
          <w:tcPr>
            <w:tcW w:w="1984" w:type="dxa"/>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以发包人、监理公司现场检查记录为依据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hint="eastAsia" w:cs="Times New Roman"/>
                <w:color w:val="auto"/>
                <w:szCs w:val="21"/>
                <w:highlight w:val="none"/>
              </w:rPr>
              <w:t>58</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安全兜网不符合行业标准，或未按规范要求设置。</w:t>
            </w:r>
          </w:p>
        </w:tc>
        <w:tc>
          <w:tcPr>
            <w:tcW w:w="1726" w:type="dxa"/>
            <w:gridSpan w:val="2"/>
            <w:vAlign w:val="center"/>
          </w:tcPr>
          <w:p>
            <w:pPr>
              <w:rPr>
                <w:rFonts w:cs="Times New Roman"/>
                <w:color w:val="auto"/>
                <w:szCs w:val="21"/>
                <w:highlight w:val="none"/>
              </w:rPr>
            </w:pPr>
            <w:r>
              <w:rPr>
                <w:rFonts w:cs="Times New Roman"/>
                <w:color w:val="auto"/>
                <w:szCs w:val="21"/>
                <w:highlight w:val="none"/>
              </w:rPr>
              <w:t>1000~3000</w:t>
            </w:r>
          </w:p>
        </w:tc>
        <w:tc>
          <w:tcPr>
            <w:tcW w:w="1984" w:type="dxa"/>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以发包人、监理公司现场检查记录为依据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9214" w:type="dxa"/>
            <w:gridSpan w:val="5"/>
            <w:vAlign w:val="center"/>
          </w:tcPr>
          <w:p>
            <w:pPr>
              <w:rPr>
                <w:rFonts w:cs="Times New Roman"/>
                <w:color w:val="auto"/>
                <w:szCs w:val="21"/>
                <w:highlight w:val="none"/>
              </w:rPr>
            </w:pPr>
            <w:r>
              <w:rPr>
                <w:rFonts w:cs="Times New Roman"/>
                <w:color w:val="auto"/>
                <w:szCs w:val="21"/>
                <w:highlight w:val="none"/>
              </w:rPr>
              <w:t>临时用电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cs="Times New Roman"/>
                <w:color w:val="auto"/>
                <w:szCs w:val="21"/>
                <w:highlight w:val="none"/>
              </w:rPr>
              <w:t>59</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未编制临时用电施工组织设计，或未按设计实施的。</w:t>
            </w:r>
          </w:p>
        </w:tc>
        <w:tc>
          <w:tcPr>
            <w:tcW w:w="1726" w:type="dxa"/>
            <w:gridSpan w:val="2"/>
            <w:vAlign w:val="center"/>
          </w:tcPr>
          <w:p>
            <w:pPr>
              <w:rPr>
                <w:rFonts w:cs="Times New Roman"/>
                <w:color w:val="auto"/>
                <w:szCs w:val="21"/>
                <w:highlight w:val="none"/>
              </w:rPr>
            </w:pPr>
            <w:r>
              <w:rPr>
                <w:rFonts w:cs="Times New Roman"/>
                <w:color w:val="auto"/>
                <w:szCs w:val="21"/>
                <w:highlight w:val="none"/>
              </w:rPr>
              <w:t>20000</w:t>
            </w:r>
          </w:p>
        </w:tc>
        <w:tc>
          <w:tcPr>
            <w:tcW w:w="1984" w:type="dxa"/>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以发包人、监理公司核实为准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cs="Times New Roman"/>
                <w:color w:val="auto"/>
                <w:szCs w:val="21"/>
                <w:highlight w:val="none"/>
              </w:rPr>
              <w:t>60</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外电安全距离不满足要求，且无有效防护措施的。</w:t>
            </w:r>
          </w:p>
        </w:tc>
        <w:tc>
          <w:tcPr>
            <w:tcW w:w="1726" w:type="dxa"/>
            <w:gridSpan w:val="2"/>
            <w:vAlign w:val="center"/>
          </w:tcPr>
          <w:p>
            <w:pPr>
              <w:rPr>
                <w:rFonts w:cs="Times New Roman"/>
                <w:color w:val="auto"/>
                <w:szCs w:val="21"/>
                <w:highlight w:val="none"/>
              </w:rPr>
            </w:pPr>
            <w:r>
              <w:rPr>
                <w:rFonts w:cs="Times New Roman"/>
                <w:color w:val="auto"/>
                <w:szCs w:val="21"/>
                <w:highlight w:val="none"/>
              </w:rPr>
              <w:t>5000~10000</w:t>
            </w:r>
          </w:p>
        </w:tc>
        <w:tc>
          <w:tcPr>
            <w:tcW w:w="1984" w:type="dxa"/>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以发包人、监理公司现场检查记录为依据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cs="Times New Roman"/>
                <w:color w:val="auto"/>
                <w:szCs w:val="21"/>
                <w:highlight w:val="none"/>
              </w:rPr>
              <w:t>61</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无接地或接零保护系统，或接地接零不符规范要求的。</w:t>
            </w:r>
          </w:p>
        </w:tc>
        <w:tc>
          <w:tcPr>
            <w:tcW w:w="1726" w:type="dxa"/>
            <w:gridSpan w:val="2"/>
            <w:vAlign w:val="center"/>
          </w:tcPr>
          <w:p>
            <w:pPr>
              <w:rPr>
                <w:rFonts w:cs="Times New Roman"/>
                <w:color w:val="auto"/>
                <w:szCs w:val="21"/>
                <w:highlight w:val="none"/>
              </w:rPr>
            </w:pPr>
            <w:r>
              <w:rPr>
                <w:rFonts w:cs="Times New Roman"/>
                <w:color w:val="auto"/>
                <w:szCs w:val="21"/>
                <w:highlight w:val="none"/>
              </w:rPr>
              <w:t xml:space="preserve">1000 ~3000 </w:t>
            </w:r>
          </w:p>
        </w:tc>
        <w:tc>
          <w:tcPr>
            <w:tcW w:w="1984" w:type="dxa"/>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以发包人、监理公司现场检查记录为依据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cs="Times New Roman"/>
                <w:color w:val="auto"/>
                <w:szCs w:val="21"/>
                <w:highlight w:val="none"/>
              </w:rPr>
              <w:t>62</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未按“三级配电、两级保护”、“一箱一机一闸一漏”原则实施的。</w:t>
            </w:r>
          </w:p>
        </w:tc>
        <w:tc>
          <w:tcPr>
            <w:tcW w:w="1726" w:type="dxa"/>
            <w:gridSpan w:val="2"/>
            <w:vAlign w:val="center"/>
          </w:tcPr>
          <w:p>
            <w:pPr>
              <w:rPr>
                <w:rFonts w:cs="Times New Roman"/>
                <w:color w:val="auto"/>
                <w:szCs w:val="21"/>
                <w:highlight w:val="none"/>
              </w:rPr>
            </w:pPr>
            <w:r>
              <w:rPr>
                <w:rFonts w:cs="Times New Roman"/>
                <w:color w:val="auto"/>
                <w:szCs w:val="21"/>
                <w:highlight w:val="none"/>
              </w:rPr>
              <w:t>1000~3000</w:t>
            </w:r>
          </w:p>
        </w:tc>
        <w:tc>
          <w:tcPr>
            <w:tcW w:w="1984" w:type="dxa"/>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以发包人、监理公司现场检查记录为依据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cs="Times New Roman"/>
                <w:color w:val="auto"/>
                <w:szCs w:val="21"/>
                <w:highlight w:val="none"/>
              </w:rPr>
              <w:t>63</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电箱材质不满足要求，或未按规定设置有效的防砸、防雨等保护措施。</w:t>
            </w:r>
          </w:p>
        </w:tc>
        <w:tc>
          <w:tcPr>
            <w:tcW w:w="1726" w:type="dxa"/>
            <w:gridSpan w:val="2"/>
            <w:vAlign w:val="center"/>
          </w:tcPr>
          <w:p>
            <w:pPr>
              <w:rPr>
                <w:rFonts w:cs="Times New Roman"/>
                <w:color w:val="auto"/>
                <w:szCs w:val="21"/>
                <w:highlight w:val="none"/>
              </w:rPr>
            </w:pPr>
            <w:r>
              <w:rPr>
                <w:rFonts w:cs="Times New Roman"/>
                <w:color w:val="auto"/>
                <w:szCs w:val="21"/>
                <w:highlight w:val="none"/>
              </w:rPr>
              <w:t>500 ~2000</w:t>
            </w:r>
          </w:p>
        </w:tc>
        <w:tc>
          <w:tcPr>
            <w:tcW w:w="1984" w:type="dxa"/>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以发包人、监理公司现场检查记录为依据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cs="Times New Roman"/>
                <w:color w:val="auto"/>
                <w:szCs w:val="21"/>
                <w:highlight w:val="none"/>
              </w:rPr>
              <w:t>64</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电箱内电气元件失效、损坏、参数不匹配等。</w:t>
            </w:r>
          </w:p>
        </w:tc>
        <w:tc>
          <w:tcPr>
            <w:tcW w:w="1726" w:type="dxa"/>
            <w:gridSpan w:val="2"/>
            <w:vAlign w:val="center"/>
          </w:tcPr>
          <w:p>
            <w:pPr>
              <w:rPr>
                <w:rFonts w:cs="Times New Roman"/>
                <w:color w:val="auto"/>
                <w:szCs w:val="21"/>
                <w:highlight w:val="none"/>
              </w:rPr>
            </w:pPr>
            <w:r>
              <w:rPr>
                <w:rFonts w:cs="Times New Roman"/>
                <w:color w:val="auto"/>
                <w:szCs w:val="21"/>
                <w:highlight w:val="none"/>
              </w:rPr>
              <w:t>500~2000</w:t>
            </w:r>
          </w:p>
        </w:tc>
        <w:tc>
          <w:tcPr>
            <w:tcW w:w="1984" w:type="dxa"/>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以发包人、监理公司现场检查记录为依据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cs="Times New Roman"/>
                <w:color w:val="auto"/>
                <w:szCs w:val="21"/>
                <w:highlight w:val="none"/>
              </w:rPr>
              <w:t>65</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电缆线破损老化，或电缆线不满足规范标准的。</w:t>
            </w:r>
          </w:p>
        </w:tc>
        <w:tc>
          <w:tcPr>
            <w:tcW w:w="1726" w:type="dxa"/>
            <w:gridSpan w:val="2"/>
            <w:vAlign w:val="center"/>
          </w:tcPr>
          <w:p>
            <w:pPr>
              <w:rPr>
                <w:rFonts w:cs="Times New Roman"/>
                <w:color w:val="auto"/>
                <w:szCs w:val="21"/>
                <w:highlight w:val="none"/>
              </w:rPr>
            </w:pPr>
            <w:r>
              <w:rPr>
                <w:rFonts w:cs="Times New Roman"/>
                <w:color w:val="auto"/>
                <w:szCs w:val="21"/>
                <w:highlight w:val="none"/>
              </w:rPr>
              <w:t>500~2000</w:t>
            </w:r>
          </w:p>
        </w:tc>
        <w:tc>
          <w:tcPr>
            <w:tcW w:w="1984" w:type="dxa"/>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以发包人、监理公司现场检查记录为依据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cs="Times New Roman"/>
                <w:color w:val="auto"/>
                <w:szCs w:val="21"/>
                <w:highlight w:val="none"/>
              </w:rPr>
              <w:t>66</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配电线路敷设不规范，无有效的架空、埋设等防护措施，或防护措施不满足要求的。</w:t>
            </w:r>
          </w:p>
        </w:tc>
        <w:tc>
          <w:tcPr>
            <w:tcW w:w="1726" w:type="dxa"/>
            <w:gridSpan w:val="2"/>
            <w:vAlign w:val="center"/>
          </w:tcPr>
          <w:p>
            <w:pPr>
              <w:rPr>
                <w:rFonts w:cs="Times New Roman"/>
                <w:color w:val="auto"/>
                <w:szCs w:val="21"/>
                <w:highlight w:val="none"/>
              </w:rPr>
            </w:pPr>
            <w:r>
              <w:rPr>
                <w:rFonts w:cs="Times New Roman"/>
                <w:color w:val="auto"/>
                <w:szCs w:val="21"/>
                <w:highlight w:val="none"/>
              </w:rPr>
              <w:t>500~2000</w:t>
            </w:r>
          </w:p>
        </w:tc>
        <w:tc>
          <w:tcPr>
            <w:tcW w:w="1984" w:type="dxa"/>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以发包人、监理公司现场检查记录为依据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cs="Times New Roman"/>
                <w:color w:val="auto"/>
                <w:szCs w:val="21"/>
                <w:highlight w:val="none"/>
              </w:rPr>
              <w:t>67</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违章使用插线板、插线盘、无灯罩碘钨灯等不符合安全要求或明令淘汰的用电设备。</w:t>
            </w:r>
          </w:p>
        </w:tc>
        <w:tc>
          <w:tcPr>
            <w:tcW w:w="1726" w:type="dxa"/>
            <w:gridSpan w:val="2"/>
            <w:vAlign w:val="center"/>
          </w:tcPr>
          <w:p>
            <w:pPr>
              <w:rPr>
                <w:rFonts w:cs="Times New Roman"/>
                <w:color w:val="auto"/>
                <w:szCs w:val="21"/>
                <w:highlight w:val="none"/>
              </w:rPr>
            </w:pPr>
            <w:r>
              <w:rPr>
                <w:rFonts w:cs="Times New Roman"/>
                <w:color w:val="auto"/>
                <w:szCs w:val="21"/>
                <w:highlight w:val="none"/>
              </w:rPr>
              <w:t>3000~5000</w:t>
            </w:r>
          </w:p>
        </w:tc>
        <w:tc>
          <w:tcPr>
            <w:tcW w:w="1984" w:type="dxa"/>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以发包人、监理公司现场检查记录为依据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cs="Times New Roman"/>
                <w:color w:val="auto"/>
                <w:szCs w:val="21"/>
                <w:highlight w:val="none"/>
              </w:rPr>
              <w:t>68</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未配备专业电气人员对临电系统及时进行巡视检查维护的。</w:t>
            </w:r>
          </w:p>
        </w:tc>
        <w:tc>
          <w:tcPr>
            <w:tcW w:w="1726" w:type="dxa"/>
            <w:gridSpan w:val="2"/>
            <w:vAlign w:val="center"/>
          </w:tcPr>
          <w:p>
            <w:pPr>
              <w:rPr>
                <w:rFonts w:cs="Times New Roman"/>
                <w:color w:val="auto"/>
                <w:szCs w:val="21"/>
                <w:highlight w:val="none"/>
              </w:rPr>
            </w:pPr>
            <w:r>
              <w:rPr>
                <w:rFonts w:cs="Times New Roman"/>
                <w:color w:val="auto"/>
                <w:szCs w:val="21"/>
                <w:highlight w:val="none"/>
              </w:rPr>
              <w:t>500~2000</w:t>
            </w:r>
          </w:p>
        </w:tc>
        <w:tc>
          <w:tcPr>
            <w:tcW w:w="1984" w:type="dxa"/>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以发包人、监理公司核实为准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cs="Times New Roman"/>
                <w:color w:val="auto"/>
                <w:szCs w:val="21"/>
                <w:highlight w:val="none"/>
              </w:rPr>
              <w:t>69</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施工现场照明系统不符合规范要求的。</w:t>
            </w:r>
          </w:p>
        </w:tc>
        <w:tc>
          <w:tcPr>
            <w:tcW w:w="1726" w:type="dxa"/>
            <w:gridSpan w:val="2"/>
            <w:vAlign w:val="center"/>
          </w:tcPr>
          <w:p>
            <w:pPr>
              <w:rPr>
                <w:rFonts w:cs="Times New Roman"/>
                <w:color w:val="auto"/>
                <w:szCs w:val="21"/>
                <w:highlight w:val="none"/>
              </w:rPr>
            </w:pPr>
            <w:r>
              <w:rPr>
                <w:rFonts w:cs="Times New Roman"/>
                <w:color w:val="auto"/>
                <w:szCs w:val="21"/>
                <w:highlight w:val="none"/>
              </w:rPr>
              <w:t>500~2000</w:t>
            </w:r>
          </w:p>
        </w:tc>
        <w:tc>
          <w:tcPr>
            <w:tcW w:w="1984" w:type="dxa"/>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以发包人、监理公司核实为准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cs="Times New Roman"/>
                <w:color w:val="auto"/>
                <w:szCs w:val="21"/>
                <w:highlight w:val="none"/>
              </w:rPr>
              <w:t>70</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未建立临时用电安全管理档案，或档案不完善。</w:t>
            </w:r>
          </w:p>
        </w:tc>
        <w:tc>
          <w:tcPr>
            <w:tcW w:w="1726" w:type="dxa"/>
            <w:gridSpan w:val="2"/>
            <w:vAlign w:val="center"/>
          </w:tcPr>
          <w:p>
            <w:pPr>
              <w:rPr>
                <w:rFonts w:cs="Times New Roman"/>
                <w:color w:val="auto"/>
                <w:szCs w:val="21"/>
                <w:highlight w:val="none"/>
              </w:rPr>
            </w:pPr>
            <w:r>
              <w:rPr>
                <w:rFonts w:cs="Times New Roman"/>
                <w:color w:val="auto"/>
                <w:szCs w:val="21"/>
                <w:highlight w:val="none"/>
              </w:rPr>
              <w:t>1000</w:t>
            </w:r>
          </w:p>
        </w:tc>
        <w:tc>
          <w:tcPr>
            <w:tcW w:w="1984" w:type="dxa"/>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以发包人、监理公司核实为准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cs="Times New Roman"/>
                <w:color w:val="auto"/>
                <w:szCs w:val="21"/>
                <w:highlight w:val="none"/>
              </w:rPr>
              <w:t>71</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其他违规用电行为的。</w:t>
            </w:r>
          </w:p>
        </w:tc>
        <w:tc>
          <w:tcPr>
            <w:tcW w:w="1726" w:type="dxa"/>
            <w:gridSpan w:val="2"/>
            <w:vAlign w:val="center"/>
          </w:tcPr>
          <w:p>
            <w:pPr>
              <w:rPr>
                <w:rFonts w:cs="Times New Roman"/>
                <w:color w:val="auto"/>
                <w:szCs w:val="21"/>
                <w:highlight w:val="none"/>
              </w:rPr>
            </w:pPr>
            <w:r>
              <w:rPr>
                <w:rFonts w:cs="Times New Roman"/>
                <w:color w:val="auto"/>
                <w:szCs w:val="21"/>
                <w:highlight w:val="none"/>
              </w:rPr>
              <w:t>500~3000</w:t>
            </w:r>
          </w:p>
        </w:tc>
        <w:tc>
          <w:tcPr>
            <w:tcW w:w="1984" w:type="dxa"/>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以发包人、监理公司核实为准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9214" w:type="dxa"/>
            <w:gridSpan w:val="5"/>
            <w:vAlign w:val="center"/>
          </w:tcPr>
          <w:p>
            <w:pPr>
              <w:rPr>
                <w:rFonts w:cs="Times New Roman"/>
                <w:color w:val="auto"/>
                <w:szCs w:val="21"/>
                <w:highlight w:val="none"/>
              </w:rPr>
            </w:pPr>
            <w:r>
              <w:rPr>
                <w:rFonts w:cs="Times New Roman"/>
                <w:color w:val="auto"/>
                <w:szCs w:val="21"/>
                <w:highlight w:val="none"/>
              </w:rPr>
              <w:t>安全防护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cs="Times New Roman"/>
                <w:color w:val="auto"/>
                <w:szCs w:val="21"/>
                <w:highlight w:val="none"/>
              </w:rPr>
              <w:t>72</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临边、洞口无防护或不按规定标准防护，达不到严密、牢固安全要求的。 </w:t>
            </w:r>
          </w:p>
        </w:tc>
        <w:tc>
          <w:tcPr>
            <w:tcW w:w="1726" w:type="dxa"/>
            <w:gridSpan w:val="2"/>
            <w:vAlign w:val="center"/>
          </w:tcPr>
          <w:p>
            <w:pPr>
              <w:rPr>
                <w:rFonts w:cs="Times New Roman"/>
                <w:color w:val="auto"/>
                <w:szCs w:val="21"/>
                <w:highlight w:val="none"/>
              </w:rPr>
            </w:pPr>
            <w:r>
              <w:rPr>
                <w:rFonts w:cs="Times New Roman"/>
                <w:color w:val="auto"/>
                <w:szCs w:val="21"/>
                <w:highlight w:val="none"/>
              </w:rPr>
              <w:t xml:space="preserve">2000~ 5000 </w:t>
            </w:r>
          </w:p>
        </w:tc>
        <w:tc>
          <w:tcPr>
            <w:tcW w:w="1984" w:type="dxa"/>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以发包人、监理公司现场检查记录为依据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cs="Times New Roman"/>
                <w:color w:val="auto"/>
                <w:szCs w:val="21"/>
                <w:highlight w:val="none"/>
              </w:rPr>
              <w:t>73</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未按规定设置安全通道、安全防护棚，或设置不符要求的。</w:t>
            </w:r>
          </w:p>
        </w:tc>
        <w:tc>
          <w:tcPr>
            <w:tcW w:w="1726" w:type="dxa"/>
            <w:gridSpan w:val="2"/>
            <w:vAlign w:val="center"/>
          </w:tcPr>
          <w:p>
            <w:pPr>
              <w:rPr>
                <w:rFonts w:cs="Times New Roman"/>
                <w:color w:val="auto"/>
                <w:szCs w:val="21"/>
                <w:highlight w:val="none"/>
              </w:rPr>
            </w:pPr>
            <w:r>
              <w:rPr>
                <w:rFonts w:cs="Times New Roman"/>
                <w:color w:val="auto"/>
                <w:szCs w:val="21"/>
                <w:highlight w:val="none"/>
              </w:rPr>
              <w:t>2000~ 5000</w:t>
            </w:r>
          </w:p>
        </w:tc>
        <w:tc>
          <w:tcPr>
            <w:tcW w:w="1984" w:type="dxa"/>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以发包人、监理公司现场检查记录为依据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cs="Times New Roman"/>
                <w:color w:val="auto"/>
                <w:szCs w:val="21"/>
                <w:highlight w:val="none"/>
              </w:rPr>
              <w:t>74</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安全防护设施未按要求组织验收或未悬挂相应警示标志。</w:t>
            </w:r>
          </w:p>
        </w:tc>
        <w:tc>
          <w:tcPr>
            <w:tcW w:w="1726" w:type="dxa"/>
            <w:gridSpan w:val="2"/>
            <w:vAlign w:val="center"/>
          </w:tcPr>
          <w:p>
            <w:pPr>
              <w:rPr>
                <w:rFonts w:cs="Times New Roman"/>
                <w:color w:val="auto"/>
                <w:szCs w:val="21"/>
                <w:highlight w:val="none"/>
              </w:rPr>
            </w:pPr>
            <w:r>
              <w:rPr>
                <w:rFonts w:cs="Times New Roman"/>
                <w:color w:val="auto"/>
                <w:szCs w:val="21"/>
                <w:highlight w:val="none"/>
              </w:rPr>
              <w:t>1000~3000</w:t>
            </w:r>
          </w:p>
        </w:tc>
        <w:tc>
          <w:tcPr>
            <w:tcW w:w="1984" w:type="dxa"/>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以发包人、监理公司现场检查记录为依据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cs="Times New Roman"/>
                <w:color w:val="auto"/>
                <w:szCs w:val="21"/>
                <w:highlight w:val="none"/>
              </w:rPr>
              <w:t>75</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未经审批擅自拆除安全防护，或拆除后未及时恢复。</w:t>
            </w:r>
          </w:p>
        </w:tc>
        <w:tc>
          <w:tcPr>
            <w:tcW w:w="1726" w:type="dxa"/>
            <w:gridSpan w:val="2"/>
            <w:vAlign w:val="center"/>
          </w:tcPr>
          <w:p>
            <w:pPr>
              <w:rPr>
                <w:rFonts w:cs="Times New Roman"/>
                <w:color w:val="auto"/>
                <w:szCs w:val="21"/>
                <w:highlight w:val="none"/>
              </w:rPr>
            </w:pPr>
            <w:r>
              <w:rPr>
                <w:rFonts w:cs="Times New Roman"/>
                <w:color w:val="auto"/>
                <w:szCs w:val="21"/>
                <w:highlight w:val="none"/>
              </w:rPr>
              <w:t>2000 ~5000</w:t>
            </w:r>
          </w:p>
        </w:tc>
        <w:tc>
          <w:tcPr>
            <w:tcW w:w="1984" w:type="dxa"/>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以发包人、监理公司现场检查记录为依据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jc w:val="center"/>
              <w:rPr>
                <w:rFonts w:cs="Times New Roman"/>
                <w:color w:val="auto"/>
                <w:szCs w:val="21"/>
                <w:highlight w:val="none"/>
              </w:rPr>
            </w:pPr>
            <w:r>
              <w:rPr>
                <w:rFonts w:cs="Times New Roman"/>
                <w:color w:val="auto"/>
                <w:szCs w:val="21"/>
                <w:highlight w:val="none"/>
              </w:rPr>
              <w:t>76</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钢结构施工时，未按要求搭设操作平台、设置安全绳和安全兜网等相应安全防护措施的。</w:t>
            </w:r>
          </w:p>
        </w:tc>
        <w:tc>
          <w:tcPr>
            <w:tcW w:w="1726" w:type="dxa"/>
            <w:gridSpan w:val="2"/>
            <w:vAlign w:val="center"/>
          </w:tcPr>
          <w:p>
            <w:pPr>
              <w:rPr>
                <w:rFonts w:cs="Times New Roman"/>
                <w:color w:val="auto"/>
                <w:szCs w:val="21"/>
                <w:highlight w:val="none"/>
              </w:rPr>
            </w:pPr>
            <w:r>
              <w:rPr>
                <w:rFonts w:cs="Times New Roman"/>
                <w:color w:val="auto"/>
                <w:szCs w:val="21"/>
                <w:highlight w:val="none"/>
              </w:rPr>
              <w:t>2000 ~5000</w:t>
            </w:r>
          </w:p>
        </w:tc>
        <w:tc>
          <w:tcPr>
            <w:tcW w:w="1984" w:type="dxa"/>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以发包人、监理公司现场检查记录为依据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9214" w:type="dxa"/>
            <w:gridSpan w:val="5"/>
            <w:vAlign w:val="center"/>
          </w:tcPr>
          <w:p>
            <w:pPr>
              <w:rPr>
                <w:rFonts w:cs="Times New Roman"/>
                <w:color w:val="auto"/>
                <w:szCs w:val="21"/>
                <w:highlight w:val="none"/>
              </w:rPr>
            </w:pPr>
            <w:r>
              <w:rPr>
                <w:rFonts w:cs="Times New Roman"/>
                <w:color w:val="auto"/>
                <w:szCs w:val="21"/>
                <w:highlight w:val="none"/>
              </w:rPr>
              <w:t>脚手架工程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jc w:val="center"/>
              <w:rPr>
                <w:rFonts w:cs="Times New Roman"/>
                <w:color w:val="auto"/>
                <w:szCs w:val="21"/>
                <w:highlight w:val="none"/>
              </w:rPr>
            </w:pPr>
            <w:r>
              <w:rPr>
                <w:rFonts w:cs="Times New Roman"/>
                <w:color w:val="auto"/>
                <w:szCs w:val="21"/>
                <w:highlight w:val="none"/>
              </w:rPr>
              <w:t>77</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未按规范编制施工方案和设计计算书，或未按流程报审报批，或未按方案组织实施的。</w:t>
            </w:r>
          </w:p>
        </w:tc>
        <w:tc>
          <w:tcPr>
            <w:tcW w:w="1726" w:type="dxa"/>
            <w:gridSpan w:val="2"/>
            <w:vAlign w:val="center"/>
          </w:tcPr>
          <w:p>
            <w:pPr>
              <w:rPr>
                <w:rFonts w:cs="Times New Roman"/>
                <w:color w:val="auto"/>
                <w:szCs w:val="21"/>
                <w:highlight w:val="none"/>
              </w:rPr>
            </w:pPr>
            <w:r>
              <w:rPr>
                <w:rFonts w:cs="Times New Roman"/>
                <w:color w:val="auto"/>
                <w:szCs w:val="21"/>
                <w:highlight w:val="none"/>
              </w:rPr>
              <w:t>10000~30000</w:t>
            </w:r>
          </w:p>
        </w:tc>
        <w:tc>
          <w:tcPr>
            <w:tcW w:w="1984" w:type="dxa"/>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以发包人、监理公司核实为准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cs="Times New Roman"/>
                <w:color w:val="auto"/>
                <w:szCs w:val="21"/>
                <w:highlight w:val="none"/>
              </w:rPr>
              <w:t>78</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超过一定规模的危险性较大的分部分项工程方案未按规定组织专家论证。</w:t>
            </w:r>
          </w:p>
        </w:tc>
        <w:tc>
          <w:tcPr>
            <w:tcW w:w="1726" w:type="dxa"/>
            <w:gridSpan w:val="2"/>
            <w:vAlign w:val="center"/>
          </w:tcPr>
          <w:p>
            <w:pPr>
              <w:rPr>
                <w:rFonts w:cs="Times New Roman"/>
                <w:color w:val="auto"/>
                <w:szCs w:val="21"/>
                <w:highlight w:val="none"/>
              </w:rPr>
            </w:pPr>
            <w:r>
              <w:rPr>
                <w:rFonts w:cs="Times New Roman"/>
                <w:color w:val="auto"/>
                <w:szCs w:val="21"/>
                <w:highlight w:val="none"/>
              </w:rPr>
              <w:t>20000~50000</w:t>
            </w:r>
          </w:p>
        </w:tc>
        <w:tc>
          <w:tcPr>
            <w:tcW w:w="1984" w:type="dxa"/>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以发包人、监理公司核实为准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jc w:val="center"/>
              <w:rPr>
                <w:rFonts w:cs="Times New Roman"/>
                <w:color w:val="auto"/>
                <w:szCs w:val="21"/>
                <w:highlight w:val="none"/>
              </w:rPr>
            </w:pPr>
            <w:r>
              <w:rPr>
                <w:rFonts w:cs="Times New Roman"/>
                <w:color w:val="auto"/>
                <w:szCs w:val="21"/>
                <w:highlight w:val="none"/>
              </w:rPr>
              <w:t>79</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作业人员未按规定持证上岗。</w:t>
            </w:r>
          </w:p>
        </w:tc>
        <w:tc>
          <w:tcPr>
            <w:tcW w:w="1726" w:type="dxa"/>
            <w:gridSpan w:val="2"/>
            <w:vAlign w:val="center"/>
          </w:tcPr>
          <w:p>
            <w:pPr>
              <w:rPr>
                <w:rFonts w:cs="Times New Roman"/>
                <w:color w:val="auto"/>
                <w:szCs w:val="21"/>
                <w:highlight w:val="none"/>
              </w:rPr>
            </w:pPr>
            <w:r>
              <w:rPr>
                <w:rFonts w:cs="Times New Roman"/>
                <w:color w:val="auto"/>
                <w:szCs w:val="21"/>
                <w:highlight w:val="none"/>
              </w:rPr>
              <w:t>500/人·次</w:t>
            </w:r>
          </w:p>
        </w:tc>
        <w:tc>
          <w:tcPr>
            <w:tcW w:w="1984" w:type="dxa"/>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以发包人、监理公司核实为准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cs="Times New Roman"/>
                <w:color w:val="auto"/>
                <w:szCs w:val="21"/>
                <w:highlight w:val="none"/>
              </w:rPr>
              <w:t>80</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密目安全网、钢管、扣件、脚手板等材料安全性能不满足国家、行业标准。</w:t>
            </w:r>
          </w:p>
        </w:tc>
        <w:tc>
          <w:tcPr>
            <w:tcW w:w="1726" w:type="dxa"/>
            <w:gridSpan w:val="2"/>
            <w:vAlign w:val="center"/>
          </w:tcPr>
          <w:p>
            <w:pPr>
              <w:rPr>
                <w:rFonts w:cs="Times New Roman"/>
                <w:color w:val="auto"/>
                <w:szCs w:val="21"/>
                <w:highlight w:val="none"/>
              </w:rPr>
            </w:pPr>
            <w:r>
              <w:rPr>
                <w:rFonts w:cs="Times New Roman"/>
                <w:color w:val="auto"/>
                <w:szCs w:val="21"/>
                <w:highlight w:val="none"/>
              </w:rPr>
              <w:t>1000~3000</w:t>
            </w:r>
          </w:p>
        </w:tc>
        <w:tc>
          <w:tcPr>
            <w:tcW w:w="1984" w:type="dxa"/>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以发包人、监理公司核实为准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cs="Times New Roman"/>
                <w:color w:val="auto"/>
                <w:szCs w:val="21"/>
                <w:highlight w:val="none"/>
              </w:rPr>
              <w:t>81</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作业前未组织安全技术交底，并履行签字手续的。</w:t>
            </w:r>
          </w:p>
        </w:tc>
        <w:tc>
          <w:tcPr>
            <w:tcW w:w="1726" w:type="dxa"/>
            <w:gridSpan w:val="2"/>
            <w:vAlign w:val="center"/>
          </w:tcPr>
          <w:p>
            <w:pPr>
              <w:rPr>
                <w:rFonts w:cs="Times New Roman"/>
                <w:color w:val="auto"/>
                <w:szCs w:val="21"/>
                <w:highlight w:val="none"/>
              </w:rPr>
            </w:pPr>
            <w:r>
              <w:rPr>
                <w:rFonts w:cs="Times New Roman"/>
                <w:color w:val="auto"/>
                <w:szCs w:val="21"/>
                <w:highlight w:val="none"/>
              </w:rPr>
              <w:t>1000~3000</w:t>
            </w:r>
          </w:p>
        </w:tc>
        <w:tc>
          <w:tcPr>
            <w:tcW w:w="1984" w:type="dxa"/>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以发包人、监理公司核实为准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cs="Times New Roman"/>
                <w:color w:val="auto"/>
                <w:szCs w:val="21"/>
                <w:highlight w:val="none"/>
              </w:rPr>
              <w:t>82</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未按规定设置安全警戒区，或未按规定组织验收及挂牌管理的。</w:t>
            </w:r>
          </w:p>
        </w:tc>
        <w:tc>
          <w:tcPr>
            <w:tcW w:w="1726" w:type="dxa"/>
            <w:gridSpan w:val="2"/>
            <w:vAlign w:val="center"/>
          </w:tcPr>
          <w:p>
            <w:pPr>
              <w:rPr>
                <w:rFonts w:cs="Times New Roman"/>
                <w:color w:val="auto"/>
                <w:szCs w:val="21"/>
                <w:highlight w:val="none"/>
              </w:rPr>
            </w:pPr>
            <w:r>
              <w:rPr>
                <w:rFonts w:cs="Times New Roman"/>
                <w:color w:val="auto"/>
                <w:szCs w:val="21"/>
                <w:highlight w:val="none"/>
              </w:rPr>
              <w:t xml:space="preserve">1000 </w:t>
            </w:r>
          </w:p>
        </w:tc>
        <w:tc>
          <w:tcPr>
            <w:tcW w:w="1984" w:type="dxa"/>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以发包人、监理公司现场检查记录为依据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cs="Times New Roman"/>
                <w:color w:val="auto"/>
                <w:szCs w:val="21"/>
                <w:highlight w:val="none"/>
              </w:rPr>
              <w:t>83</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结构构造或安全设施存在缺陷，不满足相关安全技术规范要求的。</w:t>
            </w:r>
          </w:p>
        </w:tc>
        <w:tc>
          <w:tcPr>
            <w:tcW w:w="1726" w:type="dxa"/>
            <w:gridSpan w:val="2"/>
            <w:vAlign w:val="center"/>
          </w:tcPr>
          <w:p>
            <w:pPr>
              <w:rPr>
                <w:rFonts w:cs="Times New Roman"/>
                <w:color w:val="auto"/>
                <w:szCs w:val="21"/>
                <w:highlight w:val="none"/>
              </w:rPr>
            </w:pPr>
            <w:r>
              <w:rPr>
                <w:rFonts w:cs="Times New Roman"/>
                <w:color w:val="auto"/>
                <w:szCs w:val="21"/>
                <w:highlight w:val="none"/>
              </w:rPr>
              <w:t>1000~ 5000</w:t>
            </w:r>
          </w:p>
        </w:tc>
        <w:tc>
          <w:tcPr>
            <w:tcW w:w="1984" w:type="dxa"/>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以发包人、监理公司现场检查记录为依据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9214" w:type="dxa"/>
            <w:gridSpan w:val="5"/>
            <w:vAlign w:val="center"/>
          </w:tcPr>
          <w:p>
            <w:pPr>
              <w:rPr>
                <w:rFonts w:cs="Times New Roman"/>
                <w:color w:val="auto"/>
                <w:szCs w:val="21"/>
                <w:highlight w:val="none"/>
              </w:rPr>
            </w:pPr>
            <w:r>
              <w:rPr>
                <w:rFonts w:cs="Times New Roman"/>
                <w:color w:val="auto"/>
                <w:szCs w:val="21"/>
                <w:highlight w:val="none"/>
              </w:rPr>
              <w:t>高处及交叉施工作业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cs="Times New Roman"/>
                <w:color w:val="auto"/>
                <w:szCs w:val="21"/>
                <w:highlight w:val="none"/>
              </w:rPr>
              <w:t>84</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有职业禁忌症者进行高空作业。</w:t>
            </w:r>
          </w:p>
        </w:tc>
        <w:tc>
          <w:tcPr>
            <w:tcW w:w="1726" w:type="dxa"/>
            <w:gridSpan w:val="2"/>
            <w:vAlign w:val="center"/>
          </w:tcPr>
          <w:p>
            <w:pPr>
              <w:rPr>
                <w:rFonts w:cs="Times New Roman"/>
                <w:color w:val="auto"/>
                <w:szCs w:val="21"/>
                <w:highlight w:val="none"/>
              </w:rPr>
            </w:pPr>
            <w:r>
              <w:rPr>
                <w:rFonts w:cs="Times New Roman"/>
                <w:color w:val="auto"/>
                <w:szCs w:val="21"/>
                <w:highlight w:val="none"/>
              </w:rPr>
              <w:t>1000/人·次</w:t>
            </w:r>
          </w:p>
        </w:tc>
        <w:tc>
          <w:tcPr>
            <w:tcW w:w="1984" w:type="dxa"/>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以发包人、监理公司核实为准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744" w:hRule="atLeast"/>
          <w:jc w:val="center"/>
        </w:trPr>
        <w:tc>
          <w:tcPr>
            <w:tcW w:w="1613" w:type="dxa"/>
            <w:vAlign w:val="center"/>
          </w:tcPr>
          <w:p>
            <w:pPr>
              <w:spacing w:line="360" w:lineRule="auto"/>
              <w:jc w:val="center"/>
              <w:rPr>
                <w:rFonts w:cs="Times New Roman"/>
                <w:color w:val="auto"/>
                <w:szCs w:val="21"/>
                <w:highlight w:val="none"/>
              </w:rPr>
            </w:pPr>
            <w:r>
              <w:rPr>
                <w:rFonts w:cs="Times New Roman"/>
                <w:color w:val="auto"/>
                <w:szCs w:val="21"/>
                <w:highlight w:val="none"/>
              </w:rPr>
              <w:t>85</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高空作业人员未按要求正确使用安全带或防坠器等防护设施。</w:t>
            </w:r>
          </w:p>
        </w:tc>
        <w:tc>
          <w:tcPr>
            <w:tcW w:w="1726" w:type="dxa"/>
            <w:gridSpan w:val="2"/>
            <w:vAlign w:val="center"/>
          </w:tcPr>
          <w:p>
            <w:pPr>
              <w:rPr>
                <w:rFonts w:cs="Times New Roman"/>
                <w:color w:val="auto"/>
                <w:szCs w:val="21"/>
                <w:highlight w:val="none"/>
              </w:rPr>
            </w:pPr>
            <w:r>
              <w:rPr>
                <w:rFonts w:cs="Times New Roman"/>
                <w:color w:val="auto"/>
                <w:szCs w:val="21"/>
                <w:highlight w:val="none"/>
              </w:rPr>
              <w:t>1000/人·次</w:t>
            </w:r>
          </w:p>
        </w:tc>
        <w:tc>
          <w:tcPr>
            <w:tcW w:w="1984" w:type="dxa"/>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以发包人、监理公司现场检查记录为依据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744" w:hRule="atLeast"/>
          <w:jc w:val="center"/>
        </w:trPr>
        <w:tc>
          <w:tcPr>
            <w:tcW w:w="1613" w:type="dxa"/>
            <w:vAlign w:val="center"/>
          </w:tcPr>
          <w:p>
            <w:pPr>
              <w:spacing w:line="360" w:lineRule="auto"/>
              <w:jc w:val="center"/>
              <w:rPr>
                <w:rFonts w:cs="Times New Roman"/>
                <w:color w:val="auto"/>
                <w:szCs w:val="21"/>
                <w:highlight w:val="none"/>
              </w:rPr>
            </w:pPr>
            <w:r>
              <w:rPr>
                <w:rFonts w:cs="Times New Roman"/>
                <w:color w:val="auto"/>
                <w:szCs w:val="21"/>
                <w:highlight w:val="none"/>
              </w:rPr>
              <w:t>86</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在恶劣天气条件下进行高空作业。</w:t>
            </w:r>
          </w:p>
        </w:tc>
        <w:tc>
          <w:tcPr>
            <w:tcW w:w="1726" w:type="dxa"/>
            <w:gridSpan w:val="2"/>
            <w:vAlign w:val="center"/>
          </w:tcPr>
          <w:p>
            <w:pPr>
              <w:rPr>
                <w:rFonts w:cs="Times New Roman"/>
                <w:color w:val="auto"/>
                <w:szCs w:val="21"/>
                <w:highlight w:val="none"/>
              </w:rPr>
            </w:pPr>
            <w:r>
              <w:rPr>
                <w:rFonts w:cs="Times New Roman"/>
                <w:color w:val="auto"/>
                <w:szCs w:val="21"/>
                <w:highlight w:val="none"/>
              </w:rPr>
              <w:t>1000~3000</w:t>
            </w:r>
          </w:p>
        </w:tc>
        <w:tc>
          <w:tcPr>
            <w:tcW w:w="1984" w:type="dxa"/>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以发包人、监理公司现场检查记录为依据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744" w:hRule="atLeast"/>
          <w:jc w:val="center"/>
        </w:trPr>
        <w:tc>
          <w:tcPr>
            <w:tcW w:w="1613" w:type="dxa"/>
            <w:vAlign w:val="center"/>
          </w:tcPr>
          <w:p>
            <w:pPr>
              <w:spacing w:line="360" w:lineRule="auto"/>
              <w:jc w:val="center"/>
              <w:rPr>
                <w:rFonts w:cs="Times New Roman"/>
                <w:color w:val="auto"/>
                <w:szCs w:val="21"/>
                <w:highlight w:val="none"/>
              </w:rPr>
            </w:pPr>
            <w:r>
              <w:rPr>
                <w:rFonts w:cs="Times New Roman"/>
                <w:color w:val="auto"/>
                <w:szCs w:val="21"/>
                <w:highlight w:val="none"/>
              </w:rPr>
              <w:t>87</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高空作业随意抛掷物料、工具等物件，或零星物料未使用工具箱、工具袋存放。</w:t>
            </w:r>
          </w:p>
        </w:tc>
        <w:tc>
          <w:tcPr>
            <w:tcW w:w="1726" w:type="dxa"/>
            <w:gridSpan w:val="2"/>
            <w:vAlign w:val="center"/>
          </w:tcPr>
          <w:p>
            <w:pPr>
              <w:rPr>
                <w:rFonts w:cs="Times New Roman"/>
                <w:color w:val="auto"/>
                <w:szCs w:val="21"/>
                <w:highlight w:val="none"/>
              </w:rPr>
            </w:pPr>
            <w:r>
              <w:rPr>
                <w:rFonts w:cs="Times New Roman"/>
                <w:color w:val="auto"/>
                <w:szCs w:val="21"/>
                <w:highlight w:val="none"/>
              </w:rPr>
              <w:t>3000~5000</w:t>
            </w:r>
          </w:p>
        </w:tc>
        <w:tc>
          <w:tcPr>
            <w:tcW w:w="1984" w:type="dxa"/>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以发包人、监理公司现场检查记录为依据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744" w:hRule="atLeast"/>
          <w:jc w:val="center"/>
        </w:trPr>
        <w:tc>
          <w:tcPr>
            <w:tcW w:w="1613" w:type="dxa"/>
            <w:vAlign w:val="center"/>
          </w:tcPr>
          <w:p>
            <w:pPr>
              <w:spacing w:line="360" w:lineRule="auto"/>
              <w:jc w:val="center"/>
              <w:rPr>
                <w:rFonts w:cs="Times New Roman"/>
                <w:color w:val="auto"/>
                <w:szCs w:val="21"/>
                <w:highlight w:val="none"/>
              </w:rPr>
            </w:pPr>
            <w:r>
              <w:rPr>
                <w:rFonts w:cs="Times New Roman"/>
                <w:color w:val="auto"/>
                <w:szCs w:val="21"/>
                <w:highlight w:val="none"/>
              </w:rPr>
              <w:t>88</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各项安全防护设施不符合规范要求，或不满足安全防护效果。</w:t>
            </w:r>
          </w:p>
        </w:tc>
        <w:tc>
          <w:tcPr>
            <w:tcW w:w="1726" w:type="dxa"/>
            <w:gridSpan w:val="2"/>
            <w:vAlign w:val="center"/>
          </w:tcPr>
          <w:p>
            <w:pPr>
              <w:rPr>
                <w:rFonts w:cs="Times New Roman"/>
                <w:color w:val="auto"/>
                <w:szCs w:val="21"/>
                <w:highlight w:val="none"/>
              </w:rPr>
            </w:pPr>
            <w:r>
              <w:rPr>
                <w:rFonts w:cs="Times New Roman"/>
                <w:color w:val="auto"/>
                <w:szCs w:val="21"/>
                <w:highlight w:val="none"/>
              </w:rPr>
              <w:t>1000/处</w:t>
            </w:r>
          </w:p>
        </w:tc>
        <w:tc>
          <w:tcPr>
            <w:tcW w:w="1984" w:type="dxa"/>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以发包人、监理公司现场检查记录为依据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744" w:hRule="atLeast"/>
          <w:jc w:val="center"/>
        </w:trPr>
        <w:tc>
          <w:tcPr>
            <w:tcW w:w="1613" w:type="dxa"/>
            <w:vAlign w:val="center"/>
          </w:tcPr>
          <w:p>
            <w:pPr>
              <w:spacing w:line="360" w:lineRule="auto"/>
              <w:jc w:val="center"/>
              <w:rPr>
                <w:rFonts w:cs="Times New Roman"/>
                <w:color w:val="auto"/>
                <w:szCs w:val="21"/>
                <w:highlight w:val="none"/>
              </w:rPr>
            </w:pPr>
            <w:r>
              <w:rPr>
                <w:rFonts w:cs="Times New Roman"/>
                <w:color w:val="auto"/>
                <w:szCs w:val="21"/>
                <w:highlight w:val="none"/>
              </w:rPr>
              <w:t>89</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交叉作业未制定专人协调负责的。</w:t>
            </w:r>
          </w:p>
        </w:tc>
        <w:tc>
          <w:tcPr>
            <w:tcW w:w="1726" w:type="dxa"/>
            <w:gridSpan w:val="2"/>
            <w:vAlign w:val="center"/>
          </w:tcPr>
          <w:p>
            <w:pPr>
              <w:rPr>
                <w:rFonts w:cs="Times New Roman"/>
                <w:color w:val="auto"/>
                <w:szCs w:val="21"/>
                <w:highlight w:val="none"/>
              </w:rPr>
            </w:pPr>
            <w:r>
              <w:rPr>
                <w:rFonts w:cs="Times New Roman"/>
                <w:color w:val="auto"/>
                <w:szCs w:val="21"/>
                <w:highlight w:val="none"/>
              </w:rPr>
              <w:t>1000~2000</w:t>
            </w:r>
          </w:p>
        </w:tc>
        <w:tc>
          <w:tcPr>
            <w:tcW w:w="1984" w:type="dxa"/>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以发包人、监理公司核实为准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744" w:hRule="atLeast"/>
          <w:jc w:val="center"/>
        </w:trPr>
        <w:tc>
          <w:tcPr>
            <w:tcW w:w="1613" w:type="dxa"/>
            <w:vAlign w:val="center"/>
          </w:tcPr>
          <w:p>
            <w:pPr>
              <w:spacing w:line="360" w:lineRule="auto"/>
              <w:jc w:val="center"/>
              <w:rPr>
                <w:rFonts w:cs="Times New Roman"/>
                <w:color w:val="auto"/>
                <w:szCs w:val="21"/>
                <w:highlight w:val="none"/>
              </w:rPr>
            </w:pPr>
            <w:r>
              <w:rPr>
                <w:rFonts w:cs="Times New Roman"/>
                <w:color w:val="auto"/>
                <w:szCs w:val="21"/>
                <w:highlight w:val="none"/>
              </w:rPr>
              <w:t>90</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安全不相容的交叉作业未设置隔层，或未采取安全防护措施的。</w:t>
            </w:r>
          </w:p>
        </w:tc>
        <w:tc>
          <w:tcPr>
            <w:tcW w:w="1726" w:type="dxa"/>
            <w:gridSpan w:val="2"/>
            <w:vAlign w:val="center"/>
          </w:tcPr>
          <w:p>
            <w:pPr>
              <w:rPr>
                <w:rFonts w:cs="Times New Roman"/>
                <w:color w:val="auto"/>
                <w:szCs w:val="21"/>
                <w:highlight w:val="none"/>
              </w:rPr>
            </w:pPr>
            <w:r>
              <w:rPr>
                <w:rFonts w:cs="Times New Roman"/>
                <w:color w:val="auto"/>
                <w:szCs w:val="21"/>
                <w:highlight w:val="none"/>
              </w:rPr>
              <w:t>2000~5000</w:t>
            </w:r>
          </w:p>
        </w:tc>
        <w:tc>
          <w:tcPr>
            <w:tcW w:w="1984" w:type="dxa"/>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以发包人、监理公司核实为准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36" w:hRule="atLeast"/>
          <w:jc w:val="center"/>
        </w:trPr>
        <w:tc>
          <w:tcPr>
            <w:tcW w:w="9214" w:type="dxa"/>
            <w:gridSpan w:val="5"/>
            <w:vAlign w:val="center"/>
          </w:tcPr>
          <w:p>
            <w:pPr>
              <w:rPr>
                <w:rFonts w:cs="Times New Roman"/>
                <w:color w:val="auto"/>
                <w:szCs w:val="21"/>
                <w:highlight w:val="none"/>
              </w:rPr>
            </w:pPr>
            <w:r>
              <w:rPr>
                <w:rFonts w:cs="Times New Roman"/>
                <w:color w:val="auto"/>
                <w:szCs w:val="21"/>
                <w:highlight w:val="none"/>
              </w:rPr>
              <w:t>吊装作业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744" w:hRule="atLeast"/>
          <w:jc w:val="center"/>
        </w:trPr>
        <w:tc>
          <w:tcPr>
            <w:tcW w:w="1613" w:type="dxa"/>
            <w:vAlign w:val="center"/>
          </w:tcPr>
          <w:p>
            <w:pPr>
              <w:spacing w:line="360" w:lineRule="auto"/>
              <w:jc w:val="center"/>
              <w:rPr>
                <w:rFonts w:cs="Times New Roman"/>
                <w:color w:val="auto"/>
                <w:szCs w:val="21"/>
                <w:highlight w:val="none"/>
              </w:rPr>
            </w:pPr>
            <w:r>
              <w:rPr>
                <w:rFonts w:cs="Times New Roman"/>
                <w:color w:val="auto"/>
                <w:szCs w:val="21"/>
                <w:highlight w:val="none"/>
              </w:rPr>
              <w:t>91</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起重吊装作业未编制施工方案，方案未按规定流程报审报批。</w:t>
            </w:r>
          </w:p>
        </w:tc>
        <w:tc>
          <w:tcPr>
            <w:tcW w:w="1726" w:type="dxa"/>
            <w:gridSpan w:val="2"/>
            <w:vAlign w:val="center"/>
          </w:tcPr>
          <w:p>
            <w:pPr>
              <w:rPr>
                <w:rFonts w:cs="Times New Roman"/>
                <w:color w:val="auto"/>
                <w:szCs w:val="21"/>
                <w:highlight w:val="none"/>
              </w:rPr>
            </w:pPr>
            <w:r>
              <w:rPr>
                <w:rFonts w:cs="Times New Roman"/>
                <w:color w:val="auto"/>
                <w:szCs w:val="21"/>
                <w:highlight w:val="none"/>
              </w:rPr>
              <w:t>20000</w:t>
            </w:r>
          </w:p>
        </w:tc>
        <w:tc>
          <w:tcPr>
            <w:tcW w:w="1984" w:type="dxa"/>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以发包人、监理公司核实为准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cs="Times New Roman"/>
                <w:color w:val="auto"/>
                <w:szCs w:val="21"/>
                <w:highlight w:val="none"/>
              </w:rPr>
              <w:t>92</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起重机、索具未经验收，或安全装置缺失、失效。</w:t>
            </w:r>
          </w:p>
        </w:tc>
        <w:tc>
          <w:tcPr>
            <w:tcW w:w="1726" w:type="dxa"/>
            <w:gridSpan w:val="2"/>
            <w:vAlign w:val="center"/>
          </w:tcPr>
          <w:p>
            <w:pPr>
              <w:rPr>
                <w:rFonts w:cs="Times New Roman"/>
                <w:color w:val="auto"/>
                <w:szCs w:val="21"/>
                <w:highlight w:val="none"/>
              </w:rPr>
            </w:pPr>
            <w:r>
              <w:rPr>
                <w:rFonts w:cs="Times New Roman"/>
                <w:color w:val="auto"/>
                <w:szCs w:val="21"/>
                <w:highlight w:val="none"/>
              </w:rPr>
              <w:t>3000~10000</w:t>
            </w:r>
          </w:p>
        </w:tc>
        <w:tc>
          <w:tcPr>
            <w:tcW w:w="1984" w:type="dxa"/>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以发包人、监理公司核实为准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cs="Times New Roman"/>
                <w:color w:val="auto"/>
                <w:szCs w:val="21"/>
                <w:highlight w:val="none"/>
              </w:rPr>
              <w:t>93</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未配置持有效证件上岗的司机、司索信号工。</w:t>
            </w:r>
          </w:p>
        </w:tc>
        <w:tc>
          <w:tcPr>
            <w:tcW w:w="1726" w:type="dxa"/>
            <w:gridSpan w:val="2"/>
            <w:vAlign w:val="center"/>
          </w:tcPr>
          <w:p>
            <w:pPr>
              <w:rPr>
                <w:rFonts w:cs="Times New Roman"/>
                <w:color w:val="auto"/>
                <w:szCs w:val="21"/>
                <w:highlight w:val="none"/>
              </w:rPr>
            </w:pPr>
            <w:r>
              <w:rPr>
                <w:rFonts w:cs="Times New Roman"/>
                <w:color w:val="auto"/>
                <w:szCs w:val="21"/>
                <w:highlight w:val="none"/>
              </w:rPr>
              <w:t>1000/人·次</w:t>
            </w:r>
          </w:p>
        </w:tc>
        <w:tc>
          <w:tcPr>
            <w:tcW w:w="1984" w:type="dxa"/>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以发包人、监理公司现场检查记录为依据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cs="Times New Roman"/>
                <w:color w:val="auto"/>
                <w:szCs w:val="21"/>
                <w:highlight w:val="none"/>
              </w:rPr>
              <w:t>94</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吊点不符合规定，索具使用不合理，绳径倍数不符合规范。</w:t>
            </w:r>
          </w:p>
        </w:tc>
        <w:tc>
          <w:tcPr>
            <w:tcW w:w="1726" w:type="dxa"/>
            <w:gridSpan w:val="2"/>
            <w:vAlign w:val="center"/>
          </w:tcPr>
          <w:p>
            <w:pPr>
              <w:rPr>
                <w:rFonts w:cs="Times New Roman"/>
                <w:color w:val="auto"/>
                <w:szCs w:val="21"/>
                <w:highlight w:val="none"/>
              </w:rPr>
            </w:pPr>
            <w:r>
              <w:rPr>
                <w:rFonts w:cs="Times New Roman"/>
                <w:color w:val="auto"/>
                <w:szCs w:val="21"/>
                <w:highlight w:val="none"/>
              </w:rPr>
              <w:t>500~2000</w:t>
            </w:r>
          </w:p>
        </w:tc>
        <w:tc>
          <w:tcPr>
            <w:tcW w:w="1984" w:type="dxa"/>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以发包人、监理公司现场检查记录为依据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jc w:val="center"/>
              <w:rPr>
                <w:rFonts w:cs="Times New Roman"/>
                <w:color w:val="auto"/>
                <w:szCs w:val="21"/>
                <w:highlight w:val="none"/>
              </w:rPr>
            </w:pPr>
            <w:r>
              <w:rPr>
                <w:rFonts w:cs="Times New Roman"/>
                <w:color w:val="auto"/>
                <w:szCs w:val="21"/>
                <w:highlight w:val="none"/>
              </w:rPr>
              <w:t>95</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起重钢丝绳磨损、断丝超标，不符规范要求。</w:t>
            </w:r>
          </w:p>
        </w:tc>
        <w:tc>
          <w:tcPr>
            <w:tcW w:w="1726" w:type="dxa"/>
            <w:gridSpan w:val="2"/>
            <w:vAlign w:val="center"/>
          </w:tcPr>
          <w:p>
            <w:pPr>
              <w:rPr>
                <w:rFonts w:cs="Times New Roman"/>
                <w:color w:val="auto"/>
                <w:szCs w:val="21"/>
                <w:highlight w:val="none"/>
              </w:rPr>
            </w:pPr>
            <w:r>
              <w:rPr>
                <w:rFonts w:cs="Times New Roman"/>
                <w:color w:val="auto"/>
                <w:szCs w:val="21"/>
                <w:highlight w:val="none"/>
              </w:rPr>
              <w:t>500~2000</w:t>
            </w:r>
          </w:p>
        </w:tc>
        <w:tc>
          <w:tcPr>
            <w:tcW w:w="1984" w:type="dxa"/>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以发包人、监理公司现场检查记录为依据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jc w:val="center"/>
              <w:rPr>
                <w:rFonts w:cs="Times New Roman"/>
                <w:color w:val="auto"/>
                <w:szCs w:val="21"/>
                <w:highlight w:val="none"/>
              </w:rPr>
            </w:pPr>
            <w:r>
              <w:rPr>
                <w:rFonts w:cs="Times New Roman"/>
                <w:color w:val="auto"/>
                <w:szCs w:val="21"/>
                <w:highlight w:val="none"/>
              </w:rPr>
              <w:t>96</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起重扒杆无设计计算书或未经审批。</w:t>
            </w:r>
          </w:p>
        </w:tc>
        <w:tc>
          <w:tcPr>
            <w:tcW w:w="1726" w:type="dxa"/>
            <w:gridSpan w:val="2"/>
            <w:vAlign w:val="center"/>
          </w:tcPr>
          <w:p>
            <w:pPr>
              <w:rPr>
                <w:rFonts w:cs="Times New Roman"/>
                <w:color w:val="auto"/>
                <w:szCs w:val="21"/>
                <w:highlight w:val="none"/>
              </w:rPr>
            </w:pPr>
            <w:r>
              <w:rPr>
                <w:rFonts w:cs="Times New Roman"/>
                <w:color w:val="auto"/>
                <w:szCs w:val="21"/>
                <w:highlight w:val="none"/>
              </w:rPr>
              <w:t>5000~20000</w:t>
            </w:r>
          </w:p>
        </w:tc>
        <w:tc>
          <w:tcPr>
            <w:tcW w:w="1984" w:type="dxa"/>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以发包人、监理公司核实为准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cs="Times New Roman"/>
                <w:color w:val="auto"/>
                <w:szCs w:val="21"/>
                <w:highlight w:val="none"/>
              </w:rPr>
              <w:t>97</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扒杆组装不符合设计要求，使用前未进行试吊。</w:t>
            </w:r>
          </w:p>
        </w:tc>
        <w:tc>
          <w:tcPr>
            <w:tcW w:w="1726" w:type="dxa"/>
            <w:gridSpan w:val="2"/>
            <w:vAlign w:val="center"/>
          </w:tcPr>
          <w:p>
            <w:pPr>
              <w:rPr>
                <w:rFonts w:cs="Times New Roman"/>
                <w:color w:val="auto"/>
                <w:szCs w:val="21"/>
                <w:highlight w:val="none"/>
              </w:rPr>
            </w:pPr>
            <w:r>
              <w:rPr>
                <w:rFonts w:cs="Times New Roman"/>
                <w:color w:val="auto"/>
                <w:szCs w:val="21"/>
                <w:highlight w:val="none"/>
              </w:rPr>
              <w:t>3000~10000</w:t>
            </w:r>
          </w:p>
        </w:tc>
        <w:tc>
          <w:tcPr>
            <w:tcW w:w="1984" w:type="dxa"/>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以发包人、监理公司核实为准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spacing w:line="360" w:lineRule="auto"/>
              <w:jc w:val="center"/>
              <w:rPr>
                <w:rFonts w:cs="Times New Roman"/>
                <w:color w:val="auto"/>
                <w:szCs w:val="21"/>
                <w:highlight w:val="none"/>
              </w:rPr>
            </w:pPr>
            <w:r>
              <w:rPr>
                <w:rFonts w:cs="Times New Roman"/>
                <w:color w:val="auto"/>
                <w:szCs w:val="21"/>
                <w:highlight w:val="none"/>
              </w:rPr>
              <w:t>98</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吊装作业平台和作业环境不符合安全要求的。</w:t>
            </w:r>
          </w:p>
        </w:tc>
        <w:tc>
          <w:tcPr>
            <w:tcW w:w="1726" w:type="dxa"/>
            <w:gridSpan w:val="2"/>
            <w:vAlign w:val="center"/>
          </w:tcPr>
          <w:p>
            <w:pPr>
              <w:rPr>
                <w:rFonts w:cs="Times New Roman"/>
                <w:color w:val="auto"/>
                <w:szCs w:val="21"/>
                <w:highlight w:val="none"/>
              </w:rPr>
            </w:pPr>
            <w:r>
              <w:rPr>
                <w:rFonts w:cs="Times New Roman"/>
                <w:color w:val="auto"/>
                <w:szCs w:val="21"/>
                <w:highlight w:val="none"/>
              </w:rPr>
              <w:t>1000/处</w:t>
            </w:r>
          </w:p>
        </w:tc>
        <w:tc>
          <w:tcPr>
            <w:tcW w:w="1984" w:type="dxa"/>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以发包人、监理公司核实为准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jc w:val="center"/>
              <w:rPr>
                <w:rFonts w:cs="Times New Roman"/>
                <w:color w:val="auto"/>
                <w:szCs w:val="21"/>
                <w:highlight w:val="none"/>
              </w:rPr>
            </w:pPr>
            <w:r>
              <w:rPr>
                <w:rFonts w:cs="Times New Roman"/>
                <w:color w:val="auto"/>
                <w:szCs w:val="21"/>
                <w:highlight w:val="none"/>
              </w:rPr>
              <w:t>99</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未按操作规程规范施工，违反“十不吊”规定。</w:t>
            </w:r>
          </w:p>
        </w:tc>
        <w:tc>
          <w:tcPr>
            <w:tcW w:w="1726" w:type="dxa"/>
            <w:gridSpan w:val="2"/>
            <w:vAlign w:val="center"/>
          </w:tcPr>
          <w:p>
            <w:pPr>
              <w:rPr>
                <w:rFonts w:cs="Times New Roman"/>
                <w:color w:val="auto"/>
                <w:szCs w:val="21"/>
                <w:highlight w:val="none"/>
              </w:rPr>
            </w:pPr>
            <w:r>
              <w:rPr>
                <w:rFonts w:cs="Times New Roman"/>
                <w:color w:val="auto"/>
                <w:szCs w:val="21"/>
                <w:highlight w:val="none"/>
              </w:rPr>
              <w:t>1000/次</w:t>
            </w:r>
          </w:p>
        </w:tc>
        <w:tc>
          <w:tcPr>
            <w:tcW w:w="1984" w:type="dxa"/>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以发包人、监理公司核实为准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jc w:val="center"/>
        </w:trPr>
        <w:tc>
          <w:tcPr>
            <w:tcW w:w="1613" w:type="dxa"/>
            <w:vAlign w:val="center"/>
          </w:tcPr>
          <w:p>
            <w:pPr>
              <w:jc w:val="center"/>
              <w:rPr>
                <w:rFonts w:cs="Times New Roman"/>
                <w:color w:val="auto"/>
                <w:szCs w:val="21"/>
                <w:highlight w:val="none"/>
              </w:rPr>
            </w:pPr>
            <w:r>
              <w:rPr>
                <w:rFonts w:cs="Times New Roman"/>
                <w:color w:val="auto"/>
                <w:szCs w:val="21"/>
                <w:highlight w:val="none"/>
              </w:rPr>
              <w:t>100</w:t>
            </w:r>
          </w:p>
        </w:tc>
        <w:tc>
          <w:tcPr>
            <w:tcW w:w="3891" w:type="dxa"/>
            <w:vAlign w:val="center"/>
          </w:tcPr>
          <w:p>
            <w:pPr>
              <w:rPr>
                <w:rFonts w:cs="Times New Roman"/>
                <w:color w:val="auto"/>
                <w:szCs w:val="21"/>
                <w:highlight w:val="none"/>
                <w:lang w:eastAsia="zh-CN"/>
              </w:rPr>
            </w:pPr>
            <w:r>
              <w:rPr>
                <w:rFonts w:cs="Times New Roman"/>
                <w:color w:val="auto"/>
                <w:szCs w:val="21"/>
                <w:highlight w:val="none"/>
                <w:lang w:eastAsia="zh-CN"/>
              </w:rPr>
              <w:t>起重吊装作业未设专人警戒，无警戒标志。</w:t>
            </w:r>
          </w:p>
        </w:tc>
        <w:tc>
          <w:tcPr>
            <w:tcW w:w="1726" w:type="dxa"/>
            <w:gridSpan w:val="2"/>
            <w:vAlign w:val="center"/>
          </w:tcPr>
          <w:p>
            <w:pPr>
              <w:rPr>
                <w:rFonts w:cs="Times New Roman"/>
                <w:color w:val="auto"/>
                <w:szCs w:val="21"/>
                <w:highlight w:val="none"/>
              </w:rPr>
            </w:pPr>
            <w:r>
              <w:rPr>
                <w:rFonts w:cs="Times New Roman"/>
                <w:color w:val="auto"/>
                <w:szCs w:val="21"/>
                <w:highlight w:val="none"/>
              </w:rPr>
              <w:t>1000~3000</w:t>
            </w:r>
          </w:p>
        </w:tc>
        <w:tc>
          <w:tcPr>
            <w:tcW w:w="1984" w:type="dxa"/>
            <w:vAlign w:val="center"/>
          </w:tcPr>
          <w:p>
            <w:pPr>
              <w:rPr>
                <w:rFonts w:cs="Times New Roman"/>
                <w:color w:val="auto"/>
                <w:szCs w:val="21"/>
                <w:highlight w:val="none"/>
                <w:lang w:eastAsia="zh-CN"/>
              </w:rPr>
            </w:pPr>
            <w:r>
              <w:rPr>
                <w:rFonts w:cs="Times New Roman"/>
                <w:color w:val="auto"/>
                <w:szCs w:val="21"/>
                <w:highlight w:val="none"/>
                <w:lang w:eastAsia="zh-CN"/>
              </w:rPr>
              <w:t>以发包人、监理公司现场检查记录为依据</w:t>
            </w:r>
          </w:p>
        </w:tc>
      </w:tr>
    </w:tbl>
    <w:p>
      <w:pPr>
        <w:rPr>
          <w:rFonts w:cs="Times New Roman"/>
          <w:color w:val="auto"/>
          <w:szCs w:val="21"/>
          <w:highlight w:val="none"/>
          <w:lang w:eastAsia="zh-CN"/>
        </w:rPr>
      </w:pPr>
    </w:p>
    <w:p>
      <w:pPr>
        <w:spacing w:before="240" w:after="240"/>
        <w:outlineLvl w:val="2"/>
        <w:rPr>
          <w:b/>
          <w:color w:val="auto"/>
          <w:highlight w:val="none"/>
          <w:lang w:eastAsia="zh-CN"/>
        </w:rPr>
      </w:pPr>
      <w:r>
        <w:rPr>
          <w:b/>
          <w:color w:val="auto"/>
          <w:highlight w:val="none"/>
          <w:lang w:eastAsia="zh-CN"/>
        </w:rPr>
        <w:t>3、现场施工质量管理方面的</w:t>
      </w:r>
      <w:r>
        <w:rPr>
          <w:rFonts w:hint="eastAsia"/>
          <w:b/>
          <w:color w:val="auto"/>
          <w:highlight w:val="none"/>
          <w:lang w:eastAsia="zh-CN"/>
        </w:rPr>
        <w:t>处罚</w:t>
      </w:r>
      <w:r>
        <w:rPr>
          <w:b/>
          <w:color w:val="auto"/>
          <w:highlight w:val="none"/>
          <w:lang w:eastAsia="zh-CN"/>
        </w:rPr>
        <w:t>细则</w:t>
      </w:r>
    </w:p>
    <w:tbl>
      <w:tblPr>
        <w:tblStyle w:val="85"/>
        <w:tblW w:w="9640"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 w:type="dxa"/>
          <w:bottom w:w="0" w:type="dxa"/>
          <w:right w:w="10" w:type="dxa"/>
        </w:tblCellMar>
      </w:tblPr>
      <w:tblGrid>
        <w:gridCol w:w="709"/>
        <w:gridCol w:w="4536"/>
        <w:gridCol w:w="2127"/>
        <w:gridCol w:w="226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trHeight w:val="737" w:hRule="atLeast"/>
          <w:jc w:val="center"/>
        </w:trPr>
        <w:tc>
          <w:tcPr>
            <w:tcW w:w="709" w:type="dxa"/>
            <w:vAlign w:val="center"/>
          </w:tcPr>
          <w:p>
            <w:pPr>
              <w:jc w:val="center"/>
              <w:rPr>
                <w:rFonts w:cs="Times New Roman"/>
                <w:color w:val="auto"/>
                <w:szCs w:val="21"/>
                <w:highlight w:val="none"/>
              </w:rPr>
            </w:pPr>
            <w:r>
              <w:rPr>
                <w:rFonts w:hint="eastAsia" w:cs="Times New Roman"/>
                <w:color w:val="auto"/>
                <w:szCs w:val="21"/>
                <w:highlight w:val="none"/>
              </w:rPr>
              <w:t>序号</w:t>
            </w:r>
          </w:p>
        </w:tc>
        <w:tc>
          <w:tcPr>
            <w:tcW w:w="4536" w:type="dxa"/>
            <w:vAlign w:val="center"/>
          </w:tcPr>
          <w:p>
            <w:pPr>
              <w:jc w:val="center"/>
              <w:rPr>
                <w:rFonts w:cs="Times New Roman"/>
                <w:color w:val="auto"/>
                <w:szCs w:val="21"/>
                <w:highlight w:val="none"/>
              </w:rPr>
            </w:pPr>
            <w:r>
              <w:rPr>
                <w:rFonts w:hint="eastAsia" w:cs="Times New Roman"/>
                <w:color w:val="auto"/>
                <w:szCs w:val="21"/>
                <w:highlight w:val="none"/>
              </w:rPr>
              <w:t>事项</w:t>
            </w:r>
          </w:p>
        </w:tc>
        <w:tc>
          <w:tcPr>
            <w:tcW w:w="2127" w:type="dxa"/>
            <w:vAlign w:val="center"/>
          </w:tcPr>
          <w:p>
            <w:pPr>
              <w:jc w:val="center"/>
              <w:rPr>
                <w:rFonts w:cs="Times New Roman"/>
                <w:color w:val="auto"/>
                <w:szCs w:val="21"/>
                <w:highlight w:val="none"/>
              </w:rPr>
            </w:pPr>
            <w:r>
              <w:rPr>
                <w:rFonts w:hint="eastAsia" w:cs="Times New Roman"/>
                <w:color w:val="auto"/>
                <w:szCs w:val="21"/>
                <w:highlight w:val="none"/>
              </w:rPr>
              <w:t>处罚标准</w:t>
            </w:r>
          </w:p>
        </w:tc>
        <w:tc>
          <w:tcPr>
            <w:tcW w:w="2268" w:type="dxa"/>
            <w:vAlign w:val="center"/>
          </w:tcPr>
          <w:p>
            <w:pPr>
              <w:jc w:val="center"/>
              <w:rPr>
                <w:rFonts w:cs="Times New Roman"/>
                <w:color w:val="auto"/>
                <w:szCs w:val="21"/>
                <w:highlight w:val="none"/>
              </w:rPr>
            </w:pPr>
            <w:r>
              <w:rPr>
                <w:rFonts w:hint="eastAsia" w:cs="Times New Roman"/>
                <w:color w:val="auto"/>
                <w:szCs w:val="21"/>
                <w:highlight w:val="none"/>
              </w:rPr>
              <w:t>备注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trHeight w:val="737" w:hRule="atLeast"/>
          <w:jc w:val="center"/>
        </w:trPr>
        <w:tc>
          <w:tcPr>
            <w:tcW w:w="709" w:type="dxa"/>
            <w:vAlign w:val="center"/>
          </w:tcPr>
          <w:p>
            <w:pPr>
              <w:jc w:val="center"/>
              <w:rPr>
                <w:rFonts w:cs="Times New Roman"/>
                <w:color w:val="auto"/>
                <w:szCs w:val="21"/>
                <w:highlight w:val="none"/>
              </w:rPr>
            </w:pPr>
            <w:r>
              <w:rPr>
                <w:rFonts w:hint="eastAsia" w:cs="Times New Roman"/>
                <w:color w:val="auto"/>
                <w:szCs w:val="21"/>
                <w:highlight w:val="none"/>
              </w:rPr>
              <w:t>1</w:t>
            </w:r>
          </w:p>
        </w:tc>
        <w:tc>
          <w:tcPr>
            <w:tcW w:w="4536" w:type="dxa"/>
            <w:vAlign w:val="center"/>
          </w:tcPr>
          <w:p>
            <w:pPr>
              <w:rPr>
                <w:rFonts w:cs="Times New Roman"/>
                <w:color w:val="auto"/>
                <w:szCs w:val="21"/>
                <w:highlight w:val="none"/>
                <w:lang w:eastAsia="zh-CN"/>
              </w:rPr>
            </w:pPr>
            <w:r>
              <w:rPr>
                <w:rFonts w:hint="eastAsia"/>
                <w:color w:val="auto"/>
                <w:szCs w:val="21"/>
                <w:highlight w:val="none"/>
                <w:lang w:eastAsia="zh-CN"/>
              </w:rPr>
              <w:t>质检站每发出一次整改通知单</w:t>
            </w:r>
          </w:p>
        </w:tc>
        <w:tc>
          <w:tcPr>
            <w:tcW w:w="2127" w:type="dxa"/>
            <w:vAlign w:val="center"/>
          </w:tcPr>
          <w:p>
            <w:pPr>
              <w:rPr>
                <w:rFonts w:cs="Times New Roman"/>
                <w:color w:val="auto"/>
                <w:szCs w:val="21"/>
                <w:highlight w:val="none"/>
                <w:lang w:eastAsia="zh-CN"/>
              </w:rPr>
            </w:pPr>
            <w:r>
              <w:rPr>
                <w:rFonts w:hint="eastAsia" w:cs="Times New Roman"/>
                <w:color w:val="auto"/>
                <w:szCs w:val="21"/>
                <w:highlight w:val="none"/>
                <w:lang w:eastAsia="zh-CN"/>
              </w:rPr>
              <w:t>视情节严重程度罚款5000~20000元/次</w:t>
            </w:r>
          </w:p>
        </w:tc>
        <w:tc>
          <w:tcPr>
            <w:tcW w:w="2268" w:type="dxa"/>
            <w:vAlign w:val="center"/>
          </w:tcPr>
          <w:p>
            <w:pPr>
              <w:rPr>
                <w:rFonts w:cs="Times New Roman"/>
                <w:color w:val="auto"/>
                <w:szCs w:val="21"/>
                <w:highlight w:val="none"/>
                <w:lang w:eastAsia="zh-CN"/>
              </w:rPr>
            </w:pPr>
            <w:r>
              <w:rPr>
                <w:rFonts w:hint="eastAsia" w:cs="Times New Roman"/>
                <w:color w:val="auto"/>
                <w:szCs w:val="21"/>
                <w:highlight w:val="none"/>
                <w:lang w:eastAsia="zh-CN"/>
              </w:rPr>
              <w:t>以质检站发出的通知单为准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trHeight w:val="737" w:hRule="atLeast"/>
          <w:jc w:val="center"/>
        </w:trPr>
        <w:tc>
          <w:tcPr>
            <w:tcW w:w="709" w:type="dxa"/>
            <w:vAlign w:val="center"/>
          </w:tcPr>
          <w:p>
            <w:pPr>
              <w:jc w:val="center"/>
              <w:rPr>
                <w:rFonts w:cs="Times New Roman"/>
                <w:color w:val="auto"/>
                <w:szCs w:val="21"/>
                <w:highlight w:val="none"/>
              </w:rPr>
            </w:pPr>
            <w:r>
              <w:rPr>
                <w:rFonts w:hint="eastAsia" w:cs="Times New Roman"/>
                <w:color w:val="auto"/>
                <w:szCs w:val="21"/>
                <w:highlight w:val="none"/>
              </w:rPr>
              <w:t>2</w:t>
            </w:r>
          </w:p>
        </w:tc>
        <w:tc>
          <w:tcPr>
            <w:tcW w:w="4536" w:type="dxa"/>
            <w:vAlign w:val="center"/>
          </w:tcPr>
          <w:p>
            <w:pPr>
              <w:rPr>
                <w:rFonts w:cs="Times New Roman"/>
                <w:color w:val="auto"/>
                <w:szCs w:val="21"/>
                <w:highlight w:val="none"/>
                <w:lang w:eastAsia="zh-CN"/>
              </w:rPr>
            </w:pPr>
            <w:r>
              <w:rPr>
                <w:rFonts w:hint="eastAsia" w:cs="Times New Roman"/>
                <w:color w:val="auto"/>
                <w:szCs w:val="21"/>
                <w:highlight w:val="none"/>
                <w:lang w:eastAsia="zh-CN"/>
              </w:rPr>
              <w:t>按规定应该进行验收的，承包人在没有经过发包人（监理）质量验收通过的情况下，擅自进行下道工序</w:t>
            </w:r>
          </w:p>
        </w:tc>
        <w:tc>
          <w:tcPr>
            <w:tcW w:w="2127" w:type="dxa"/>
            <w:vAlign w:val="center"/>
          </w:tcPr>
          <w:p>
            <w:pPr>
              <w:rPr>
                <w:rFonts w:cs="Times New Roman"/>
                <w:color w:val="auto"/>
                <w:szCs w:val="21"/>
                <w:highlight w:val="none"/>
                <w:lang w:eastAsia="zh-CN"/>
              </w:rPr>
            </w:pPr>
            <w:r>
              <w:rPr>
                <w:rFonts w:hint="eastAsia" w:cs="Times New Roman"/>
                <w:color w:val="auto"/>
                <w:szCs w:val="21"/>
                <w:highlight w:val="none"/>
                <w:lang w:eastAsia="zh-CN"/>
              </w:rPr>
              <w:t>视情节严重程度罚款5000~10000元/次／次,并返工至合格</w:t>
            </w:r>
          </w:p>
        </w:tc>
        <w:tc>
          <w:tcPr>
            <w:tcW w:w="2268" w:type="dxa"/>
            <w:vAlign w:val="center"/>
          </w:tcPr>
          <w:p>
            <w:pPr>
              <w:rPr>
                <w:rFonts w:cs="Times New Roman"/>
                <w:color w:val="auto"/>
                <w:szCs w:val="21"/>
                <w:highlight w:val="none"/>
                <w:lang w:eastAsia="zh-CN"/>
              </w:rPr>
            </w:pPr>
            <w:r>
              <w:rPr>
                <w:rFonts w:hint="eastAsia" w:cs="Times New Roman"/>
                <w:color w:val="auto"/>
                <w:szCs w:val="21"/>
                <w:highlight w:val="none"/>
                <w:lang w:eastAsia="zh-CN"/>
              </w:rPr>
              <w:t>以发包人、监理现场记录为依据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trHeight w:val="737" w:hRule="atLeast"/>
          <w:jc w:val="center"/>
        </w:trPr>
        <w:tc>
          <w:tcPr>
            <w:tcW w:w="709" w:type="dxa"/>
            <w:vAlign w:val="center"/>
          </w:tcPr>
          <w:p>
            <w:pPr>
              <w:jc w:val="center"/>
              <w:rPr>
                <w:rFonts w:cs="Times New Roman"/>
                <w:color w:val="auto"/>
                <w:szCs w:val="21"/>
                <w:highlight w:val="none"/>
              </w:rPr>
            </w:pPr>
            <w:r>
              <w:rPr>
                <w:rFonts w:hint="eastAsia" w:cs="Times New Roman"/>
                <w:color w:val="auto"/>
                <w:szCs w:val="21"/>
                <w:highlight w:val="none"/>
              </w:rPr>
              <w:t>3</w:t>
            </w:r>
          </w:p>
        </w:tc>
        <w:tc>
          <w:tcPr>
            <w:tcW w:w="4536" w:type="dxa"/>
            <w:vAlign w:val="center"/>
          </w:tcPr>
          <w:p>
            <w:pPr>
              <w:snapToGrid w:val="0"/>
              <w:rPr>
                <w:rFonts w:cs="Times New Roman"/>
                <w:color w:val="auto"/>
                <w:szCs w:val="21"/>
                <w:highlight w:val="none"/>
              </w:rPr>
            </w:pPr>
            <w:r>
              <w:rPr>
                <w:rFonts w:hint="eastAsia" w:cs="Times New Roman"/>
                <w:color w:val="auto"/>
                <w:szCs w:val="21"/>
                <w:highlight w:val="none"/>
              </w:rPr>
              <w:t>发生一般质量事故</w:t>
            </w:r>
          </w:p>
        </w:tc>
        <w:tc>
          <w:tcPr>
            <w:tcW w:w="2127" w:type="dxa"/>
            <w:vAlign w:val="center"/>
          </w:tcPr>
          <w:p>
            <w:pPr>
              <w:snapToGrid w:val="0"/>
              <w:ind w:right="72"/>
              <w:rPr>
                <w:rFonts w:cs="Times New Roman"/>
                <w:color w:val="auto"/>
                <w:szCs w:val="21"/>
                <w:highlight w:val="none"/>
              </w:rPr>
            </w:pPr>
            <w:r>
              <w:rPr>
                <w:rFonts w:hint="eastAsia" w:cs="Times New Roman"/>
                <w:color w:val="auto"/>
                <w:szCs w:val="21"/>
                <w:highlight w:val="none"/>
              </w:rPr>
              <w:t>10000元/次</w:t>
            </w:r>
          </w:p>
        </w:tc>
        <w:tc>
          <w:tcPr>
            <w:tcW w:w="2268" w:type="dxa"/>
            <w:vAlign w:val="center"/>
          </w:tcPr>
          <w:p>
            <w:pPr>
              <w:rPr>
                <w:rFonts w:cs="Times New Roman"/>
                <w:color w:val="auto"/>
                <w:szCs w:val="21"/>
                <w:highlight w:val="none"/>
                <w:lang w:eastAsia="zh-CN"/>
              </w:rPr>
            </w:pPr>
            <w:r>
              <w:rPr>
                <w:rFonts w:hint="eastAsia" w:cs="Times New Roman"/>
                <w:color w:val="auto"/>
                <w:szCs w:val="21"/>
                <w:highlight w:val="none"/>
                <w:lang w:eastAsia="zh-CN"/>
              </w:rPr>
              <w:t>以发包人现场记录为依据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trHeight w:val="737" w:hRule="atLeast"/>
          <w:jc w:val="center"/>
        </w:trPr>
        <w:tc>
          <w:tcPr>
            <w:tcW w:w="709" w:type="dxa"/>
            <w:vAlign w:val="center"/>
          </w:tcPr>
          <w:p>
            <w:pPr>
              <w:jc w:val="center"/>
              <w:rPr>
                <w:rFonts w:cs="Times New Roman"/>
                <w:color w:val="auto"/>
                <w:szCs w:val="21"/>
                <w:highlight w:val="none"/>
              </w:rPr>
            </w:pPr>
            <w:r>
              <w:rPr>
                <w:rFonts w:hint="eastAsia" w:cs="Times New Roman"/>
                <w:color w:val="auto"/>
                <w:szCs w:val="21"/>
                <w:highlight w:val="none"/>
              </w:rPr>
              <w:t>4</w:t>
            </w:r>
          </w:p>
        </w:tc>
        <w:tc>
          <w:tcPr>
            <w:tcW w:w="4536" w:type="dxa"/>
            <w:vAlign w:val="center"/>
          </w:tcPr>
          <w:p>
            <w:pPr>
              <w:snapToGrid w:val="0"/>
              <w:rPr>
                <w:rFonts w:cs="Times New Roman"/>
                <w:color w:val="auto"/>
                <w:szCs w:val="21"/>
                <w:highlight w:val="none"/>
              </w:rPr>
            </w:pPr>
            <w:r>
              <w:rPr>
                <w:rFonts w:hint="eastAsia" w:cs="Times New Roman"/>
                <w:color w:val="auto"/>
                <w:szCs w:val="21"/>
                <w:highlight w:val="none"/>
              </w:rPr>
              <w:t>发生严重质量事故</w:t>
            </w:r>
          </w:p>
        </w:tc>
        <w:tc>
          <w:tcPr>
            <w:tcW w:w="2127" w:type="dxa"/>
            <w:vAlign w:val="center"/>
          </w:tcPr>
          <w:p>
            <w:pPr>
              <w:snapToGrid w:val="0"/>
              <w:ind w:right="72"/>
              <w:rPr>
                <w:rFonts w:cs="Times New Roman"/>
                <w:color w:val="auto"/>
                <w:szCs w:val="21"/>
                <w:highlight w:val="none"/>
              </w:rPr>
            </w:pPr>
            <w:r>
              <w:rPr>
                <w:rFonts w:hint="eastAsia" w:cs="Times New Roman"/>
                <w:color w:val="auto"/>
                <w:szCs w:val="21"/>
                <w:highlight w:val="none"/>
              </w:rPr>
              <w:t>50000~100000元/次</w:t>
            </w:r>
          </w:p>
        </w:tc>
        <w:tc>
          <w:tcPr>
            <w:tcW w:w="2268" w:type="dxa"/>
            <w:vAlign w:val="center"/>
          </w:tcPr>
          <w:p>
            <w:pPr>
              <w:rPr>
                <w:rFonts w:cs="Times New Roman"/>
                <w:color w:val="auto"/>
                <w:szCs w:val="21"/>
                <w:highlight w:val="none"/>
                <w:lang w:eastAsia="zh-CN"/>
              </w:rPr>
            </w:pPr>
            <w:r>
              <w:rPr>
                <w:rFonts w:hint="eastAsia" w:cs="Times New Roman"/>
                <w:color w:val="auto"/>
                <w:szCs w:val="21"/>
                <w:highlight w:val="none"/>
                <w:lang w:eastAsia="zh-CN"/>
              </w:rPr>
              <w:t>以发包人现场记录为依据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trHeight w:val="737" w:hRule="atLeast"/>
          <w:jc w:val="center"/>
        </w:trPr>
        <w:tc>
          <w:tcPr>
            <w:tcW w:w="709" w:type="dxa"/>
            <w:vAlign w:val="center"/>
          </w:tcPr>
          <w:p>
            <w:pPr>
              <w:jc w:val="center"/>
              <w:rPr>
                <w:rFonts w:cs="Times New Roman"/>
                <w:color w:val="auto"/>
                <w:szCs w:val="21"/>
                <w:highlight w:val="none"/>
              </w:rPr>
            </w:pPr>
            <w:r>
              <w:rPr>
                <w:rFonts w:hint="eastAsia" w:cs="Times New Roman"/>
                <w:color w:val="auto"/>
                <w:szCs w:val="21"/>
                <w:highlight w:val="none"/>
              </w:rPr>
              <w:t>5</w:t>
            </w:r>
          </w:p>
        </w:tc>
        <w:tc>
          <w:tcPr>
            <w:tcW w:w="4536" w:type="dxa"/>
            <w:vAlign w:val="center"/>
          </w:tcPr>
          <w:p>
            <w:pPr>
              <w:snapToGrid w:val="0"/>
              <w:rPr>
                <w:rFonts w:cs="Times New Roman"/>
                <w:color w:val="auto"/>
                <w:szCs w:val="21"/>
                <w:highlight w:val="none"/>
                <w:lang w:eastAsia="zh-CN"/>
              </w:rPr>
            </w:pPr>
            <w:r>
              <w:rPr>
                <w:rFonts w:hint="eastAsia" w:cs="Times New Roman"/>
                <w:color w:val="auto"/>
                <w:szCs w:val="21"/>
                <w:highlight w:val="none"/>
                <w:lang w:eastAsia="zh-CN"/>
              </w:rPr>
              <w:t>发生重大质量事故，造成经济损失10万元以上或工期延误5天以上。</w:t>
            </w:r>
          </w:p>
        </w:tc>
        <w:tc>
          <w:tcPr>
            <w:tcW w:w="2127" w:type="dxa"/>
            <w:vAlign w:val="center"/>
          </w:tcPr>
          <w:p>
            <w:pPr>
              <w:snapToGrid w:val="0"/>
              <w:ind w:right="72"/>
              <w:rPr>
                <w:rFonts w:cs="Times New Roman"/>
                <w:color w:val="auto"/>
                <w:szCs w:val="21"/>
                <w:highlight w:val="none"/>
              </w:rPr>
            </w:pPr>
            <w:r>
              <w:rPr>
                <w:rFonts w:hint="eastAsia" w:cs="Times New Roman"/>
                <w:color w:val="auto"/>
                <w:szCs w:val="21"/>
                <w:highlight w:val="none"/>
              </w:rPr>
              <w:t>100000元/次</w:t>
            </w:r>
          </w:p>
        </w:tc>
        <w:tc>
          <w:tcPr>
            <w:tcW w:w="2268" w:type="dxa"/>
            <w:vAlign w:val="center"/>
          </w:tcPr>
          <w:p>
            <w:pPr>
              <w:rPr>
                <w:rFonts w:cs="Times New Roman"/>
                <w:color w:val="auto"/>
                <w:szCs w:val="21"/>
                <w:highlight w:val="none"/>
                <w:lang w:eastAsia="zh-CN"/>
              </w:rPr>
            </w:pPr>
            <w:r>
              <w:rPr>
                <w:rFonts w:hint="eastAsia" w:cs="Times New Roman"/>
                <w:color w:val="auto"/>
                <w:szCs w:val="21"/>
                <w:highlight w:val="none"/>
                <w:lang w:eastAsia="zh-CN"/>
              </w:rPr>
              <w:t>以发包人现场记录为依据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trHeight w:val="737" w:hRule="atLeast"/>
          <w:jc w:val="center"/>
        </w:trPr>
        <w:tc>
          <w:tcPr>
            <w:tcW w:w="709" w:type="dxa"/>
            <w:vAlign w:val="center"/>
          </w:tcPr>
          <w:p>
            <w:pPr>
              <w:jc w:val="center"/>
              <w:rPr>
                <w:rFonts w:cs="Times New Roman"/>
                <w:color w:val="auto"/>
                <w:szCs w:val="21"/>
                <w:highlight w:val="none"/>
              </w:rPr>
            </w:pPr>
            <w:r>
              <w:rPr>
                <w:rFonts w:hint="eastAsia" w:cs="Times New Roman"/>
                <w:color w:val="auto"/>
                <w:szCs w:val="21"/>
                <w:highlight w:val="none"/>
              </w:rPr>
              <w:t>6</w:t>
            </w:r>
          </w:p>
        </w:tc>
        <w:tc>
          <w:tcPr>
            <w:tcW w:w="4536" w:type="dxa"/>
            <w:vAlign w:val="center"/>
          </w:tcPr>
          <w:p>
            <w:pPr>
              <w:rPr>
                <w:rFonts w:cs="Times New Roman"/>
                <w:color w:val="auto"/>
                <w:szCs w:val="21"/>
                <w:highlight w:val="none"/>
                <w:lang w:eastAsia="zh-CN"/>
              </w:rPr>
            </w:pPr>
            <w:r>
              <w:rPr>
                <w:rFonts w:hint="eastAsia" w:cs="Times New Roman"/>
                <w:color w:val="auto"/>
                <w:szCs w:val="21"/>
                <w:highlight w:val="none"/>
                <w:lang w:eastAsia="zh-CN"/>
              </w:rPr>
              <w:t>发生重大质量事故，造成经济损失</w:t>
            </w:r>
            <w:r>
              <w:rPr>
                <w:rFonts w:cs="Times New Roman"/>
                <w:color w:val="auto"/>
                <w:szCs w:val="21"/>
                <w:highlight w:val="none"/>
                <w:lang w:eastAsia="zh-CN"/>
              </w:rPr>
              <w:t>20</w:t>
            </w:r>
            <w:r>
              <w:rPr>
                <w:rFonts w:hint="eastAsia" w:cs="Times New Roman"/>
                <w:color w:val="auto"/>
                <w:szCs w:val="21"/>
                <w:highlight w:val="none"/>
                <w:lang w:eastAsia="zh-CN"/>
              </w:rPr>
              <w:t>万元以上或工期延误</w:t>
            </w:r>
            <w:r>
              <w:rPr>
                <w:rFonts w:cs="Times New Roman"/>
                <w:color w:val="auto"/>
                <w:szCs w:val="21"/>
                <w:highlight w:val="none"/>
                <w:lang w:eastAsia="zh-CN"/>
              </w:rPr>
              <w:t>10</w:t>
            </w:r>
            <w:r>
              <w:rPr>
                <w:rFonts w:hint="eastAsia" w:cs="Times New Roman"/>
                <w:color w:val="auto"/>
                <w:szCs w:val="21"/>
                <w:highlight w:val="none"/>
                <w:lang w:eastAsia="zh-CN"/>
              </w:rPr>
              <w:t>天以上。</w:t>
            </w:r>
          </w:p>
        </w:tc>
        <w:tc>
          <w:tcPr>
            <w:tcW w:w="2127" w:type="dxa"/>
            <w:vAlign w:val="center"/>
          </w:tcPr>
          <w:p>
            <w:pPr>
              <w:rPr>
                <w:rFonts w:cs="Times New Roman"/>
                <w:color w:val="auto"/>
                <w:szCs w:val="21"/>
                <w:highlight w:val="none"/>
              </w:rPr>
            </w:pPr>
            <w:r>
              <w:rPr>
                <w:rFonts w:hint="eastAsia" w:cs="Times New Roman"/>
                <w:color w:val="auto"/>
                <w:szCs w:val="21"/>
                <w:highlight w:val="none"/>
              </w:rPr>
              <w:t>2</w:t>
            </w:r>
            <w:r>
              <w:rPr>
                <w:rFonts w:cs="Times New Roman"/>
                <w:color w:val="auto"/>
                <w:szCs w:val="21"/>
                <w:highlight w:val="none"/>
              </w:rPr>
              <w:t>00000</w:t>
            </w:r>
            <w:r>
              <w:rPr>
                <w:rFonts w:hint="eastAsia" w:cs="Times New Roman"/>
                <w:color w:val="auto"/>
                <w:szCs w:val="21"/>
                <w:highlight w:val="none"/>
              </w:rPr>
              <w:t>元/次</w:t>
            </w:r>
          </w:p>
        </w:tc>
        <w:tc>
          <w:tcPr>
            <w:tcW w:w="2268" w:type="dxa"/>
            <w:vAlign w:val="center"/>
          </w:tcPr>
          <w:p>
            <w:pPr>
              <w:rPr>
                <w:rFonts w:cs="Times New Roman"/>
                <w:color w:val="auto"/>
                <w:szCs w:val="21"/>
                <w:highlight w:val="none"/>
                <w:lang w:eastAsia="zh-CN"/>
              </w:rPr>
            </w:pPr>
            <w:r>
              <w:rPr>
                <w:rFonts w:hint="eastAsia" w:cs="Times New Roman"/>
                <w:color w:val="auto"/>
                <w:szCs w:val="21"/>
                <w:highlight w:val="none"/>
                <w:lang w:eastAsia="zh-CN"/>
              </w:rPr>
              <w:t>以发包人现场记录为依据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trHeight w:val="737" w:hRule="atLeast"/>
          <w:jc w:val="center"/>
        </w:trPr>
        <w:tc>
          <w:tcPr>
            <w:tcW w:w="709" w:type="dxa"/>
            <w:vAlign w:val="center"/>
          </w:tcPr>
          <w:p>
            <w:pPr>
              <w:jc w:val="center"/>
              <w:rPr>
                <w:rFonts w:cs="Times New Roman"/>
                <w:color w:val="auto"/>
                <w:szCs w:val="21"/>
                <w:highlight w:val="none"/>
              </w:rPr>
            </w:pPr>
            <w:r>
              <w:rPr>
                <w:rFonts w:hint="eastAsia" w:cs="Times New Roman"/>
                <w:color w:val="auto"/>
                <w:szCs w:val="21"/>
                <w:highlight w:val="none"/>
              </w:rPr>
              <w:t>7</w:t>
            </w:r>
          </w:p>
        </w:tc>
        <w:tc>
          <w:tcPr>
            <w:tcW w:w="4536" w:type="dxa"/>
            <w:vAlign w:val="center"/>
          </w:tcPr>
          <w:p>
            <w:pPr>
              <w:snapToGrid w:val="0"/>
              <w:rPr>
                <w:rFonts w:cs="Times New Roman"/>
                <w:color w:val="auto"/>
                <w:szCs w:val="21"/>
                <w:highlight w:val="none"/>
                <w:lang w:eastAsia="zh-CN"/>
              </w:rPr>
            </w:pPr>
            <w:r>
              <w:rPr>
                <w:rFonts w:hint="eastAsia" w:cs="Times New Roman"/>
                <w:color w:val="auto"/>
                <w:szCs w:val="21"/>
                <w:highlight w:val="none"/>
                <w:lang w:eastAsia="zh-CN"/>
              </w:rPr>
              <w:t>承包人应遵守各项政府、发包人、监理颁发的工程建设程序、工作程序和要求；承包人应遵守施工合同中约定的承包人各项工作程序、业务处理流程和要求。</w:t>
            </w:r>
          </w:p>
        </w:tc>
        <w:tc>
          <w:tcPr>
            <w:tcW w:w="2127" w:type="dxa"/>
            <w:vAlign w:val="center"/>
          </w:tcPr>
          <w:p>
            <w:pPr>
              <w:snapToGrid w:val="0"/>
              <w:ind w:right="72"/>
              <w:rPr>
                <w:rFonts w:cs="Times New Roman"/>
                <w:color w:val="auto"/>
                <w:szCs w:val="21"/>
                <w:highlight w:val="none"/>
                <w:lang w:eastAsia="zh-CN"/>
              </w:rPr>
            </w:pPr>
            <w:r>
              <w:rPr>
                <w:rFonts w:hint="eastAsia" w:cs="Times New Roman"/>
                <w:color w:val="auto"/>
                <w:szCs w:val="21"/>
                <w:highlight w:val="none"/>
                <w:lang w:eastAsia="zh-CN"/>
              </w:rPr>
              <w:t>如有违反处以罚款1000元/次</w:t>
            </w:r>
          </w:p>
        </w:tc>
        <w:tc>
          <w:tcPr>
            <w:tcW w:w="2268" w:type="dxa"/>
            <w:vAlign w:val="center"/>
          </w:tcPr>
          <w:p>
            <w:pPr>
              <w:rPr>
                <w:rFonts w:cs="Times New Roman"/>
                <w:color w:val="auto"/>
                <w:szCs w:val="21"/>
                <w:highlight w:val="none"/>
                <w:lang w:eastAsia="zh-CN"/>
              </w:rPr>
            </w:pPr>
            <w:r>
              <w:rPr>
                <w:rFonts w:hint="eastAsia" w:cs="Times New Roman"/>
                <w:color w:val="auto"/>
                <w:szCs w:val="21"/>
                <w:highlight w:val="none"/>
                <w:lang w:eastAsia="zh-CN"/>
              </w:rPr>
              <w:t>以发包人、监理现场记录为依据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trHeight w:val="737" w:hRule="atLeast"/>
          <w:jc w:val="center"/>
        </w:trPr>
        <w:tc>
          <w:tcPr>
            <w:tcW w:w="709" w:type="dxa"/>
            <w:vAlign w:val="center"/>
          </w:tcPr>
          <w:p>
            <w:pPr>
              <w:jc w:val="center"/>
              <w:rPr>
                <w:rFonts w:cs="Times New Roman"/>
                <w:color w:val="auto"/>
                <w:szCs w:val="21"/>
                <w:highlight w:val="none"/>
              </w:rPr>
            </w:pPr>
            <w:r>
              <w:rPr>
                <w:rFonts w:hint="eastAsia" w:cs="Times New Roman"/>
                <w:color w:val="auto"/>
                <w:szCs w:val="21"/>
                <w:highlight w:val="none"/>
              </w:rPr>
              <w:t>8</w:t>
            </w:r>
          </w:p>
        </w:tc>
        <w:tc>
          <w:tcPr>
            <w:tcW w:w="4536" w:type="dxa"/>
            <w:vAlign w:val="center"/>
          </w:tcPr>
          <w:p>
            <w:pPr>
              <w:snapToGrid w:val="0"/>
              <w:rPr>
                <w:rFonts w:cs="Times New Roman"/>
                <w:color w:val="auto"/>
                <w:szCs w:val="21"/>
                <w:highlight w:val="none"/>
                <w:lang w:eastAsia="zh-CN"/>
              </w:rPr>
            </w:pPr>
            <w:r>
              <w:rPr>
                <w:rFonts w:hint="eastAsia" w:cs="Times New Roman"/>
                <w:color w:val="auto"/>
                <w:szCs w:val="21"/>
                <w:highlight w:val="none"/>
                <w:lang w:eastAsia="zh-CN"/>
              </w:rPr>
              <w:t>监理公司或发包人验收时发现主控项目不符合要求</w:t>
            </w:r>
          </w:p>
        </w:tc>
        <w:tc>
          <w:tcPr>
            <w:tcW w:w="2127" w:type="dxa"/>
            <w:vAlign w:val="center"/>
          </w:tcPr>
          <w:p>
            <w:pPr>
              <w:snapToGrid w:val="0"/>
              <w:ind w:right="72"/>
              <w:rPr>
                <w:rFonts w:cs="Times New Roman"/>
                <w:color w:val="auto"/>
                <w:szCs w:val="21"/>
                <w:highlight w:val="none"/>
                <w:lang w:eastAsia="zh-CN"/>
              </w:rPr>
            </w:pPr>
            <w:r>
              <w:rPr>
                <w:rFonts w:hint="eastAsia" w:cs="Times New Roman"/>
                <w:color w:val="auto"/>
                <w:szCs w:val="21"/>
                <w:highlight w:val="none"/>
                <w:lang w:eastAsia="zh-CN"/>
              </w:rPr>
              <w:t>视情节严重程度，一项主控项目罚款500~2000元/项</w:t>
            </w:r>
          </w:p>
        </w:tc>
        <w:tc>
          <w:tcPr>
            <w:tcW w:w="2268" w:type="dxa"/>
            <w:vAlign w:val="center"/>
          </w:tcPr>
          <w:p>
            <w:pPr>
              <w:snapToGrid w:val="0"/>
              <w:ind w:right="63"/>
              <w:rPr>
                <w:rFonts w:cs="Times New Roman"/>
                <w:color w:val="auto"/>
                <w:szCs w:val="21"/>
                <w:highlight w:val="none"/>
                <w:lang w:eastAsia="zh-CN"/>
              </w:rPr>
            </w:pPr>
            <w:r>
              <w:rPr>
                <w:rFonts w:hint="eastAsia" w:cs="Times New Roman"/>
                <w:color w:val="auto"/>
                <w:szCs w:val="21"/>
                <w:highlight w:val="none"/>
                <w:lang w:eastAsia="zh-CN"/>
              </w:rPr>
              <w:t>以发包人或监理公司的验收记录为准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trHeight w:val="737" w:hRule="atLeast"/>
          <w:jc w:val="center"/>
        </w:trPr>
        <w:tc>
          <w:tcPr>
            <w:tcW w:w="709" w:type="dxa"/>
            <w:vAlign w:val="center"/>
          </w:tcPr>
          <w:p>
            <w:pPr>
              <w:jc w:val="center"/>
              <w:rPr>
                <w:rFonts w:cs="Times New Roman"/>
                <w:color w:val="auto"/>
                <w:szCs w:val="21"/>
                <w:highlight w:val="none"/>
              </w:rPr>
            </w:pPr>
            <w:r>
              <w:rPr>
                <w:rFonts w:hint="eastAsia" w:cs="Times New Roman"/>
                <w:color w:val="auto"/>
                <w:szCs w:val="21"/>
                <w:highlight w:val="none"/>
              </w:rPr>
              <w:t>9</w:t>
            </w:r>
          </w:p>
        </w:tc>
        <w:tc>
          <w:tcPr>
            <w:tcW w:w="4536" w:type="dxa"/>
            <w:vAlign w:val="center"/>
          </w:tcPr>
          <w:p>
            <w:pPr>
              <w:snapToGrid w:val="0"/>
              <w:rPr>
                <w:rFonts w:cs="Times New Roman"/>
                <w:color w:val="auto"/>
                <w:szCs w:val="21"/>
                <w:highlight w:val="none"/>
                <w:lang w:eastAsia="zh-CN"/>
              </w:rPr>
            </w:pPr>
            <w:r>
              <w:rPr>
                <w:rFonts w:hint="eastAsia" w:cs="Times New Roman"/>
                <w:color w:val="auto"/>
                <w:szCs w:val="21"/>
                <w:highlight w:val="none"/>
                <w:lang w:eastAsia="zh-CN"/>
              </w:rPr>
              <w:t>不进行自检或自检合格后，报送监理工程师检查验收而不合格</w:t>
            </w:r>
          </w:p>
        </w:tc>
        <w:tc>
          <w:tcPr>
            <w:tcW w:w="2127" w:type="dxa"/>
            <w:vAlign w:val="center"/>
          </w:tcPr>
          <w:p>
            <w:pPr>
              <w:snapToGrid w:val="0"/>
              <w:ind w:right="-165"/>
              <w:rPr>
                <w:rFonts w:cs="Times New Roman"/>
                <w:color w:val="auto"/>
                <w:szCs w:val="21"/>
                <w:highlight w:val="none"/>
              </w:rPr>
            </w:pPr>
            <w:r>
              <w:rPr>
                <w:rFonts w:hint="eastAsia" w:cs="Times New Roman"/>
                <w:color w:val="auto"/>
                <w:szCs w:val="21"/>
                <w:highlight w:val="none"/>
              </w:rPr>
              <w:t>一次处罚1000元。</w:t>
            </w:r>
          </w:p>
        </w:tc>
        <w:tc>
          <w:tcPr>
            <w:tcW w:w="2268" w:type="dxa"/>
            <w:vAlign w:val="center"/>
          </w:tcPr>
          <w:p>
            <w:pPr>
              <w:snapToGrid w:val="0"/>
              <w:rPr>
                <w:rFonts w:cs="Times New Roman"/>
                <w:color w:val="auto"/>
                <w:szCs w:val="21"/>
                <w:highlight w:val="none"/>
              </w:rPr>
            </w:pPr>
            <w:r>
              <w:rPr>
                <w:rFonts w:hint="eastAsia" w:cs="Times New Roman"/>
                <w:color w:val="auto"/>
                <w:szCs w:val="21"/>
                <w:highlight w:val="none"/>
              </w:rPr>
              <w:t>以监理验收记录为准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trHeight w:val="737" w:hRule="atLeast"/>
          <w:jc w:val="center"/>
        </w:trPr>
        <w:tc>
          <w:tcPr>
            <w:tcW w:w="709" w:type="dxa"/>
            <w:vAlign w:val="center"/>
          </w:tcPr>
          <w:p>
            <w:pPr>
              <w:jc w:val="center"/>
              <w:rPr>
                <w:rFonts w:cs="Times New Roman"/>
                <w:color w:val="auto"/>
                <w:szCs w:val="21"/>
                <w:highlight w:val="none"/>
              </w:rPr>
            </w:pPr>
            <w:r>
              <w:rPr>
                <w:rFonts w:hint="eastAsia" w:cs="Times New Roman"/>
                <w:color w:val="auto"/>
                <w:szCs w:val="21"/>
                <w:highlight w:val="none"/>
              </w:rPr>
              <w:t>10</w:t>
            </w:r>
          </w:p>
        </w:tc>
        <w:tc>
          <w:tcPr>
            <w:tcW w:w="4536" w:type="dxa"/>
            <w:vAlign w:val="center"/>
          </w:tcPr>
          <w:p>
            <w:pPr>
              <w:snapToGrid w:val="0"/>
              <w:rPr>
                <w:rFonts w:cs="Times New Roman"/>
                <w:color w:val="auto"/>
                <w:szCs w:val="21"/>
                <w:highlight w:val="none"/>
                <w:lang w:eastAsia="zh-CN"/>
              </w:rPr>
            </w:pPr>
            <w:r>
              <w:rPr>
                <w:rFonts w:hint="eastAsia" w:cs="Times New Roman"/>
                <w:color w:val="auto"/>
                <w:szCs w:val="21"/>
                <w:highlight w:val="none"/>
                <w:lang w:eastAsia="zh-CN"/>
              </w:rPr>
              <w:t>保修期内出现严重质量问题，如电梯桥厢</w:t>
            </w:r>
            <w:r>
              <w:rPr>
                <w:rFonts w:cs="Times New Roman"/>
                <w:color w:val="auto"/>
                <w:szCs w:val="21"/>
                <w:highlight w:val="none"/>
                <w:lang w:eastAsia="zh-CN"/>
              </w:rPr>
              <w:t>关闭无法打开</w:t>
            </w:r>
            <w:r>
              <w:rPr>
                <w:rFonts w:hint="eastAsia" w:cs="Times New Roman"/>
                <w:color w:val="auto"/>
                <w:szCs w:val="21"/>
                <w:highlight w:val="none"/>
                <w:lang w:eastAsia="zh-CN"/>
              </w:rPr>
              <w:t>等。</w:t>
            </w:r>
          </w:p>
        </w:tc>
        <w:tc>
          <w:tcPr>
            <w:tcW w:w="2127" w:type="dxa"/>
            <w:vAlign w:val="center"/>
          </w:tcPr>
          <w:p>
            <w:pPr>
              <w:snapToGrid w:val="0"/>
              <w:ind w:right="72"/>
              <w:rPr>
                <w:rFonts w:cs="Times New Roman"/>
                <w:color w:val="auto"/>
                <w:szCs w:val="21"/>
                <w:highlight w:val="none"/>
                <w:lang w:eastAsia="zh-CN"/>
              </w:rPr>
            </w:pPr>
            <w:r>
              <w:rPr>
                <w:rFonts w:hint="eastAsia" w:cs="Times New Roman"/>
                <w:color w:val="auto"/>
                <w:szCs w:val="21"/>
                <w:highlight w:val="none"/>
                <w:lang w:eastAsia="zh-CN"/>
              </w:rPr>
              <w:t>发现一次，罚款</w:t>
            </w:r>
            <w:r>
              <w:rPr>
                <w:rFonts w:cs="Times New Roman"/>
                <w:color w:val="auto"/>
                <w:szCs w:val="21"/>
                <w:highlight w:val="none"/>
                <w:lang w:eastAsia="zh-CN"/>
              </w:rPr>
              <w:t>50</w:t>
            </w:r>
            <w:r>
              <w:rPr>
                <w:rFonts w:hint="eastAsia" w:cs="Times New Roman"/>
                <w:color w:val="auto"/>
                <w:szCs w:val="21"/>
                <w:highlight w:val="none"/>
                <w:lang w:eastAsia="zh-CN"/>
              </w:rPr>
              <w:t>00元，并承担修复费用。</w:t>
            </w:r>
          </w:p>
        </w:tc>
        <w:tc>
          <w:tcPr>
            <w:tcW w:w="2268" w:type="dxa"/>
            <w:vAlign w:val="center"/>
          </w:tcPr>
          <w:p>
            <w:pPr>
              <w:snapToGrid w:val="0"/>
              <w:rPr>
                <w:rFonts w:cs="Times New Roman"/>
                <w:color w:val="auto"/>
                <w:szCs w:val="21"/>
                <w:highlight w:val="none"/>
              </w:rPr>
            </w:pPr>
            <w:r>
              <w:rPr>
                <w:rFonts w:hint="eastAsia" w:cs="Times New Roman"/>
                <w:color w:val="auto"/>
                <w:szCs w:val="21"/>
                <w:highlight w:val="none"/>
              </w:rPr>
              <w:t>罚款在保修款中扣除</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trHeight w:val="737" w:hRule="atLeast"/>
          <w:jc w:val="center"/>
        </w:trPr>
        <w:tc>
          <w:tcPr>
            <w:tcW w:w="709" w:type="dxa"/>
            <w:vAlign w:val="center"/>
          </w:tcPr>
          <w:p>
            <w:pPr>
              <w:jc w:val="center"/>
              <w:rPr>
                <w:rFonts w:cs="Times New Roman"/>
                <w:color w:val="auto"/>
                <w:szCs w:val="21"/>
                <w:highlight w:val="none"/>
              </w:rPr>
            </w:pPr>
            <w:r>
              <w:rPr>
                <w:rFonts w:hint="eastAsia" w:cs="Times New Roman"/>
                <w:color w:val="auto"/>
                <w:szCs w:val="21"/>
                <w:highlight w:val="none"/>
              </w:rPr>
              <w:t>11</w:t>
            </w:r>
          </w:p>
        </w:tc>
        <w:tc>
          <w:tcPr>
            <w:tcW w:w="4536" w:type="dxa"/>
            <w:vAlign w:val="center"/>
          </w:tcPr>
          <w:p>
            <w:pPr>
              <w:snapToGrid w:val="0"/>
              <w:rPr>
                <w:rFonts w:cs="Times New Roman"/>
                <w:color w:val="auto"/>
                <w:szCs w:val="21"/>
                <w:highlight w:val="none"/>
                <w:lang w:eastAsia="zh-CN"/>
              </w:rPr>
            </w:pPr>
            <w:r>
              <w:rPr>
                <w:rFonts w:hint="eastAsia" w:cs="Times New Roman"/>
                <w:color w:val="auto"/>
                <w:szCs w:val="21"/>
                <w:highlight w:val="none"/>
                <w:lang w:eastAsia="zh-CN"/>
              </w:rPr>
              <w:t>工程所用材料进场前未申报，或申报未通过擅自使用的</w:t>
            </w:r>
          </w:p>
        </w:tc>
        <w:tc>
          <w:tcPr>
            <w:tcW w:w="2127" w:type="dxa"/>
            <w:vAlign w:val="center"/>
          </w:tcPr>
          <w:p>
            <w:pPr>
              <w:snapToGrid w:val="0"/>
              <w:rPr>
                <w:rFonts w:cs="Times New Roman"/>
                <w:color w:val="auto"/>
                <w:szCs w:val="21"/>
                <w:highlight w:val="none"/>
              </w:rPr>
            </w:pPr>
            <w:r>
              <w:rPr>
                <w:rFonts w:hint="eastAsia" w:cs="Times New Roman"/>
                <w:color w:val="auto"/>
                <w:szCs w:val="21"/>
                <w:highlight w:val="none"/>
              </w:rPr>
              <w:t>发现一项，罚款2000元</w:t>
            </w:r>
          </w:p>
        </w:tc>
        <w:tc>
          <w:tcPr>
            <w:tcW w:w="2268" w:type="dxa"/>
            <w:vAlign w:val="center"/>
          </w:tcPr>
          <w:p>
            <w:pPr>
              <w:snapToGrid w:val="0"/>
              <w:ind w:right="-165"/>
              <w:rPr>
                <w:rFonts w:cs="Times New Roman"/>
                <w:color w:val="auto"/>
                <w:szCs w:val="21"/>
                <w:highlight w:val="none"/>
                <w:lang w:eastAsia="zh-CN"/>
              </w:rPr>
            </w:pPr>
            <w:r>
              <w:rPr>
                <w:rFonts w:hint="eastAsia" w:cs="Times New Roman"/>
                <w:color w:val="auto"/>
                <w:szCs w:val="21"/>
                <w:highlight w:val="none"/>
                <w:lang w:eastAsia="zh-CN"/>
              </w:rPr>
              <w:t>以发包人或监理检查为准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trHeight w:val="737" w:hRule="atLeast"/>
          <w:jc w:val="center"/>
        </w:trPr>
        <w:tc>
          <w:tcPr>
            <w:tcW w:w="709" w:type="dxa"/>
            <w:vAlign w:val="center"/>
          </w:tcPr>
          <w:p>
            <w:pPr>
              <w:jc w:val="center"/>
              <w:rPr>
                <w:rFonts w:cs="Times New Roman"/>
                <w:color w:val="auto"/>
                <w:szCs w:val="21"/>
                <w:highlight w:val="none"/>
              </w:rPr>
            </w:pPr>
            <w:r>
              <w:rPr>
                <w:rFonts w:hint="eastAsia" w:cs="Times New Roman"/>
                <w:color w:val="auto"/>
                <w:szCs w:val="21"/>
                <w:highlight w:val="none"/>
              </w:rPr>
              <w:t>12</w:t>
            </w:r>
          </w:p>
        </w:tc>
        <w:tc>
          <w:tcPr>
            <w:tcW w:w="4536" w:type="dxa"/>
            <w:vAlign w:val="center"/>
          </w:tcPr>
          <w:p>
            <w:pPr>
              <w:rPr>
                <w:rFonts w:cs="Times New Roman"/>
                <w:color w:val="auto"/>
                <w:szCs w:val="21"/>
                <w:highlight w:val="none"/>
                <w:lang w:eastAsia="zh-CN"/>
              </w:rPr>
            </w:pPr>
            <w:r>
              <w:rPr>
                <w:rFonts w:hint="eastAsia" w:cs="Times New Roman"/>
                <w:color w:val="auto"/>
                <w:szCs w:val="21"/>
                <w:highlight w:val="none"/>
                <w:lang w:eastAsia="zh-CN"/>
              </w:rPr>
              <w:t>承包人对监理在监理通知（或工程例会、现场、联系单）中，指出的质量问题未按要求在规定的时间整改、整改不力及未回复。</w:t>
            </w:r>
          </w:p>
        </w:tc>
        <w:tc>
          <w:tcPr>
            <w:tcW w:w="2127" w:type="dxa"/>
            <w:vAlign w:val="center"/>
          </w:tcPr>
          <w:p>
            <w:pPr>
              <w:rPr>
                <w:rFonts w:cs="Times New Roman"/>
                <w:color w:val="auto"/>
                <w:szCs w:val="21"/>
                <w:highlight w:val="none"/>
              </w:rPr>
            </w:pPr>
            <w:r>
              <w:rPr>
                <w:rFonts w:hint="eastAsia" w:cs="Times New Roman"/>
                <w:color w:val="auto"/>
                <w:szCs w:val="21"/>
                <w:highlight w:val="none"/>
              </w:rPr>
              <w:t>2000~5000元／次</w:t>
            </w:r>
          </w:p>
        </w:tc>
        <w:tc>
          <w:tcPr>
            <w:tcW w:w="2268" w:type="dxa"/>
            <w:vAlign w:val="center"/>
          </w:tcPr>
          <w:p>
            <w:pPr>
              <w:rPr>
                <w:rFonts w:cs="Times New Roman"/>
                <w:color w:val="auto"/>
                <w:szCs w:val="21"/>
                <w:highlight w:val="none"/>
                <w:lang w:eastAsia="zh-CN"/>
              </w:rPr>
            </w:pPr>
            <w:r>
              <w:rPr>
                <w:rFonts w:hint="eastAsia" w:cs="Times New Roman"/>
                <w:color w:val="auto"/>
                <w:szCs w:val="21"/>
                <w:highlight w:val="none"/>
                <w:lang w:eastAsia="zh-CN"/>
              </w:rPr>
              <w:t>态度恶劣、持错不改的，罚款10000元／次</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trHeight w:val="737" w:hRule="atLeast"/>
          <w:jc w:val="center"/>
        </w:trPr>
        <w:tc>
          <w:tcPr>
            <w:tcW w:w="709" w:type="dxa"/>
            <w:vAlign w:val="center"/>
          </w:tcPr>
          <w:p>
            <w:pPr>
              <w:jc w:val="center"/>
              <w:rPr>
                <w:rFonts w:cs="Times New Roman"/>
                <w:color w:val="auto"/>
                <w:szCs w:val="21"/>
                <w:highlight w:val="none"/>
              </w:rPr>
            </w:pPr>
            <w:r>
              <w:rPr>
                <w:rFonts w:hint="eastAsia" w:cs="Times New Roman"/>
                <w:color w:val="auto"/>
                <w:szCs w:val="21"/>
                <w:highlight w:val="none"/>
              </w:rPr>
              <w:t>13</w:t>
            </w:r>
          </w:p>
        </w:tc>
        <w:tc>
          <w:tcPr>
            <w:tcW w:w="4536" w:type="dxa"/>
            <w:vAlign w:val="center"/>
          </w:tcPr>
          <w:p>
            <w:pPr>
              <w:rPr>
                <w:rFonts w:cs="Times New Roman"/>
                <w:color w:val="auto"/>
                <w:szCs w:val="21"/>
                <w:highlight w:val="none"/>
                <w:lang w:eastAsia="zh-CN"/>
              </w:rPr>
            </w:pPr>
            <w:r>
              <w:rPr>
                <w:rFonts w:hint="eastAsia" w:cs="Times New Roman"/>
                <w:color w:val="auto"/>
                <w:szCs w:val="21"/>
                <w:highlight w:val="none"/>
                <w:lang w:eastAsia="zh-CN"/>
              </w:rPr>
              <w:t>使用材料的品牌、供应厂家与投标文件约定不符，且未经发包人（监理）同意即擅自更改</w:t>
            </w:r>
          </w:p>
        </w:tc>
        <w:tc>
          <w:tcPr>
            <w:tcW w:w="2127" w:type="dxa"/>
            <w:vAlign w:val="center"/>
          </w:tcPr>
          <w:p>
            <w:pPr>
              <w:rPr>
                <w:rFonts w:cs="Times New Roman"/>
                <w:color w:val="auto"/>
                <w:szCs w:val="21"/>
                <w:highlight w:val="none"/>
                <w:lang w:eastAsia="zh-CN"/>
              </w:rPr>
            </w:pPr>
            <w:r>
              <w:rPr>
                <w:rFonts w:hint="eastAsia" w:cs="Times New Roman"/>
                <w:color w:val="auto"/>
                <w:szCs w:val="21"/>
                <w:highlight w:val="none"/>
                <w:lang w:eastAsia="zh-CN"/>
              </w:rPr>
              <w:t>除对该部分材料暂停外，并罚款10000元/次</w:t>
            </w:r>
          </w:p>
        </w:tc>
        <w:tc>
          <w:tcPr>
            <w:tcW w:w="2268" w:type="dxa"/>
            <w:vAlign w:val="center"/>
          </w:tcPr>
          <w:p>
            <w:pPr>
              <w:rPr>
                <w:rFonts w:cs="Times New Roman"/>
                <w:color w:val="auto"/>
                <w:szCs w:val="21"/>
                <w:highlight w:val="none"/>
                <w:lang w:eastAsia="zh-CN"/>
              </w:rPr>
            </w:pPr>
            <w:r>
              <w:rPr>
                <w:rFonts w:hint="eastAsia" w:cs="Times New Roman"/>
                <w:color w:val="auto"/>
                <w:szCs w:val="21"/>
                <w:highlight w:val="none"/>
                <w:lang w:eastAsia="zh-CN"/>
              </w:rPr>
              <w:t>以发包人现场记录和合同条款为依据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trHeight w:val="737" w:hRule="atLeast"/>
          <w:jc w:val="center"/>
        </w:trPr>
        <w:tc>
          <w:tcPr>
            <w:tcW w:w="709" w:type="dxa"/>
            <w:vAlign w:val="center"/>
          </w:tcPr>
          <w:p>
            <w:pPr>
              <w:jc w:val="center"/>
              <w:rPr>
                <w:rFonts w:cs="Times New Roman"/>
                <w:color w:val="auto"/>
                <w:szCs w:val="21"/>
                <w:highlight w:val="none"/>
              </w:rPr>
            </w:pPr>
            <w:r>
              <w:rPr>
                <w:rFonts w:hint="eastAsia" w:cs="Times New Roman"/>
                <w:color w:val="auto"/>
                <w:szCs w:val="21"/>
                <w:highlight w:val="none"/>
              </w:rPr>
              <w:t>1</w:t>
            </w:r>
            <w:r>
              <w:rPr>
                <w:rFonts w:cs="Times New Roman"/>
                <w:color w:val="auto"/>
                <w:szCs w:val="21"/>
                <w:highlight w:val="none"/>
              </w:rPr>
              <w:t>4</w:t>
            </w:r>
          </w:p>
        </w:tc>
        <w:tc>
          <w:tcPr>
            <w:tcW w:w="4536" w:type="dxa"/>
            <w:vAlign w:val="center"/>
          </w:tcPr>
          <w:p>
            <w:pPr>
              <w:rPr>
                <w:rFonts w:cs="Times New Roman"/>
                <w:color w:val="auto"/>
                <w:szCs w:val="21"/>
                <w:highlight w:val="none"/>
                <w:lang w:eastAsia="zh-CN"/>
              </w:rPr>
            </w:pPr>
            <w:r>
              <w:rPr>
                <w:rFonts w:hint="eastAsia" w:cs="Times New Roman"/>
                <w:color w:val="auto"/>
                <w:szCs w:val="21"/>
                <w:highlight w:val="none"/>
                <w:lang w:eastAsia="zh-CN"/>
              </w:rPr>
              <w:t>对于经检验不合格的材料，必须在24小时内见证清场，对不按规定时间清场的</w:t>
            </w:r>
          </w:p>
        </w:tc>
        <w:tc>
          <w:tcPr>
            <w:tcW w:w="2127" w:type="dxa"/>
            <w:vAlign w:val="center"/>
          </w:tcPr>
          <w:p>
            <w:pPr>
              <w:rPr>
                <w:rFonts w:cs="Times New Roman"/>
                <w:color w:val="auto"/>
                <w:szCs w:val="21"/>
                <w:highlight w:val="none"/>
              </w:rPr>
            </w:pPr>
            <w:r>
              <w:rPr>
                <w:rFonts w:hint="eastAsia" w:cs="Times New Roman"/>
                <w:color w:val="auto"/>
                <w:szCs w:val="21"/>
                <w:highlight w:val="none"/>
              </w:rPr>
              <w:t>2000元/天</w:t>
            </w:r>
          </w:p>
        </w:tc>
        <w:tc>
          <w:tcPr>
            <w:tcW w:w="2268" w:type="dxa"/>
            <w:vAlign w:val="center"/>
          </w:tcPr>
          <w:p>
            <w:pPr>
              <w:rPr>
                <w:rFonts w:cs="Times New Roman"/>
                <w:color w:val="auto"/>
                <w:szCs w:val="21"/>
                <w:highlight w:val="none"/>
                <w:lang w:eastAsia="zh-CN"/>
              </w:rPr>
            </w:pPr>
            <w:r>
              <w:rPr>
                <w:rFonts w:hint="eastAsia" w:cs="Times New Roman"/>
                <w:color w:val="auto"/>
                <w:szCs w:val="21"/>
                <w:highlight w:val="none"/>
                <w:lang w:eastAsia="zh-CN"/>
              </w:rPr>
              <w:t>以监理通知单时间为准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trHeight w:val="737" w:hRule="atLeast"/>
          <w:jc w:val="center"/>
        </w:trPr>
        <w:tc>
          <w:tcPr>
            <w:tcW w:w="709" w:type="dxa"/>
            <w:vAlign w:val="center"/>
          </w:tcPr>
          <w:p>
            <w:pPr>
              <w:jc w:val="center"/>
              <w:rPr>
                <w:rFonts w:cs="Times New Roman"/>
                <w:color w:val="auto"/>
                <w:szCs w:val="21"/>
                <w:highlight w:val="none"/>
              </w:rPr>
            </w:pPr>
            <w:r>
              <w:rPr>
                <w:rFonts w:hint="eastAsia" w:cs="Times New Roman"/>
                <w:color w:val="auto"/>
                <w:szCs w:val="21"/>
                <w:highlight w:val="none"/>
              </w:rPr>
              <w:t>1</w:t>
            </w:r>
            <w:r>
              <w:rPr>
                <w:rFonts w:cs="Times New Roman"/>
                <w:color w:val="auto"/>
                <w:szCs w:val="21"/>
                <w:highlight w:val="none"/>
              </w:rPr>
              <w:t>5</w:t>
            </w:r>
          </w:p>
        </w:tc>
        <w:tc>
          <w:tcPr>
            <w:tcW w:w="4536" w:type="dxa"/>
            <w:vAlign w:val="center"/>
          </w:tcPr>
          <w:p>
            <w:pPr>
              <w:rPr>
                <w:rFonts w:cs="Times New Roman"/>
                <w:color w:val="auto"/>
                <w:szCs w:val="21"/>
                <w:highlight w:val="none"/>
                <w:lang w:eastAsia="zh-CN"/>
              </w:rPr>
            </w:pPr>
            <w:r>
              <w:rPr>
                <w:rFonts w:hint="eastAsia" w:cs="Times New Roman"/>
                <w:color w:val="auto"/>
                <w:szCs w:val="21"/>
                <w:highlight w:val="none"/>
                <w:lang w:eastAsia="zh-CN"/>
              </w:rPr>
              <w:t>未按程序进行材料报验,、未经审核同意即投入使用的</w:t>
            </w:r>
          </w:p>
        </w:tc>
        <w:tc>
          <w:tcPr>
            <w:tcW w:w="2127" w:type="dxa"/>
            <w:vAlign w:val="center"/>
          </w:tcPr>
          <w:p>
            <w:pPr>
              <w:rPr>
                <w:rFonts w:cs="Times New Roman"/>
                <w:color w:val="auto"/>
                <w:szCs w:val="21"/>
                <w:highlight w:val="none"/>
                <w:lang w:eastAsia="zh-CN"/>
              </w:rPr>
            </w:pPr>
            <w:r>
              <w:rPr>
                <w:rFonts w:hint="eastAsia" w:cs="Times New Roman"/>
                <w:color w:val="auto"/>
                <w:szCs w:val="21"/>
                <w:highlight w:val="none"/>
                <w:lang w:eastAsia="zh-CN"/>
              </w:rPr>
              <w:t>停止使用并处罚5000元/次，并承担检测费用</w:t>
            </w:r>
          </w:p>
        </w:tc>
        <w:tc>
          <w:tcPr>
            <w:tcW w:w="2268" w:type="dxa"/>
            <w:vAlign w:val="center"/>
          </w:tcPr>
          <w:p>
            <w:pPr>
              <w:rPr>
                <w:rFonts w:cs="Times New Roman"/>
                <w:color w:val="auto"/>
                <w:szCs w:val="21"/>
                <w:highlight w:val="none"/>
                <w:lang w:eastAsia="zh-CN"/>
              </w:rPr>
            </w:pPr>
            <w:r>
              <w:rPr>
                <w:rFonts w:hint="eastAsia" w:cs="Times New Roman"/>
                <w:color w:val="auto"/>
                <w:szCs w:val="21"/>
                <w:highlight w:val="none"/>
                <w:lang w:eastAsia="zh-CN"/>
              </w:rPr>
              <w:t>以发包人现场记录为依据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trHeight w:val="737" w:hRule="atLeast"/>
          <w:jc w:val="center"/>
        </w:trPr>
        <w:tc>
          <w:tcPr>
            <w:tcW w:w="709" w:type="dxa"/>
            <w:vAlign w:val="center"/>
          </w:tcPr>
          <w:p>
            <w:pPr>
              <w:jc w:val="center"/>
              <w:rPr>
                <w:rFonts w:cs="Times New Roman"/>
                <w:color w:val="auto"/>
                <w:szCs w:val="21"/>
                <w:highlight w:val="none"/>
              </w:rPr>
            </w:pPr>
            <w:r>
              <w:rPr>
                <w:rFonts w:hint="eastAsia" w:cs="Times New Roman"/>
                <w:color w:val="auto"/>
                <w:szCs w:val="21"/>
                <w:highlight w:val="none"/>
              </w:rPr>
              <w:t>1</w:t>
            </w:r>
            <w:r>
              <w:rPr>
                <w:rFonts w:cs="Times New Roman"/>
                <w:color w:val="auto"/>
                <w:szCs w:val="21"/>
                <w:highlight w:val="none"/>
              </w:rPr>
              <w:t>6</w:t>
            </w:r>
          </w:p>
        </w:tc>
        <w:tc>
          <w:tcPr>
            <w:tcW w:w="4536" w:type="dxa"/>
            <w:vAlign w:val="center"/>
          </w:tcPr>
          <w:p>
            <w:pPr>
              <w:rPr>
                <w:rFonts w:cs="Times New Roman"/>
                <w:color w:val="auto"/>
                <w:szCs w:val="21"/>
                <w:highlight w:val="none"/>
                <w:lang w:eastAsia="zh-CN"/>
              </w:rPr>
            </w:pPr>
            <w:r>
              <w:rPr>
                <w:rFonts w:hint="eastAsia" w:cs="Times New Roman"/>
                <w:color w:val="auto"/>
                <w:szCs w:val="21"/>
                <w:highlight w:val="none"/>
                <w:lang w:eastAsia="zh-CN"/>
              </w:rPr>
              <w:t>对于明知不合格的材料，弄虚作假</w:t>
            </w:r>
          </w:p>
        </w:tc>
        <w:tc>
          <w:tcPr>
            <w:tcW w:w="2127" w:type="dxa"/>
            <w:vAlign w:val="center"/>
          </w:tcPr>
          <w:p>
            <w:pPr>
              <w:rPr>
                <w:rFonts w:cs="Times New Roman"/>
                <w:color w:val="auto"/>
                <w:szCs w:val="21"/>
                <w:highlight w:val="none"/>
              </w:rPr>
            </w:pPr>
            <w:r>
              <w:rPr>
                <w:rFonts w:hint="eastAsia" w:cs="Times New Roman"/>
                <w:color w:val="auto"/>
                <w:szCs w:val="21"/>
                <w:highlight w:val="none"/>
              </w:rPr>
              <w:t>10000元-50000元/次</w:t>
            </w:r>
          </w:p>
        </w:tc>
        <w:tc>
          <w:tcPr>
            <w:tcW w:w="2268" w:type="dxa"/>
            <w:vAlign w:val="center"/>
          </w:tcPr>
          <w:p>
            <w:pPr>
              <w:rPr>
                <w:rFonts w:cs="Times New Roman"/>
                <w:color w:val="auto"/>
                <w:szCs w:val="21"/>
                <w:highlight w:val="none"/>
                <w:lang w:eastAsia="zh-CN"/>
              </w:rPr>
            </w:pPr>
            <w:r>
              <w:rPr>
                <w:rFonts w:hint="eastAsia" w:cs="Times New Roman"/>
                <w:color w:val="auto"/>
                <w:szCs w:val="21"/>
                <w:highlight w:val="none"/>
                <w:lang w:eastAsia="zh-CN"/>
              </w:rPr>
              <w:t>以发包人现场记录为依据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trHeight w:val="737" w:hRule="atLeast"/>
          <w:jc w:val="center"/>
        </w:trPr>
        <w:tc>
          <w:tcPr>
            <w:tcW w:w="709" w:type="dxa"/>
            <w:vAlign w:val="center"/>
          </w:tcPr>
          <w:p>
            <w:pPr>
              <w:jc w:val="center"/>
              <w:rPr>
                <w:rFonts w:cs="Times New Roman"/>
                <w:color w:val="auto"/>
                <w:szCs w:val="21"/>
                <w:highlight w:val="none"/>
              </w:rPr>
            </w:pPr>
            <w:r>
              <w:rPr>
                <w:rFonts w:hint="eastAsia" w:cs="Times New Roman"/>
                <w:color w:val="auto"/>
                <w:szCs w:val="21"/>
                <w:highlight w:val="none"/>
              </w:rPr>
              <w:t>1</w:t>
            </w:r>
            <w:r>
              <w:rPr>
                <w:rFonts w:cs="Times New Roman"/>
                <w:color w:val="auto"/>
                <w:szCs w:val="21"/>
                <w:highlight w:val="none"/>
              </w:rPr>
              <w:t>7</w:t>
            </w:r>
          </w:p>
        </w:tc>
        <w:tc>
          <w:tcPr>
            <w:tcW w:w="4536" w:type="dxa"/>
            <w:vAlign w:val="center"/>
          </w:tcPr>
          <w:p>
            <w:pPr>
              <w:rPr>
                <w:rFonts w:cs="Times New Roman"/>
                <w:color w:val="auto"/>
                <w:szCs w:val="21"/>
                <w:highlight w:val="none"/>
                <w:lang w:eastAsia="zh-CN"/>
              </w:rPr>
            </w:pPr>
            <w:r>
              <w:rPr>
                <w:rFonts w:hint="eastAsia" w:cs="Times New Roman"/>
                <w:color w:val="auto"/>
                <w:szCs w:val="21"/>
                <w:highlight w:val="none"/>
                <w:lang w:eastAsia="zh-CN"/>
              </w:rPr>
              <w:t>发包人将对重要材料将不定期进行平行检测，检测结果不合格</w:t>
            </w:r>
          </w:p>
        </w:tc>
        <w:tc>
          <w:tcPr>
            <w:tcW w:w="2127" w:type="dxa"/>
            <w:vAlign w:val="center"/>
          </w:tcPr>
          <w:p>
            <w:pPr>
              <w:rPr>
                <w:rFonts w:cs="Times New Roman"/>
                <w:color w:val="auto"/>
                <w:szCs w:val="21"/>
                <w:highlight w:val="none"/>
                <w:lang w:eastAsia="zh-CN"/>
              </w:rPr>
            </w:pPr>
            <w:r>
              <w:rPr>
                <w:rFonts w:hint="eastAsia" w:cs="Times New Roman"/>
                <w:color w:val="auto"/>
                <w:szCs w:val="21"/>
                <w:highlight w:val="none"/>
                <w:lang w:eastAsia="zh-CN"/>
              </w:rPr>
              <w:t>承担材料检测费用，且该部分材料立即进行清场外，并罚款10000元/次</w:t>
            </w:r>
          </w:p>
        </w:tc>
        <w:tc>
          <w:tcPr>
            <w:tcW w:w="2268" w:type="dxa"/>
            <w:vAlign w:val="center"/>
          </w:tcPr>
          <w:p>
            <w:pPr>
              <w:rPr>
                <w:rFonts w:cs="Times New Roman"/>
                <w:color w:val="auto"/>
                <w:szCs w:val="21"/>
                <w:highlight w:val="none"/>
                <w:lang w:eastAsia="zh-CN"/>
              </w:rPr>
            </w:pPr>
            <w:r>
              <w:rPr>
                <w:rFonts w:hint="eastAsia" w:cs="Times New Roman"/>
                <w:color w:val="auto"/>
                <w:szCs w:val="21"/>
                <w:highlight w:val="none"/>
                <w:lang w:eastAsia="zh-CN"/>
              </w:rPr>
              <w:t>以发包人现场记录及检测报告为依据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trHeight w:val="737" w:hRule="atLeast"/>
          <w:jc w:val="center"/>
        </w:trPr>
        <w:tc>
          <w:tcPr>
            <w:tcW w:w="709" w:type="dxa"/>
            <w:vAlign w:val="center"/>
          </w:tcPr>
          <w:p>
            <w:pPr>
              <w:jc w:val="center"/>
              <w:rPr>
                <w:rFonts w:cs="Times New Roman"/>
                <w:color w:val="auto"/>
                <w:szCs w:val="21"/>
                <w:highlight w:val="none"/>
              </w:rPr>
            </w:pPr>
            <w:r>
              <w:rPr>
                <w:rFonts w:hint="eastAsia" w:cs="Times New Roman"/>
                <w:color w:val="auto"/>
                <w:szCs w:val="21"/>
                <w:highlight w:val="none"/>
              </w:rPr>
              <w:t>1</w:t>
            </w:r>
            <w:r>
              <w:rPr>
                <w:rFonts w:cs="Times New Roman"/>
                <w:color w:val="auto"/>
                <w:szCs w:val="21"/>
                <w:highlight w:val="none"/>
              </w:rPr>
              <w:t>8</w:t>
            </w:r>
          </w:p>
        </w:tc>
        <w:tc>
          <w:tcPr>
            <w:tcW w:w="4536" w:type="dxa"/>
            <w:vAlign w:val="center"/>
          </w:tcPr>
          <w:p>
            <w:pPr>
              <w:rPr>
                <w:rFonts w:cs="Times New Roman"/>
                <w:color w:val="auto"/>
                <w:szCs w:val="21"/>
                <w:highlight w:val="none"/>
                <w:lang w:eastAsia="zh-CN"/>
              </w:rPr>
            </w:pPr>
            <w:r>
              <w:rPr>
                <w:rFonts w:hint="eastAsia" w:cs="Times New Roman"/>
                <w:color w:val="auto"/>
                <w:szCs w:val="21"/>
                <w:highlight w:val="none"/>
                <w:lang w:eastAsia="zh-CN"/>
              </w:rPr>
              <w:t>建筑材料、配件及设备进场检验不合格，采用列入禁止目录的技术、工艺、设备、材料和产品或者未按照建筑节能设计要求和建筑节能施工规范进行施工。</w:t>
            </w:r>
          </w:p>
        </w:tc>
        <w:tc>
          <w:tcPr>
            <w:tcW w:w="2127" w:type="dxa"/>
            <w:vAlign w:val="center"/>
          </w:tcPr>
          <w:p>
            <w:pPr>
              <w:rPr>
                <w:rFonts w:cs="Times New Roman"/>
                <w:color w:val="auto"/>
                <w:szCs w:val="21"/>
                <w:highlight w:val="none"/>
                <w:lang w:eastAsia="zh-CN"/>
              </w:rPr>
            </w:pPr>
            <w:r>
              <w:rPr>
                <w:rFonts w:hint="eastAsia" w:cs="Times New Roman"/>
                <w:color w:val="auto"/>
                <w:szCs w:val="21"/>
                <w:highlight w:val="none"/>
                <w:lang w:eastAsia="zh-CN"/>
              </w:rPr>
              <w:t>视情节严重程度罚款1000~20000元/次</w:t>
            </w:r>
          </w:p>
        </w:tc>
        <w:tc>
          <w:tcPr>
            <w:tcW w:w="2268" w:type="dxa"/>
            <w:vAlign w:val="center"/>
          </w:tcPr>
          <w:p>
            <w:pPr>
              <w:rPr>
                <w:rFonts w:cs="Times New Roman"/>
                <w:color w:val="auto"/>
                <w:szCs w:val="21"/>
                <w:highlight w:val="none"/>
                <w:lang w:eastAsia="zh-C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trHeight w:val="737" w:hRule="atLeast"/>
          <w:jc w:val="center"/>
        </w:trPr>
        <w:tc>
          <w:tcPr>
            <w:tcW w:w="709" w:type="dxa"/>
            <w:vAlign w:val="center"/>
          </w:tcPr>
          <w:p>
            <w:pPr>
              <w:jc w:val="center"/>
              <w:rPr>
                <w:rFonts w:cs="Times New Roman"/>
                <w:color w:val="auto"/>
                <w:szCs w:val="21"/>
                <w:highlight w:val="none"/>
              </w:rPr>
            </w:pPr>
            <w:r>
              <w:rPr>
                <w:rFonts w:cs="Times New Roman"/>
                <w:color w:val="auto"/>
                <w:szCs w:val="21"/>
                <w:highlight w:val="none"/>
              </w:rPr>
              <w:t>19</w:t>
            </w:r>
          </w:p>
        </w:tc>
        <w:tc>
          <w:tcPr>
            <w:tcW w:w="4536" w:type="dxa"/>
            <w:vAlign w:val="center"/>
          </w:tcPr>
          <w:p>
            <w:pPr>
              <w:rPr>
                <w:rFonts w:cs="Times New Roman"/>
                <w:color w:val="auto"/>
                <w:szCs w:val="21"/>
                <w:highlight w:val="none"/>
                <w:lang w:eastAsia="zh-CN"/>
              </w:rPr>
            </w:pPr>
            <w:r>
              <w:rPr>
                <w:rFonts w:hint="eastAsia" w:cs="Times New Roman"/>
                <w:color w:val="auto"/>
                <w:szCs w:val="21"/>
                <w:highlight w:val="none"/>
                <w:lang w:eastAsia="zh-CN"/>
              </w:rPr>
              <w:t>所有需检测的</w:t>
            </w:r>
            <w:r>
              <w:rPr>
                <w:rFonts w:hint="eastAsia" w:cs="Times New Roman"/>
                <w:bCs/>
                <w:color w:val="auto"/>
                <w:szCs w:val="21"/>
                <w:highlight w:val="none"/>
                <w:lang w:eastAsia="zh-CN"/>
              </w:rPr>
              <w:t>材料在取得见证送检合格报告后才能使用，若提前擅自使用</w:t>
            </w:r>
          </w:p>
        </w:tc>
        <w:tc>
          <w:tcPr>
            <w:tcW w:w="2127" w:type="dxa"/>
            <w:vAlign w:val="center"/>
          </w:tcPr>
          <w:p>
            <w:pPr>
              <w:rPr>
                <w:rFonts w:cs="Times New Roman"/>
                <w:color w:val="auto"/>
                <w:szCs w:val="21"/>
                <w:highlight w:val="none"/>
                <w:lang w:eastAsia="zh-CN"/>
              </w:rPr>
            </w:pPr>
            <w:r>
              <w:rPr>
                <w:rFonts w:hint="eastAsia" w:cs="Times New Roman"/>
                <w:color w:val="auto"/>
                <w:szCs w:val="21"/>
                <w:highlight w:val="none"/>
                <w:lang w:eastAsia="zh-CN"/>
              </w:rPr>
              <w:t>视情节严重程度罚款1000~20000元/次</w:t>
            </w:r>
          </w:p>
        </w:tc>
        <w:tc>
          <w:tcPr>
            <w:tcW w:w="2268" w:type="dxa"/>
            <w:vAlign w:val="center"/>
          </w:tcPr>
          <w:p>
            <w:pPr>
              <w:rPr>
                <w:rFonts w:cs="Times New Roman"/>
                <w:color w:val="auto"/>
                <w:szCs w:val="21"/>
                <w:highlight w:val="none"/>
                <w:lang w:eastAsia="zh-CN"/>
              </w:rPr>
            </w:pPr>
            <w:r>
              <w:rPr>
                <w:rFonts w:hint="eastAsia" w:cs="Times New Roman"/>
                <w:color w:val="auto"/>
                <w:szCs w:val="21"/>
                <w:highlight w:val="none"/>
                <w:lang w:eastAsia="zh-CN"/>
              </w:rPr>
              <w:t>以发包人现场记录为依据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trHeight w:val="737" w:hRule="atLeast"/>
          <w:jc w:val="center"/>
        </w:trPr>
        <w:tc>
          <w:tcPr>
            <w:tcW w:w="709" w:type="dxa"/>
            <w:vAlign w:val="center"/>
          </w:tcPr>
          <w:p>
            <w:pPr>
              <w:jc w:val="center"/>
              <w:rPr>
                <w:rFonts w:cs="Times New Roman"/>
                <w:color w:val="auto"/>
                <w:szCs w:val="21"/>
                <w:highlight w:val="none"/>
              </w:rPr>
            </w:pPr>
            <w:r>
              <w:rPr>
                <w:rFonts w:cs="Times New Roman"/>
                <w:color w:val="auto"/>
                <w:szCs w:val="21"/>
                <w:highlight w:val="none"/>
              </w:rPr>
              <w:t>20</w:t>
            </w:r>
          </w:p>
        </w:tc>
        <w:tc>
          <w:tcPr>
            <w:tcW w:w="4536" w:type="dxa"/>
            <w:vAlign w:val="center"/>
          </w:tcPr>
          <w:p>
            <w:pPr>
              <w:rPr>
                <w:rFonts w:cs="Times New Roman"/>
                <w:color w:val="auto"/>
                <w:szCs w:val="21"/>
                <w:highlight w:val="none"/>
                <w:lang w:eastAsia="zh-CN"/>
              </w:rPr>
            </w:pPr>
            <w:r>
              <w:rPr>
                <w:rFonts w:hint="eastAsia" w:cs="Times New Roman"/>
                <w:bCs/>
                <w:color w:val="auto"/>
                <w:szCs w:val="21"/>
                <w:highlight w:val="none"/>
                <w:lang w:eastAsia="zh-CN"/>
              </w:rPr>
              <w:t>送检的试验报告，最迟在检测部门发出的第二天下午17：00前报监理，每拖延一天</w:t>
            </w:r>
          </w:p>
        </w:tc>
        <w:tc>
          <w:tcPr>
            <w:tcW w:w="2127" w:type="dxa"/>
            <w:vAlign w:val="center"/>
          </w:tcPr>
          <w:p>
            <w:pPr>
              <w:rPr>
                <w:rFonts w:cs="Times New Roman"/>
                <w:color w:val="auto"/>
                <w:szCs w:val="21"/>
                <w:highlight w:val="none"/>
              </w:rPr>
            </w:pPr>
            <w:r>
              <w:rPr>
                <w:rFonts w:hint="eastAsia" w:cs="Times New Roman"/>
                <w:bCs/>
                <w:color w:val="auto"/>
                <w:szCs w:val="21"/>
                <w:highlight w:val="none"/>
              </w:rPr>
              <w:t>500元/天</w:t>
            </w:r>
          </w:p>
        </w:tc>
        <w:tc>
          <w:tcPr>
            <w:tcW w:w="2268" w:type="dxa"/>
            <w:vAlign w:val="center"/>
          </w:tcPr>
          <w:p>
            <w:pPr>
              <w:rPr>
                <w:rFonts w:cs="Times New Roman"/>
                <w:color w:val="auto"/>
                <w:szCs w:val="21"/>
                <w:highlight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trHeight w:val="737" w:hRule="atLeast"/>
          <w:jc w:val="center"/>
        </w:trPr>
        <w:tc>
          <w:tcPr>
            <w:tcW w:w="709" w:type="dxa"/>
            <w:vAlign w:val="center"/>
          </w:tcPr>
          <w:p>
            <w:pPr>
              <w:jc w:val="center"/>
              <w:rPr>
                <w:rFonts w:cs="Times New Roman"/>
                <w:color w:val="auto"/>
                <w:szCs w:val="21"/>
                <w:highlight w:val="none"/>
              </w:rPr>
            </w:pPr>
            <w:r>
              <w:rPr>
                <w:rFonts w:hint="eastAsia" w:cs="Times New Roman"/>
                <w:color w:val="auto"/>
                <w:szCs w:val="21"/>
                <w:highlight w:val="none"/>
              </w:rPr>
              <w:t>2</w:t>
            </w:r>
            <w:r>
              <w:rPr>
                <w:rFonts w:cs="Times New Roman"/>
                <w:color w:val="auto"/>
                <w:szCs w:val="21"/>
                <w:highlight w:val="none"/>
              </w:rPr>
              <w:t>1</w:t>
            </w:r>
          </w:p>
        </w:tc>
        <w:tc>
          <w:tcPr>
            <w:tcW w:w="4536" w:type="dxa"/>
            <w:vAlign w:val="center"/>
          </w:tcPr>
          <w:p>
            <w:pPr>
              <w:rPr>
                <w:rFonts w:cs="Times New Roman"/>
                <w:color w:val="auto"/>
                <w:szCs w:val="21"/>
                <w:highlight w:val="none"/>
                <w:lang w:eastAsia="zh-CN"/>
              </w:rPr>
            </w:pPr>
            <w:r>
              <w:rPr>
                <w:rFonts w:hint="eastAsia" w:cs="Times New Roman"/>
                <w:bCs/>
                <w:color w:val="auto"/>
                <w:szCs w:val="21"/>
                <w:highlight w:val="none"/>
                <w:lang w:eastAsia="zh-CN"/>
              </w:rPr>
              <w:t>提供</w:t>
            </w:r>
            <w:r>
              <w:rPr>
                <w:rFonts w:hint="eastAsia" w:cs="Times New Roman"/>
                <w:color w:val="auto"/>
                <w:szCs w:val="21"/>
                <w:highlight w:val="none"/>
                <w:lang w:eastAsia="zh-CN"/>
              </w:rPr>
              <w:t>弄虚作假的材料</w:t>
            </w:r>
            <w:r>
              <w:rPr>
                <w:rFonts w:hint="eastAsia" w:cs="Times New Roman"/>
                <w:bCs/>
                <w:color w:val="auto"/>
                <w:szCs w:val="21"/>
                <w:highlight w:val="none"/>
                <w:lang w:eastAsia="zh-CN"/>
              </w:rPr>
              <w:t>送检报告</w:t>
            </w:r>
          </w:p>
        </w:tc>
        <w:tc>
          <w:tcPr>
            <w:tcW w:w="2127" w:type="dxa"/>
            <w:vAlign w:val="center"/>
          </w:tcPr>
          <w:p>
            <w:pPr>
              <w:rPr>
                <w:rFonts w:cs="Times New Roman"/>
                <w:color w:val="auto"/>
                <w:szCs w:val="21"/>
                <w:highlight w:val="none"/>
                <w:lang w:eastAsia="zh-CN"/>
              </w:rPr>
            </w:pPr>
            <w:r>
              <w:rPr>
                <w:rFonts w:hint="eastAsia" w:cs="Times New Roman"/>
                <w:color w:val="auto"/>
                <w:szCs w:val="21"/>
                <w:highlight w:val="none"/>
                <w:lang w:eastAsia="zh-CN"/>
              </w:rPr>
              <w:t>该部分材料立即进行清场并罚款10000元/次</w:t>
            </w:r>
          </w:p>
        </w:tc>
        <w:tc>
          <w:tcPr>
            <w:tcW w:w="2268" w:type="dxa"/>
            <w:vAlign w:val="center"/>
          </w:tcPr>
          <w:p>
            <w:pPr>
              <w:rPr>
                <w:rFonts w:cs="Times New Roman"/>
                <w:color w:val="auto"/>
                <w:szCs w:val="21"/>
                <w:highlight w:val="none"/>
                <w:lang w:eastAsia="zh-CN"/>
              </w:rPr>
            </w:pPr>
            <w:r>
              <w:rPr>
                <w:rFonts w:hint="eastAsia" w:cs="Times New Roman"/>
                <w:color w:val="auto"/>
                <w:szCs w:val="21"/>
                <w:highlight w:val="none"/>
                <w:lang w:eastAsia="zh-CN"/>
              </w:rPr>
              <w:t>以发包人、监理记录为依据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trHeight w:val="737" w:hRule="atLeast"/>
          <w:jc w:val="center"/>
        </w:trPr>
        <w:tc>
          <w:tcPr>
            <w:tcW w:w="709" w:type="dxa"/>
            <w:vAlign w:val="center"/>
          </w:tcPr>
          <w:p>
            <w:pPr>
              <w:jc w:val="center"/>
              <w:rPr>
                <w:rFonts w:cs="Times New Roman"/>
                <w:color w:val="auto"/>
                <w:szCs w:val="21"/>
                <w:highlight w:val="none"/>
              </w:rPr>
            </w:pPr>
            <w:r>
              <w:rPr>
                <w:rFonts w:hint="eastAsia" w:cs="Times New Roman"/>
                <w:color w:val="auto"/>
                <w:szCs w:val="21"/>
                <w:highlight w:val="none"/>
              </w:rPr>
              <w:t>2</w:t>
            </w:r>
            <w:r>
              <w:rPr>
                <w:rFonts w:cs="Times New Roman"/>
                <w:color w:val="auto"/>
                <w:szCs w:val="21"/>
                <w:highlight w:val="none"/>
              </w:rPr>
              <w:t>2</w:t>
            </w:r>
          </w:p>
        </w:tc>
        <w:tc>
          <w:tcPr>
            <w:tcW w:w="4536" w:type="dxa"/>
            <w:vAlign w:val="center"/>
          </w:tcPr>
          <w:p>
            <w:pPr>
              <w:rPr>
                <w:rFonts w:cs="Times New Roman"/>
                <w:color w:val="auto"/>
                <w:szCs w:val="21"/>
                <w:highlight w:val="none"/>
                <w:lang w:eastAsia="zh-CN"/>
              </w:rPr>
            </w:pPr>
            <w:r>
              <w:rPr>
                <w:rFonts w:hint="eastAsia" w:cs="Times New Roman"/>
                <w:color w:val="auto"/>
                <w:szCs w:val="21"/>
                <w:highlight w:val="none"/>
                <w:lang w:eastAsia="zh-CN"/>
              </w:rPr>
              <w:t>承包人不按既定方案或承诺的措施及时处理质量缺陷</w:t>
            </w:r>
          </w:p>
        </w:tc>
        <w:tc>
          <w:tcPr>
            <w:tcW w:w="2127" w:type="dxa"/>
            <w:vAlign w:val="center"/>
          </w:tcPr>
          <w:p>
            <w:pPr>
              <w:rPr>
                <w:rFonts w:cs="Times New Roman"/>
                <w:color w:val="auto"/>
                <w:szCs w:val="21"/>
                <w:highlight w:val="none"/>
                <w:lang w:eastAsia="zh-CN"/>
              </w:rPr>
            </w:pPr>
            <w:r>
              <w:rPr>
                <w:rFonts w:hint="eastAsia" w:cs="Times New Roman"/>
                <w:color w:val="auto"/>
                <w:szCs w:val="21"/>
                <w:highlight w:val="none"/>
                <w:lang w:eastAsia="zh-CN"/>
              </w:rPr>
              <w:t>视情节严重程度罚款1000~20000元/次</w:t>
            </w:r>
          </w:p>
        </w:tc>
        <w:tc>
          <w:tcPr>
            <w:tcW w:w="2268" w:type="dxa"/>
            <w:vAlign w:val="center"/>
          </w:tcPr>
          <w:p>
            <w:pPr>
              <w:rPr>
                <w:rFonts w:cs="Times New Roman"/>
                <w:color w:val="auto"/>
                <w:szCs w:val="21"/>
                <w:highlight w:val="none"/>
                <w:lang w:eastAsia="zh-CN"/>
              </w:rPr>
            </w:pPr>
            <w:r>
              <w:rPr>
                <w:rFonts w:hint="eastAsia" w:cs="Times New Roman"/>
                <w:color w:val="auto"/>
                <w:szCs w:val="21"/>
                <w:highlight w:val="none"/>
                <w:lang w:eastAsia="zh-CN"/>
              </w:rPr>
              <w:t>以发包人现场记录为依据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trHeight w:val="737" w:hRule="atLeast"/>
          <w:jc w:val="center"/>
        </w:trPr>
        <w:tc>
          <w:tcPr>
            <w:tcW w:w="709" w:type="dxa"/>
            <w:vAlign w:val="center"/>
          </w:tcPr>
          <w:p>
            <w:pPr>
              <w:jc w:val="center"/>
              <w:rPr>
                <w:rFonts w:cs="Times New Roman"/>
                <w:color w:val="auto"/>
                <w:szCs w:val="21"/>
                <w:highlight w:val="none"/>
              </w:rPr>
            </w:pPr>
            <w:r>
              <w:rPr>
                <w:rFonts w:hint="eastAsia" w:cs="Times New Roman"/>
                <w:color w:val="auto"/>
                <w:szCs w:val="21"/>
                <w:highlight w:val="none"/>
              </w:rPr>
              <w:t>2</w:t>
            </w:r>
            <w:r>
              <w:rPr>
                <w:rFonts w:cs="Times New Roman"/>
                <w:color w:val="auto"/>
                <w:szCs w:val="21"/>
                <w:highlight w:val="none"/>
              </w:rPr>
              <w:t>3</w:t>
            </w:r>
          </w:p>
        </w:tc>
        <w:tc>
          <w:tcPr>
            <w:tcW w:w="4536" w:type="dxa"/>
            <w:vAlign w:val="center"/>
          </w:tcPr>
          <w:p>
            <w:pPr>
              <w:rPr>
                <w:rFonts w:cs="Times New Roman"/>
                <w:color w:val="auto"/>
                <w:szCs w:val="21"/>
                <w:highlight w:val="none"/>
                <w:lang w:eastAsia="zh-CN"/>
              </w:rPr>
            </w:pPr>
            <w:r>
              <w:rPr>
                <w:rFonts w:hint="eastAsia" w:cs="Times New Roman"/>
                <w:color w:val="auto"/>
                <w:szCs w:val="21"/>
                <w:highlight w:val="none"/>
                <w:lang w:eastAsia="zh-CN"/>
              </w:rPr>
              <w:t>施工时发现质量问题或有导致质量问题的隐患，发包人（监理）在现场作出处理决定后，承包人拒不执行</w:t>
            </w:r>
          </w:p>
        </w:tc>
        <w:tc>
          <w:tcPr>
            <w:tcW w:w="2127" w:type="dxa"/>
            <w:vAlign w:val="center"/>
          </w:tcPr>
          <w:p>
            <w:pPr>
              <w:rPr>
                <w:rFonts w:cs="Times New Roman"/>
                <w:color w:val="auto"/>
                <w:szCs w:val="21"/>
                <w:highlight w:val="none"/>
              </w:rPr>
            </w:pPr>
            <w:r>
              <w:rPr>
                <w:rFonts w:hint="eastAsia" w:cs="Times New Roman"/>
                <w:color w:val="auto"/>
                <w:szCs w:val="21"/>
                <w:highlight w:val="none"/>
              </w:rPr>
              <w:t>20000元/次</w:t>
            </w:r>
          </w:p>
        </w:tc>
        <w:tc>
          <w:tcPr>
            <w:tcW w:w="2268" w:type="dxa"/>
            <w:vAlign w:val="center"/>
          </w:tcPr>
          <w:p>
            <w:pPr>
              <w:rPr>
                <w:rFonts w:cs="Times New Roman"/>
                <w:color w:val="auto"/>
                <w:szCs w:val="21"/>
                <w:highlight w:val="none"/>
                <w:lang w:eastAsia="zh-CN"/>
              </w:rPr>
            </w:pPr>
            <w:r>
              <w:rPr>
                <w:rFonts w:hint="eastAsia" w:cs="Times New Roman"/>
                <w:color w:val="auto"/>
                <w:szCs w:val="21"/>
                <w:highlight w:val="none"/>
                <w:lang w:eastAsia="zh-CN"/>
              </w:rPr>
              <w:t>以发包人现场记录为依据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trHeight w:val="56" w:hRule="atLeast"/>
          <w:jc w:val="center"/>
        </w:trPr>
        <w:tc>
          <w:tcPr>
            <w:tcW w:w="709" w:type="dxa"/>
            <w:vAlign w:val="center"/>
          </w:tcPr>
          <w:p>
            <w:pPr>
              <w:jc w:val="center"/>
              <w:rPr>
                <w:rFonts w:cs="Times New Roman"/>
                <w:color w:val="auto"/>
                <w:szCs w:val="21"/>
                <w:highlight w:val="none"/>
              </w:rPr>
            </w:pPr>
            <w:r>
              <w:rPr>
                <w:rFonts w:hint="eastAsia" w:cs="Times New Roman"/>
                <w:color w:val="auto"/>
                <w:szCs w:val="21"/>
                <w:highlight w:val="none"/>
              </w:rPr>
              <w:t>2</w:t>
            </w:r>
            <w:r>
              <w:rPr>
                <w:rFonts w:cs="Times New Roman"/>
                <w:color w:val="auto"/>
                <w:szCs w:val="21"/>
                <w:highlight w:val="none"/>
              </w:rPr>
              <w:t>4</w:t>
            </w:r>
          </w:p>
        </w:tc>
        <w:tc>
          <w:tcPr>
            <w:tcW w:w="4536" w:type="dxa"/>
            <w:vAlign w:val="center"/>
          </w:tcPr>
          <w:p>
            <w:pPr>
              <w:rPr>
                <w:rFonts w:cs="Times New Roman"/>
                <w:color w:val="auto"/>
                <w:szCs w:val="21"/>
                <w:highlight w:val="none"/>
                <w:lang w:eastAsia="zh-CN"/>
              </w:rPr>
            </w:pPr>
            <w:r>
              <w:rPr>
                <w:rFonts w:hint="eastAsia" w:cs="Times New Roman"/>
                <w:color w:val="auto"/>
                <w:szCs w:val="21"/>
                <w:highlight w:val="none"/>
                <w:lang w:eastAsia="zh-CN"/>
              </w:rPr>
              <w:t>因承包人不按施工规范操作，同样质量问题多次重复发生的，视为内部质量管理混乱</w:t>
            </w:r>
          </w:p>
        </w:tc>
        <w:tc>
          <w:tcPr>
            <w:tcW w:w="2127" w:type="dxa"/>
            <w:vAlign w:val="center"/>
          </w:tcPr>
          <w:p>
            <w:pPr>
              <w:rPr>
                <w:rFonts w:cs="Times New Roman"/>
                <w:color w:val="auto"/>
                <w:szCs w:val="21"/>
                <w:highlight w:val="none"/>
                <w:lang w:eastAsia="zh-CN"/>
              </w:rPr>
            </w:pPr>
            <w:r>
              <w:rPr>
                <w:rFonts w:hint="eastAsia" w:cs="Times New Roman"/>
                <w:color w:val="auto"/>
                <w:szCs w:val="21"/>
                <w:highlight w:val="none"/>
                <w:lang w:eastAsia="zh-CN"/>
              </w:rPr>
              <w:t>视情节严重程度罚款1000~20000元/次</w:t>
            </w:r>
          </w:p>
        </w:tc>
        <w:tc>
          <w:tcPr>
            <w:tcW w:w="2268" w:type="dxa"/>
            <w:vAlign w:val="center"/>
          </w:tcPr>
          <w:p>
            <w:pPr>
              <w:rPr>
                <w:rFonts w:cs="Times New Roman"/>
                <w:color w:val="auto"/>
                <w:szCs w:val="21"/>
                <w:highlight w:val="none"/>
                <w:lang w:eastAsia="zh-CN"/>
              </w:rPr>
            </w:pPr>
            <w:r>
              <w:rPr>
                <w:rFonts w:hint="eastAsia" w:cs="Times New Roman"/>
                <w:color w:val="auto"/>
                <w:szCs w:val="21"/>
                <w:highlight w:val="none"/>
                <w:lang w:eastAsia="zh-CN"/>
              </w:rPr>
              <w:t>以发包人、监理记录为依据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trHeight w:val="269" w:hRule="atLeast"/>
          <w:jc w:val="center"/>
        </w:trPr>
        <w:tc>
          <w:tcPr>
            <w:tcW w:w="709" w:type="dxa"/>
            <w:vAlign w:val="center"/>
          </w:tcPr>
          <w:p>
            <w:pPr>
              <w:widowControl/>
              <w:jc w:val="center"/>
              <w:rPr>
                <w:color w:val="auto"/>
                <w:szCs w:val="21"/>
                <w:highlight w:val="none"/>
              </w:rPr>
            </w:pPr>
            <w:r>
              <w:rPr>
                <w:rFonts w:hint="eastAsia"/>
                <w:color w:val="auto"/>
                <w:szCs w:val="21"/>
                <w:highlight w:val="none"/>
              </w:rPr>
              <w:t>2</w:t>
            </w:r>
            <w:r>
              <w:rPr>
                <w:color w:val="auto"/>
                <w:szCs w:val="21"/>
                <w:highlight w:val="none"/>
              </w:rPr>
              <w:t>5</w:t>
            </w:r>
          </w:p>
        </w:tc>
        <w:tc>
          <w:tcPr>
            <w:tcW w:w="4536" w:type="dxa"/>
            <w:vAlign w:val="center"/>
          </w:tcPr>
          <w:p>
            <w:pPr>
              <w:widowControl/>
              <w:rPr>
                <w:rFonts w:cs="Times New Roman"/>
                <w:color w:val="auto"/>
                <w:szCs w:val="21"/>
                <w:highlight w:val="none"/>
                <w:lang w:eastAsia="zh-CN"/>
              </w:rPr>
            </w:pPr>
            <w:r>
              <w:rPr>
                <w:rFonts w:hint="eastAsia" w:cs="Times New Roman"/>
                <w:color w:val="auto"/>
                <w:szCs w:val="21"/>
                <w:highlight w:val="none"/>
                <w:lang w:eastAsia="zh-CN"/>
              </w:rPr>
              <w:t>关键工序的质量存在问题，故意隐瞒不报。</w:t>
            </w:r>
          </w:p>
        </w:tc>
        <w:tc>
          <w:tcPr>
            <w:tcW w:w="2127" w:type="dxa"/>
            <w:vAlign w:val="center"/>
          </w:tcPr>
          <w:p>
            <w:pPr>
              <w:widowControl/>
              <w:rPr>
                <w:color w:val="auto"/>
                <w:szCs w:val="21"/>
                <w:highlight w:val="none"/>
                <w:lang w:eastAsia="zh-CN"/>
              </w:rPr>
            </w:pPr>
            <w:r>
              <w:rPr>
                <w:rFonts w:hint="eastAsia" w:cs="Times New Roman"/>
                <w:color w:val="auto"/>
                <w:szCs w:val="21"/>
                <w:highlight w:val="none"/>
                <w:lang w:eastAsia="zh-CN"/>
              </w:rPr>
              <w:t>视情节严重程度罚款1000~20000元/次</w:t>
            </w:r>
          </w:p>
        </w:tc>
        <w:tc>
          <w:tcPr>
            <w:tcW w:w="2268" w:type="dxa"/>
            <w:vAlign w:val="center"/>
          </w:tcPr>
          <w:p>
            <w:pPr>
              <w:spacing w:before="93" w:after="93"/>
              <w:rPr>
                <w:rFonts w:cs="Arial"/>
                <w:color w:val="auto"/>
                <w:szCs w:val="21"/>
                <w:highlight w:val="none"/>
                <w:lang w:eastAsia="zh-CN"/>
              </w:rPr>
            </w:pPr>
            <w:r>
              <w:rPr>
                <w:rFonts w:hint="eastAsia" w:cs="Arial"/>
                <w:color w:val="auto"/>
                <w:szCs w:val="21"/>
                <w:highlight w:val="none"/>
                <w:lang w:eastAsia="zh-CN"/>
              </w:rPr>
              <w:t>以发包人、监理现场记录为依据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trHeight w:val="269" w:hRule="atLeast"/>
          <w:jc w:val="center"/>
        </w:trPr>
        <w:tc>
          <w:tcPr>
            <w:tcW w:w="709" w:type="dxa"/>
            <w:vAlign w:val="center"/>
          </w:tcPr>
          <w:p>
            <w:pPr>
              <w:widowControl/>
              <w:jc w:val="center"/>
              <w:rPr>
                <w:color w:val="auto"/>
                <w:szCs w:val="21"/>
                <w:highlight w:val="none"/>
              </w:rPr>
            </w:pPr>
            <w:r>
              <w:rPr>
                <w:color w:val="auto"/>
                <w:szCs w:val="21"/>
                <w:highlight w:val="none"/>
              </w:rPr>
              <w:t>26</w:t>
            </w:r>
          </w:p>
        </w:tc>
        <w:tc>
          <w:tcPr>
            <w:tcW w:w="4536" w:type="dxa"/>
            <w:vAlign w:val="center"/>
          </w:tcPr>
          <w:p>
            <w:pPr>
              <w:widowControl/>
              <w:rPr>
                <w:rFonts w:cs="Times New Roman"/>
                <w:color w:val="auto"/>
                <w:szCs w:val="21"/>
                <w:highlight w:val="none"/>
                <w:lang w:eastAsia="zh-CN"/>
              </w:rPr>
            </w:pPr>
            <w:r>
              <w:rPr>
                <w:rFonts w:hint="eastAsia" w:cs="Times New Roman"/>
                <w:color w:val="auto"/>
                <w:szCs w:val="21"/>
                <w:highlight w:val="none"/>
                <w:lang w:eastAsia="zh-CN"/>
              </w:rPr>
              <w:t>上报归档的技术质保资料不真实，不准确。</w:t>
            </w:r>
          </w:p>
        </w:tc>
        <w:tc>
          <w:tcPr>
            <w:tcW w:w="2127" w:type="dxa"/>
            <w:vAlign w:val="center"/>
          </w:tcPr>
          <w:p>
            <w:pPr>
              <w:widowControl/>
              <w:rPr>
                <w:color w:val="auto"/>
                <w:szCs w:val="21"/>
                <w:highlight w:val="none"/>
              </w:rPr>
            </w:pPr>
            <w:r>
              <w:rPr>
                <w:rFonts w:hint="eastAsia"/>
                <w:color w:val="auto"/>
                <w:szCs w:val="21"/>
                <w:highlight w:val="none"/>
              </w:rPr>
              <w:t>1000～2000元/次</w:t>
            </w:r>
          </w:p>
        </w:tc>
        <w:tc>
          <w:tcPr>
            <w:tcW w:w="2268" w:type="dxa"/>
            <w:vAlign w:val="center"/>
          </w:tcPr>
          <w:p>
            <w:pPr>
              <w:spacing w:before="93" w:after="93"/>
              <w:rPr>
                <w:rFonts w:cs="Arial"/>
                <w:color w:val="auto"/>
                <w:szCs w:val="21"/>
                <w:highlight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trHeight w:val="645" w:hRule="atLeast"/>
          <w:jc w:val="center"/>
        </w:trPr>
        <w:tc>
          <w:tcPr>
            <w:tcW w:w="709" w:type="dxa"/>
            <w:vAlign w:val="center"/>
          </w:tcPr>
          <w:p>
            <w:pPr>
              <w:jc w:val="center"/>
              <w:rPr>
                <w:rFonts w:cs="Times New Roman"/>
                <w:color w:val="auto"/>
                <w:szCs w:val="21"/>
                <w:highlight w:val="none"/>
              </w:rPr>
            </w:pPr>
            <w:r>
              <w:rPr>
                <w:rFonts w:cs="Times New Roman"/>
                <w:color w:val="auto"/>
                <w:szCs w:val="21"/>
                <w:highlight w:val="none"/>
              </w:rPr>
              <w:t>27</w:t>
            </w:r>
          </w:p>
        </w:tc>
        <w:tc>
          <w:tcPr>
            <w:tcW w:w="4536" w:type="dxa"/>
            <w:vAlign w:val="center"/>
          </w:tcPr>
          <w:p>
            <w:pPr>
              <w:spacing w:before="93" w:after="93"/>
              <w:rPr>
                <w:rFonts w:cs="Times New Roman"/>
                <w:color w:val="auto"/>
                <w:szCs w:val="21"/>
                <w:highlight w:val="none"/>
                <w:lang w:eastAsia="zh-CN"/>
              </w:rPr>
            </w:pPr>
            <w:r>
              <w:rPr>
                <w:rFonts w:cs="Times New Roman"/>
                <w:color w:val="auto"/>
                <w:szCs w:val="21"/>
                <w:highlight w:val="none"/>
                <w:lang w:eastAsia="zh-CN"/>
              </w:rPr>
              <w:t>不按</w:t>
            </w:r>
            <w:r>
              <w:rPr>
                <w:rFonts w:hint="eastAsia" w:cs="Times New Roman"/>
                <w:color w:val="auto"/>
                <w:szCs w:val="21"/>
                <w:highlight w:val="none"/>
                <w:lang w:eastAsia="zh-CN"/>
              </w:rPr>
              <w:t>规范、设计</w:t>
            </w:r>
            <w:r>
              <w:rPr>
                <w:rFonts w:cs="Times New Roman"/>
                <w:color w:val="auto"/>
                <w:szCs w:val="21"/>
                <w:highlight w:val="none"/>
                <w:lang w:eastAsia="zh-CN"/>
              </w:rPr>
              <w:t>要求施工</w:t>
            </w:r>
            <w:r>
              <w:rPr>
                <w:rFonts w:hint="eastAsia" w:cs="Times New Roman"/>
                <w:color w:val="auto"/>
                <w:szCs w:val="21"/>
                <w:highlight w:val="none"/>
                <w:lang w:eastAsia="zh-CN"/>
              </w:rPr>
              <w:t>，且拒不整改或整改不到位</w:t>
            </w:r>
          </w:p>
        </w:tc>
        <w:tc>
          <w:tcPr>
            <w:tcW w:w="2127" w:type="dxa"/>
            <w:vAlign w:val="center"/>
          </w:tcPr>
          <w:p>
            <w:pPr>
              <w:rPr>
                <w:rFonts w:cs="Times New Roman"/>
                <w:color w:val="auto"/>
                <w:szCs w:val="21"/>
                <w:highlight w:val="none"/>
              </w:rPr>
            </w:pPr>
            <w:r>
              <w:rPr>
                <w:rFonts w:hint="eastAsia" w:cs="Times New Roman"/>
                <w:color w:val="auto"/>
                <w:szCs w:val="21"/>
                <w:highlight w:val="none"/>
              </w:rPr>
              <w:t>2000~10000元/次</w:t>
            </w:r>
          </w:p>
        </w:tc>
        <w:tc>
          <w:tcPr>
            <w:tcW w:w="2268" w:type="dxa"/>
            <w:vAlign w:val="center"/>
          </w:tcPr>
          <w:p>
            <w:pPr>
              <w:spacing w:before="93" w:after="93"/>
              <w:rPr>
                <w:rFonts w:cs="Arial"/>
                <w:color w:val="auto"/>
                <w:szCs w:val="21"/>
                <w:highlight w:val="none"/>
                <w:lang w:eastAsia="zh-CN"/>
              </w:rPr>
            </w:pPr>
            <w:r>
              <w:rPr>
                <w:rFonts w:hint="eastAsia" w:cs="Arial"/>
                <w:color w:val="auto"/>
                <w:szCs w:val="21"/>
                <w:highlight w:val="none"/>
                <w:lang w:eastAsia="zh-CN"/>
              </w:rPr>
              <w:t>由发包人视情况严重程度确定罚款金额</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trHeight w:val="645" w:hRule="atLeast"/>
          <w:jc w:val="center"/>
        </w:trPr>
        <w:tc>
          <w:tcPr>
            <w:tcW w:w="709" w:type="dxa"/>
            <w:vAlign w:val="center"/>
          </w:tcPr>
          <w:p>
            <w:pPr>
              <w:jc w:val="center"/>
              <w:rPr>
                <w:rFonts w:cs="Times New Roman"/>
                <w:color w:val="auto"/>
                <w:szCs w:val="21"/>
                <w:highlight w:val="none"/>
              </w:rPr>
            </w:pPr>
            <w:r>
              <w:rPr>
                <w:rFonts w:cs="Times New Roman"/>
                <w:color w:val="auto"/>
                <w:szCs w:val="21"/>
                <w:highlight w:val="none"/>
              </w:rPr>
              <w:t>28</w:t>
            </w:r>
          </w:p>
        </w:tc>
        <w:tc>
          <w:tcPr>
            <w:tcW w:w="4536" w:type="dxa"/>
            <w:vAlign w:val="center"/>
          </w:tcPr>
          <w:p>
            <w:pPr>
              <w:spacing w:before="93" w:after="93"/>
              <w:rPr>
                <w:rFonts w:cs="Times New Roman"/>
                <w:color w:val="auto"/>
                <w:szCs w:val="21"/>
                <w:highlight w:val="none"/>
                <w:lang w:eastAsia="zh-CN"/>
              </w:rPr>
            </w:pPr>
            <w:r>
              <w:rPr>
                <w:rFonts w:hint="eastAsia" w:cs="Times New Roman"/>
                <w:color w:val="auto"/>
                <w:szCs w:val="21"/>
                <w:highlight w:val="none"/>
                <w:lang w:eastAsia="zh-CN"/>
              </w:rPr>
              <w:t>施工完的工序出现质量缺陷（如外观质量差、检测不合格等），且拒不整改或整改不到位</w:t>
            </w:r>
          </w:p>
        </w:tc>
        <w:tc>
          <w:tcPr>
            <w:tcW w:w="2127" w:type="dxa"/>
            <w:vAlign w:val="center"/>
          </w:tcPr>
          <w:p>
            <w:pPr>
              <w:rPr>
                <w:rFonts w:cs="Times New Roman"/>
                <w:color w:val="auto"/>
                <w:szCs w:val="21"/>
                <w:highlight w:val="none"/>
                <w:lang w:eastAsia="zh-CN"/>
              </w:rPr>
            </w:pPr>
            <w:r>
              <w:rPr>
                <w:rFonts w:hint="eastAsia" w:cs="Times New Roman"/>
                <w:color w:val="auto"/>
                <w:szCs w:val="21"/>
                <w:highlight w:val="none"/>
                <w:lang w:eastAsia="zh-CN"/>
              </w:rPr>
              <w:t>视情节严重程度罚款1000~10000元/次</w:t>
            </w:r>
          </w:p>
        </w:tc>
        <w:tc>
          <w:tcPr>
            <w:tcW w:w="2268" w:type="dxa"/>
            <w:vAlign w:val="center"/>
          </w:tcPr>
          <w:p>
            <w:pPr>
              <w:spacing w:before="93" w:after="93"/>
              <w:rPr>
                <w:rFonts w:cs="Arial"/>
                <w:color w:val="auto"/>
                <w:szCs w:val="21"/>
                <w:highlight w:val="none"/>
                <w:lang w:eastAsia="zh-CN"/>
              </w:rPr>
            </w:pPr>
            <w:r>
              <w:rPr>
                <w:rFonts w:hint="eastAsia" w:cs="Arial"/>
                <w:color w:val="auto"/>
                <w:szCs w:val="21"/>
                <w:highlight w:val="none"/>
                <w:lang w:eastAsia="zh-CN"/>
              </w:rPr>
              <w:t>以发包人、监理现场记录为依据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trHeight w:val="645" w:hRule="atLeast"/>
          <w:jc w:val="center"/>
        </w:trPr>
        <w:tc>
          <w:tcPr>
            <w:tcW w:w="709" w:type="dxa"/>
            <w:vAlign w:val="center"/>
          </w:tcPr>
          <w:p>
            <w:pPr>
              <w:jc w:val="center"/>
              <w:rPr>
                <w:rFonts w:cs="Times New Roman"/>
                <w:color w:val="auto"/>
                <w:szCs w:val="21"/>
                <w:highlight w:val="none"/>
              </w:rPr>
            </w:pPr>
            <w:r>
              <w:rPr>
                <w:rFonts w:cs="Times New Roman"/>
                <w:color w:val="auto"/>
                <w:szCs w:val="21"/>
                <w:highlight w:val="none"/>
              </w:rPr>
              <w:t>29</w:t>
            </w:r>
          </w:p>
        </w:tc>
        <w:tc>
          <w:tcPr>
            <w:tcW w:w="4536" w:type="dxa"/>
            <w:vAlign w:val="center"/>
          </w:tcPr>
          <w:p>
            <w:pPr>
              <w:spacing w:before="93" w:after="93"/>
              <w:rPr>
                <w:rFonts w:cs="Times New Roman"/>
                <w:color w:val="auto"/>
                <w:szCs w:val="21"/>
                <w:highlight w:val="none"/>
                <w:lang w:eastAsia="zh-CN"/>
              </w:rPr>
            </w:pPr>
            <w:r>
              <w:rPr>
                <w:rFonts w:hint="eastAsia" w:cs="Times New Roman"/>
                <w:color w:val="auto"/>
                <w:szCs w:val="21"/>
                <w:highlight w:val="none"/>
                <w:lang w:eastAsia="zh-CN"/>
              </w:rPr>
              <w:t>施工偏差超过规范允许值，且拒不整改或整改不到位</w:t>
            </w:r>
          </w:p>
        </w:tc>
        <w:tc>
          <w:tcPr>
            <w:tcW w:w="2127" w:type="dxa"/>
            <w:vAlign w:val="center"/>
          </w:tcPr>
          <w:p>
            <w:pPr>
              <w:rPr>
                <w:rFonts w:cs="Times New Roman"/>
                <w:color w:val="auto"/>
                <w:szCs w:val="21"/>
                <w:highlight w:val="none"/>
              </w:rPr>
            </w:pPr>
            <w:r>
              <w:rPr>
                <w:rFonts w:hint="eastAsia" w:cs="Times New Roman"/>
                <w:color w:val="auto"/>
                <w:szCs w:val="21"/>
                <w:highlight w:val="none"/>
              </w:rPr>
              <w:t>1000~2000元/次</w:t>
            </w:r>
          </w:p>
        </w:tc>
        <w:tc>
          <w:tcPr>
            <w:tcW w:w="2268" w:type="dxa"/>
            <w:vAlign w:val="center"/>
          </w:tcPr>
          <w:p>
            <w:pPr>
              <w:spacing w:before="93" w:after="93"/>
              <w:rPr>
                <w:rFonts w:cs="Arial"/>
                <w:color w:val="auto"/>
                <w:szCs w:val="21"/>
                <w:highlight w:val="none"/>
                <w:lang w:eastAsia="zh-CN"/>
              </w:rPr>
            </w:pPr>
            <w:r>
              <w:rPr>
                <w:rFonts w:hint="eastAsia" w:cs="Arial"/>
                <w:color w:val="auto"/>
                <w:szCs w:val="21"/>
                <w:highlight w:val="none"/>
                <w:lang w:eastAsia="zh-CN"/>
              </w:rPr>
              <w:t>以发包人、监理检查记录为依据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trHeight w:val="645" w:hRule="atLeast"/>
          <w:jc w:val="center"/>
        </w:trPr>
        <w:tc>
          <w:tcPr>
            <w:tcW w:w="709" w:type="dxa"/>
            <w:vAlign w:val="center"/>
          </w:tcPr>
          <w:p>
            <w:pPr>
              <w:jc w:val="center"/>
              <w:rPr>
                <w:rFonts w:cs="Times New Roman"/>
                <w:color w:val="auto"/>
                <w:szCs w:val="21"/>
                <w:highlight w:val="none"/>
              </w:rPr>
            </w:pPr>
            <w:r>
              <w:rPr>
                <w:rFonts w:cs="Times New Roman"/>
                <w:color w:val="auto"/>
                <w:szCs w:val="21"/>
                <w:highlight w:val="none"/>
              </w:rPr>
              <w:t>30</w:t>
            </w:r>
          </w:p>
        </w:tc>
        <w:tc>
          <w:tcPr>
            <w:tcW w:w="4536" w:type="dxa"/>
            <w:vAlign w:val="center"/>
          </w:tcPr>
          <w:p>
            <w:pPr>
              <w:spacing w:before="93" w:after="93"/>
              <w:rPr>
                <w:rFonts w:cs="Times New Roman"/>
                <w:color w:val="auto"/>
                <w:szCs w:val="21"/>
                <w:highlight w:val="none"/>
                <w:lang w:eastAsia="zh-CN"/>
              </w:rPr>
            </w:pPr>
            <w:r>
              <w:rPr>
                <w:rFonts w:hint="eastAsia" w:cs="Times New Roman"/>
                <w:color w:val="auto"/>
                <w:szCs w:val="21"/>
                <w:highlight w:val="none"/>
                <w:lang w:eastAsia="zh-CN"/>
              </w:rPr>
              <w:t>样板/样品未经批准，擅自施工，或未按批准的样板/样品施工（包含施工措施）</w:t>
            </w:r>
          </w:p>
        </w:tc>
        <w:tc>
          <w:tcPr>
            <w:tcW w:w="2127" w:type="dxa"/>
            <w:vAlign w:val="center"/>
          </w:tcPr>
          <w:p>
            <w:pPr>
              <w:rPr>
                <w:rFonts w:cs="Times New Roman"/>
                <w:color w:val="auto"/>
                <w:szCs w:val="21"/>
                <w:highlight w:val="none"/>
                <w:lang w:eastAsia="zh-CN"/>
              </w:rPr>
            </w:pPr>
            <w:r>
              <w:rPr>
                <w:rFonts w:hint="eastAsia" w:cs="Times New Roman"/>
                <w:color w:val="auto"/>
                <w:szCs w:val="21"/>
                <w:highlight w:val="none"/>
                <w:lang w:eastAsia="zh-CN"/>
              </w:rPr>
              <w:t>视情节严重程度罚款1000~10000元/次</w:t>
            </w:r>
          </w:p>
        </w:tc>
        <w:tc>
          <w:tcPr>
            <w:tcW w:w="2268" w:type="dxa"/>
            <w:vAlign w:val="center"/>
          </w:tcPr>
          <w:p>
            <w:pPr>
              <w:spacing w:before="93" w:after="93"/>
              <w:rPr>
                <w:rFonts w:cs="Arial"/>
                <w:color w:val="auto"/>
                <w:szCs w:val="21"/>
                <w:highlight w:val="none"/>
                <w:lang w:eastAsia="zh-CN"/>
              </w:rPr>
            </w:pPr>
            <w:r>
              <w:rPr>
                <w:rFonts w:hint="eastAsia" w:cs="Arial"/>
                <w:color w:val="auto"/>
                <w:szCs w:val="21"/>
                <w:highlight w:val="none"/>
                <w:lang w:eastAsia="zh-CN"/>
              </w:rPr>
              <w:t>造成产品质量的损失，亦由施工单位承担</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trHeight w:val="645" w:hRule="atLeast"/>
          <w:jc w:val="center"/>
        </w:trPr>
        <w:tc>
          <w:tcPr>
            <w:tcW w:w="709" w:type="dxa"/>
            <w:vAlign w:val="center"/>
          </w:tcPr>
          <w:p>
            <w:pPr>
              <w:jc w:val="center"/>
              <w:rPr>
                <w:rFonts w:cs="Times New Roman"/>
                <w:color w:val="auto"/>
                <w:szCs w:val="21"/>
                <w:highlight w:val="none"/>
              </w:rPr>
            </w:pPr>
            <w:r>
              <w:rPr>
                <w:rFonts w:cs="Times New Roman"/>
                <w:color w:val="auto"/>
                <w:szCs w:val="21"/>
                <w:highlight w:val="none"/>
              </w:rPr>
              <w:t>31</w:t>
            </w:r>
          </w:p>
        </w:tc>
        <w:tc>
          <w:tcPr>
            <w:tcW w:w="4536" w:type="dxa"/>
            <w:vAlign w:val="center"/>
          </w:tcPr>
          <w:p>
            <w:pPr>
              <w:spacing w:before="93" w:after="93"/>
              <w:rPr>
                <w:rFonts w:cs="Times New Roman"/>
                <w:color w:val="auto"/>
                <w:szCs w:val="21"/>
                <w:highlight w:val="none"/>
                <w:lang w:eastAsia="zh-CN"/>
              </w:rPr>
            </w:pPr>
            <w:r>
              <w:rPr>
                <w:rFonts w:hint="eastAsia" w:cs="Times New Roman"/>
                <w:color w:val="auto"/>
                <w:szCs w:val="21"/>
                <w:highlight w:val="none"/>
                <w:lang w:eastAsia="zh-CN"/>
              </w:rPr>
              <w:t>施工单位使用的施工设备、检测设备和仪器未按规定送政府相关部门鉴定、校核的，或未按规定报审的，已在现场使用的</w:t>
            </w:r>
          </w:p>
        </w:tc>
        <w:tc>
          <w:tcPr>
            <w:tcW w:w="2127" w:type="dxa"/>
            <w:vAlign w:val="center"/>
          </w:tcPr>
          <w:p>
            <w:pPr>
              <w:rPr>
                <w:rFonts w:cs="Times New Roman"/>
                <w:color w:val="auto"/>
                <w:szCs w:val="21"/>
                <w:highlight w:val="none"/>
              </w:rPr>
            </w:pPr>
            <w:r>
              <w:rPr>
                <w:rFonts w:hint="eastAsia" w:cs="Times New Roman"/>
                <w:color w:val="auto"/>
                <w:szCs w:val="21"/>
                <w:highlight w:val="none"/>
              </w:rPr>
              <w:t>处以罚款1000元/次</w:t>
            </w:r>
          </w:p>
        </w:tc>
        <w:tc>
          <w:tcPr>
            <w:tcW w:w="2268" w:type="dxa"/>
            <w:vAlign w:val="center"/>
          </w:tcPr>
          <w:p>
            <w:pPr>
              <w:spacing w:before="93" w:after="93"/>
              <w:rPr>
                <w:rFonts w:cs="Arial"/>
                <w:color w:val="auto"/>
                <w:szCs w:val="21"/>
                <w:highlight w:val="none"/>
                <w:lang w:eastAsia="zh-CN"/>
              </w:rPr>
            </w:pPr>
            <w:r>
              <w:rPr>
                <w:rFonts w:hint="eastAsia" w:cs="Arial"/>
                <w:color w:val="auto"/>
                <w:szCs w:val="21"/>
                <w:highlight w:val="none"/>
                <w:lang w:eastAsia="zh-CN"/>
              </w:rPr>
              <w:t>施工单位亦应承担由此造成的质量和安全责任</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trHeight w:val="737" w:hRule="atLeast"/>
          <w:jc w:val="center"/>
        </w:trPr>
        <w:tc>
          <w:tcPr>
            <w:tcW w:w="709" w:type="dxa"/>
            <w:vAlign w:val="center"/>
          </w:tcPr>
          <w:p>
            <w:pPr>
              <w:jc w:val="center"/>
              <w:rPr>
                <w:rFonts w:cs="Times New Roman"/>
                <w:color w:val="auto"/>
                <w:szCs w:val="21"/>
                <w:highlight w:val="none"/>
              </w:rPr>
            </w:pPr>
            <w:r>
              <w:rPr>
                <w:rFonts w:cs="Times New Roman"/>
                <w:color w:val="auto"/>
                <w:szCs w:val="21"/>
                <w:highlight w:val="none"/>
              </w:rPr>
              <w:t>32</w:t>
            </w:r>
          </w:p>
        </w:tc>
        <w:tc>
          <w:tcPr>
            <w:tcW w:w="4536" w:type="dxa"/>
            <w:vAlign w:val="center"/>
          </w:tcPr>
          <w:p>
            <w:pPr>
              <w:spacing w:before="93" w:after="93"/>
              <w:rPr>
                <w:rFonts w:cs="Arial"/>
                <w:color w:val="auto"/>
                <w:szCs w:val="21"/>
                <w:highlight w:val="none"/>
              </w:rPr>
            </w:pPr>
            <w:r>
              <w:rPr>
                <w:rFonts w:cs="Arial"/>
                <w:color w:val="auto"/>
                <w:szCs w:val="21"/>
                <w:highlight w:val="none"/>
              </w:rPr>
              <w:t>施工中偷工减料。</w:t>
            </w:r>
          </w:p>
        </w:tc>
        <w:tc>
          <w:tcPr>
            <w:tcW w:w="2127" w:type="dxa"/>
            <w:vAlign w:val="center"/>
          </w:tcPr>
          <w:p>
            <w:pPr>
              <w:spacing w:before="93" w:after="93"/>
              <w:rPr>
                <w:rFonts w:cs="Arial"/>
                <w:color w:val="auto"/>
                <w:szCs w:val="21"/>
                <w:highlight w:val="none"/>
                <w:lang w:eastAsia="zh-CN"/>
              </w:rPr>
            </w:pPr>
            <w:r>
              <w:rPr>
                <w:rFonts w:hint="eastAsia" w:cs="Times New Roman"/>
                <w:color w:val="auto"/>
                <w:szCs w:val="21"/>
                <w:highlight w:val="none"/>
                <w:lang w:eastAsia="zh-CN"/>
              </w:rPr>
              <w:t>视情节严重程度罚款1000~10000元/次</w:t>
            </w:r>
          </w:p>
        </w:tc>
        <w:tc>
          <w:tcPr>
            <w:tcW w:w="2268" w:type="dxa"/>
            <w:vAlign w:val="center"/>
          </w:tcPr>
          <w:p>
            <w:pPr>
              <w:spacing w:before="93" w:after="93"/>
              <w:rPr>
                <w:rFonts w:cs="Arial"/>
                <w:color w:val="auto"/>
                <w:szCs w:val="21"/>
                <w:highlight w:val="none"/>
                <w:lang w:eastAsia="zh-CN"/>
              </w:rPr>
            </w:pPr>
            <w:r>
              <w:rPr>
                <w:rFonts w:hint="eastAsia" w:cs="Arial"/>
                <w:color w:val="auto"/>
                <w:szCs w:val="21"/>
                <w:highlight w:val="none"/>
                <w:lang w:eastAsia="zh-CN"/>
              </w:rPr>
              <w:t>以发包人、监理现场记录为依据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trHeight w:val="737" w:hRule="atLeast"/>
          <w:jc w:val="center"/>
        </w:trPr>
        <w:tc>
          <w:tcPr>
            <w:tcW w:w="709" w:type="dxa"/>
            <w:vAlign w:val="center"/>
          </w:tcPr>
          <w:p>
            <w:pPr>
              <w:jc w:val="center"/>
              <w:rPr>
                <w:rFonts w:cs="Times New Roman"/>
                <w:color w:val="auto"/>
                <w:szCs w:val="21"/>
                <w:highlight w:val="none"/>
              </w:rPr>
            </w:pPr>
            <w:r>
              <w:rPr>
                <w:rFonts w:cs="Times New Roman"/>
                <w:color w:val="auto"/>
                <w:szCs w:val="21"/>
                <w:highlight w:val="none"/>
              </w:rPr>
              <w:t>33</w:t>
            </w:r>
          </w:p>
        </w:tc>
        <w:tc>
          <w:tcPr>
            <w:tcW w:w="4536" w:type="dxa"/>
            <w:vAlign w:val="center"/>
          </w:tcPr>
          <w:p>
            <w:pPr>
              <w:spacing w:before="93" w:after="93"/>
              <w:rPr>
                <w:rFonts w:cs="Arial"/>
                <w:color w:val="auto"/>
                <w:szCs w:val="21"/>
                <w:highlight w:val="none"/>
                <w:lang w:eastAsia="zh-CN"/>
              </w:rPr>
            </w:pPr>
            <w:r>
              <w:rPr>
                <w:rFonts w:cs="Arial"/>
                <w:color w:val="auto"/>
                <w:szCs w:val="21"/>
                <w:highlight w:val="none"/>
                <w:lang w:eastAsia="zh-CN"/>
              </w:rPr>
              <w:t>未经批准，私自变更施工方案或不按已批准的方案施工</w:t>
            </w:r>
          </w:p>
        </w:tc>
        <w:tc>
          <w:tcPr>
            <w:tcW w:w="2127" w:type="dxa"/>
            <w:vAlign w:val="center"/>
          </w:tcPr>
          <w:p>
            <w:pPr>
              <w:spacing w:before="93" w:after="93"/>
              <w:rPr>
                <w:rFonts w:cs="Arial"/>
                <w:color w:val="auto"/>
                <w:szCs w:val="21"/>
                <w:highlight w:val="none"/>
                <w:lang w:eastAsia="zh-CN"/>
              </w:rPr>
            </w:pPr>
            <w:r>
              <w:rPr>
                <w:rFonts w:hint="eastAsia" w:cs="Times New Roman"/>
                <w:color w:val="auto"/>
                <w:szCs w:val="21"/>
                <w:highlight w:val="none"/>
                <w:lang w:eastAsia="zh-CN"/>
              </w:rPr>
              <w:t>视情节严重程度罚款1000~10000元/次</w:t>
            </w:r>
          </w:p>
        </w:tc>
        <w:tc>
          <w:tcPr>
            <w:tcW w:w="2268" w:type="dxa"/>
            <w:vAlign w:val="center"/>
          </w:tcPr>
          <w:p>
            <w:pPr>
              <w:spacing w:before="93" w:after="93"/>
              <w:rPr>
                <w:rFonts w:cs="Arial"/>
                <w:color w:val="auto"/>
                <w:szCs w:val="21"/>
                <w:highlight w:val="none"/>
                <w:lang w:eastAsia="zh-CN"/>
              </w:rPr>
            </w:pPr>
            <w:r>
              <w:rPr>
                <w:rFonts w:hint="eastAsia" w:cs="Arial"/>
                <w:color w:val="auto"/>
                <w:szCs w:val="21"/>
                <w:highlight w:val="none"/>
                <w:lang w:eastAsia="zh-CN"/>
              </w:rPr>
              <w:t>以发包人、监理现场记录为依据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trHeight w:val="1224" w:hRule="atLeast"/>
          <w:jc w:val="center"/>
        </w:trPr>
        <w:tc>
          <w:tcPr>
            <w:tcW w:w="709" w:type="dxa"/>
            <w:vAlign w:val="center"/>
          </w:tcPr>
          <w:p>
            <w:pPr>
              <w:jc w:val="center"/>
              <w:rPr>
                <w:rFonts w:cs="Times New Roman"/>
                <w:color w:val="auto"/>
                <w:szCs w:val="21"/>
                <w:highlight w:val="none"/>
              </w:rPr>
            </w:pPr>
            <w:r>
              <w:rPr>
                <w:rFonts w:cs="Times New Roman"/>
                <w:color w:val="auto"/>
                <w:szCs w:val="21"/>
                <w:highlight w:val="none"/>
              </w:rPr>
              <w:t>34</w:t>
            </w:r>
          </w:p>
        </w:tc>
        <w:tc>
          <w:tcPr>
            <w:tcW w:w="4536" w:type="dxa"/>
            <w:vAlign w:val="center"/>
          </w:tcPr>
          <w:p>
            <w:pPr>
              <w:rPr>
                <w:rFonts w:cs="Times New Roman"/>
                <w:color w:val="auto"/>
                <w:szCs w:val="21"/>
                <w:highlight w:val="none"/>
                <w:lang w:eastAsia="zh-CN"/>
              </w:rPr>
            </w:pPr>
            <w:r>
              <w:rPr>
                <w:rFonts w:hint="eastAsia" w:cs="Times New Roman"/>
                <w:color w:val="auto"/>
                <w:szCs w:val="21"/>
                <w:highlight w:val="none"/>
                <w:lang w:eastAsia="zh-CN"/>
              </w:rPr>
              <w:t>承包人因材料供应不及时造成进度滞后</w:t>
            </w:r>
          </w:p>
        </w:tc>
        <w:tc>
          <w:tcPr>
            <w:tcW w:w="2127" w:type="dxa"/>
            <w:vAlign w:val="center"/>
          </w:tcPr>
          <w:p>
            <w:pPr>
              <w:rPr>
                <w:rFonts w:cs="Times New Roman"/>
                <w:color w:val="auto"/>
                <w:szCs w:val="21"/>
                <w:highlight w:val="none"/>
                <w:lang w:eastAsia="zh-CN"/>
              </w:rPr>
            </w:pPr>
            <w:r>
              <w:rPr>
                <w:rFonts w:hint="eastAsia" w:cs="Times New Roman"/>
                <w:color w:val="auto"/>
                <w:szCs w:val="21"/>
                <w:highlight w:val="none"/>
                <w:lang w:eastAsia="zh-CN"/>
              </w:rPr>
              <w:t>视情节严重程度罚款500~5000元/天，直至材料到场并经发包人、监理确认</w:t>
            </w:r>
          </w:p>
        </w:tc>
        <w:tc>
          <w:tcPr>
            <w:tcW w:w="2268" w:type="dxa"/>
            <w:vAlign w:val="center"/>
          </w:tcPr>
          <w:p>
            <w:pPr>
              <w:spacing w:before="93" w:after="93"/>
              <w:rPr>
                <w:rFonts w:cs="Arial"/>
                <w:color w:val="auto"/>
                <w:szCs w:val="21"/>
                <w:highlight w:val="none"/>
                <w:lang w:eastAsia="zh-CN"/>
              </w:rPr>
            </w:pPr>
            <w:r>
              <w:rPr>
                <w:rFonts w:hint="eastAsia" w:cs="Arial"/>
                <w:color w:val="auto"/>
                <w:szCs w:val="21"/>
                <w:highlight w:val="none"/>
                <w:lang w:eastAsia="zh-CN"/>
              </w:rPr>
              <w:t>以发包人、监理记录为依据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trHeight w:val="737" w:hRule="atLeast"/>
          <w:jc w:val="center"/>
        </w:trPr>
        <w:tc>
          <w:tcPr>
            <w:tcW w:w="709" w:type="dxa"/>
            <w:vAlign w:val="center"/>
          </w:tcPr>
          <w:p>
            <w:pPr>
              <w:jc w:val="center"/>
              <w:rPr>
                <w:rFonts w:cs="Times New Roman"/>
                <w:color w:val="auto"/>
                <w:szCs w:val="21"/>
                <w:highlight w:val="none"/>
              </w:rPr>
            </w:pPr>
            <w:r>
              <w:rPr>
                <w:rFonts w:cs="Times New Roman"/>
                <w:color w:val="auto"/>
                <w:szCs w:val="21"/>
                <w:highlight w:val="none"/>
              </w:rPr>
              <w:t>35</w:t>
            </w:r>
          </w:p>
        </w:tc>
        <w:tc>
          <w:tcPr>
            <w:tcW w:w="4536" w:type="dxa"/>
            <w:vAlign w:val="center"/>
          </w:tcPr>
          <w:p>
            <w:pPr>
              <w:rPr>
                <w:rFonts w:cs="Times New Roman"/>
                <w:color w:val="auto"/>
                <w:szCs w:val="21"/>
                <w:highlight w:val="none"/>
                <w:lang w:eastAsia="zh-CN"/>
              </w:rPr>
            </w:pPr>
            <w:r>
              <w:rPr>
                <w:rFonts w:hint="eastAsia" w:cs="Times New Roman"/>
                <w:color w:val="auto"/>
                <w:szCs w:val="21"/>
                <w:highlight w:val="none"/>
                <w:lang w:eastAsia="zh-CN"/>
              </w:rPr>
              <w:t>所有进场材料必须按总平面布置图的既定范围堆放整齐，承包人设立专人保管，若未严格实施，且拒不整改</w:t>
            </w:r>
          </w:p>
        </w:tc>
        <w:tc>
          <w:tcPr>
            <w:tcW w:w="2127" w:type="dxa"/>
            <w:vAlign w:val="center"/>
          </w:tcPr>
          <w:p>
            <w:pPr>
              <w:rPr>
                <w:rFonts w:cs="Times New Roman"/>
                <w:color w:val="auto"/>
                <w:szCs w:val="21"/>
                <w:highlight w:val="none"/>
                <w:lang w:eastAsia="zh-CN"/>
              </w:rPr>
            </w:pPr>
            <w:r>
              <w:rPr>
                <w:rFonts w:hint="eastAsia" w:cs="Times New Roman"/>
                <w:color w:val="auto"/>
                <w:szCs w:val="21"/>
                <w:highlight w:val="none"/>
                <w:lang w:eastAsia="zh-CN"/>
              </w:rPr>
              <w:t>视情节严重程度罚款500~5000元</w:t>
            </w:r>
          </w:p>
        </w:tc>
        <w:tc>
          <w:tcPr>
            <w:tcW w:w="2268" w:type="dxa"/>
            <w:vAlign w:val="center"/>
          </w:tcPr>
          <w:p>
            <w:pPr>
              <w:spacing w:before="93" w:after="93"/>
              <w:rPr>
                <w:rFonts w:cs="Arial"/>
                <w:color w:val="auto"/>
                <w:szCs w:val="21"/>
                <w:highlight w:val="none"/>
                <w:lang w:eastAsia="zh-CN"/>
              </w:rPr>
            </w:pPr>
            <w:r>
              <w:rPr>
                <w:rFonts w:hint="eastAsia" w:cs="Arial"/>
                <w:color w:val="auto"/>
                <w:szCs w:val="21"/>
                <w:highlight w:val="none"/>
                <w:lang w:eastAsia="zh-CN"/>
              </w:rPr>
              <w:t>以发包人、监理现场检查为依据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trHeight w:val="737" w:hRule="atLeast"/>
          <w:jc w:val="center"/>
        </w:trPr>
        <w:tc>
          <w:tcPr>
            <w:tcW w:w="709" w:type="dxa"/>
            <w:vAlign w:val="center"/>
          </w:tcPr>
          <w:p>
            <w:pPr>
              <w:jc w:val="center"/>
              <w:rPr>
                <w:rFonts w:cs="Times New Roman"/>
                <w:color w:val="auto"/>
                <w:szCs w:val="21"/>
                <w:highlight w:val="none"/>
              </w:rPr>
            </w:pPr>
            <w:r>
              <w:rPr>
                <w:rFonts w:cs="Times New Roman"/>
                <w:color w:val="auto"/>
                <w:szCs w:val="21"/>
                <w:highlight w:val="none"/>
              </w:rPr>
              <w:t>36</w:t>
            </w:r>
          </w:p>
        </w:tc>
        <w:tc>
          <w:tcPr>
            <w:tcW w:w="4536" w:type="dxa"/>
            <w:vAlign w:val="center"/>
          </w:tcPr>
          <w:p>
            <w:pPr>
              <w:rPr>
                <w:rFonts w:cs="Times New Roman"/>
                <w:color w:val="auto"/>
                <w:szCs w:val="21"/>
                <w:highlight w:val="none"/>
                <w:lang w:eastAsia="zh-CN"/>
              </w:rPr>
            </w:pPr>
            <w:r>
              <w:rPr>
                <w:rFonts w:hint="eastAsia" w:cs="Times New Roman"/>
                <w:color w:val="auto"/>
                <w:szCs w:val="21"/>
                <w:highlight w:val="none"/>
                <w:lang w:eastAsia="zh-CN"/>
              </w:rPr>
              <w:t>承包人于施工中对其他承包人施工的成品/半成品造成损坏/破坏事件。</w:t>
            </w:r>
          </w:p>
        </w:tc>
        <w:tc>
          <w:tcPr>
            <w:tcW w:w="2127" w:type="dxa"/>
            <w:vAlign w:val="center"/>
          </w:tcPr>
          <w:p>
            <w:pPr>
              <w:rPr>
                <w:rFonts w:cs="Times New Roman"/>
                <w:color w:val="auto"/>
                <w:szCs w:val="21"/>
                <w:highlight w:val="none"/>
                <w:lang w:eastAsia="zh-CN"/>
              </w:rPr>
            </w:pPr>
            <w:r>
              <w:rPr>
                <w:rFonts w:hint="eastAsia" w:cs="Times New Roman"/>
                <w:color w:val="auto"/>
                <w:szCs w:val="21"/>
                <w:highlight w:val="none"/>
                <w:lang w:eastAsia="zh-CN"/>
              </w:rPr>
              <w:t>1000元/次，并承担修复费用</w:t>
            </w:r>
          </w:p>
        </w:tc>
        <w:tc>
          <w:tcPr>
            <w:tcW w:w="2268" w:type="dxa"/>
            <w:vAlign w:val="center"/>
          </w:tcPr>
          <w:p>
            <w:pPr>
              <w:spacing w:before="93" w:after="93"/>
              <w:rPr>
                <w:rFonts w:cs="Arial"/>
                <w:color w:val="auto"/>
                <w:szCs w:val="21"/>
                <w:highlight w:val="none"/>
                <w:lang w:eastAsia="zh-CN"/>
              </w:rPr>
            </w:pPr>
            <w:r>
              <w:rPr>
                <w:rFonts w:hint="eastAsia" w:cs="Arial"/>
                <w:color w:val="auto"/>
                <w:szCs w:val="21"/>
                <w:highlight w:val="none"/>
                <w:lang w:eastAsia="zh-CN"/>
              </w:rPr>
              <w:t>以发包人、监理现场检查为依据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trHeight w:val="737" w:hRule="atLeast"/>
          <w:jc w:val="center"/>
        </w:trPr>
        <w:tc>
          <w:tcPr>
            <w:tcW w:w="709" w:type="dxa"/>
            <w:vAlign w:val="center"/>
          </w:tcPr>
          <w:p>
            <w:pPr>
              <w:jc w:val="center"/>
              <w:rPr>
                <w:rFonts w:cs="Times New Roman"/>
                <w:color w:val="auto"/>
                <w:szCs w:val="21"/>
                <w:highlight w:val="none"/>
              </w:rPr>
            </w:pPr>
            <w:r>
              <w:rPr>
                <w:rFonts w:cs="Times New Roman"/>
                <w:color w:val="auto"/>
                <w:szCs w:val="21"/>
                <w:highlight w:val="none"/>
              </w:rPr>
              <w:t>37</w:t>
            </w:r>
          </w:p>
        </w:tc>
        <w:tc>
          <w:tcPr>
            <w:tcW w:w="4536" w:type="dxa"/>
            <w:vAlign w:val="center"/>
          </w:tcPr>
          <w:p>
            <w:pPr>
              <w:rPr>
                <w:rFonts w:cs="Times New Roman"/>
                <w:color w:val="auto"/>
                <w:szCs w:val="21"/>
                <w:highlight w:val="none"/>
                <w:lang w:eastAsia="zh-CN"/>
              </w:rPr>
            </w:pPr>
            <w:r>
              <w:rPr>
                <w:rFonts w:hint="eastAsia" w:cs="Times New Roman"/>
                <w:color w:val="auto"/>
                <w:szCs w:val="21"/>
                <w:highlight w:val="none"/>
                <w:lang w:eastAsia="zh-CN"/>
              </w:rPr>
              <w:t>验收过程中同一工序发现二次或二处未进行自检</w:t>
            </w:r>
          </w:p>
        </w:tc>
        <w:tc>
          <w:tcPr>
            <w:tcW w:w="2127" w:type="dxa"/>
            <w:vAlign w:val="center"/>
          </w:tcPr>
          <w:p>
            <w:pPr>
              <w:rPr>
                <w:rFonts w:cs="Times New Roman"/>
                <w:color w:val="auto"/>
                <w:szCs w:val="21"/>
                <w:highlight w:val="none"/>
              </w:rPr>
            </w:pPr>
            <w:r>
              <w:rPr>
                <w:rFonts w:hint="eastAsia" w:cs="Times New Roman"/>
                <w:color w:val="auto"/>
                <w:szCs w:val="21"/>
                <w:highlight w:val="none"/>
              </w:rPr>
              <w:t>500~2000元/处（次）</w:t>
            </w:r>
          </w:p>
        </w:tc>
        <w:tc>
          <w:tcPr>
            <w:tcW w:w="2268" w:type="dxa"/>
            <w:vAlign w:val="center"/>
          </w:tcPr>
          <w:p>
            <w:pPr>
              <w:spacing w:before="93" w:after="93"/>
              <w:rPr>
                <w:rFonts w:cs="Arial"/>
                <w:color w:val="auto"/>
                <w:szCs w:val="21"/>
                <w:highlight w:val="none"/>
                <w:lang w:eastAsia="zh-CN"/>
              </w:rPr>
            </w:pPr>
            <w:r>
              <w:rPr>
                <w:rFonts w:hint="eastAsia" w:cs="Arial"/>
                <w:color w:val="auto"/>
                <w:szCs w:val="21"/>
                <w:highlight w:val="none"/>
                <w:lang w:eastAsia="zh-CN"/>
              </w:rPr>
              <w:t>以发包人、监理验收记录为依据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trHeight w:val="737" w:hRule="atLeast"/>
          <w:jc w:val="center"/>
        </w:trPr>
        <w:tc>
          <w:tcPr>
            <w:tcW w:w="709" w:type="dxa"/>
            <w:vAlign w:val="center"/>
          </w:tcPr>
          <w:p>
            <w:pPr>
              <w:jc w:val="center"/>
              <w:rPr>
                <w:rFonts w:cs="Times New Roman"/>
                <w:color w:val="auto"/>
                <w:szCs w:val="21"/>
                <w:highlight w:val="none"/>
              </w:rPr>
            </w:pPr>
            <w:r>
              <w:rPr>
                <w:rFonts w:cs="Times New Roman"/>
                <w:color w:val="auto"/>
                <w:szCs w:val="21"/>
                <w:highlight w:val="none"/>
              </w:rPr>
              <w:t>38</w:t>
            </w:r>
          </w:p>
        </w:tc>
        <w:tc>
          <w:tcPr>
            <w:tcW w:w="4536" w:type="dxa"/>
            <w:vAlign w:val="center"/>
          </w:tcPr>
          <w:p>
            <w:pPr>
              <w:rPr>
                <w:rFonts w:cs="Times New Roman"/>
                <w:color w:val="auto"/>
                <w:szCs w:val="21"/>
                <w:highlight w:val="none"/>
                <w:lang w:eastAsia="zh-CN"/>
              </w:rPr>
            </w:pPr>
            <w:r>
              <w:rPr>
                <w:rFonts w:hint="eastAsia" w:cs="Times New Roman"/>
                <w:color w:val="auto"/>
                <w:szCs w:val="21"/>
                <w:highlight w:val="none"/>
                <w:lang w:eastAsia="zh-CN"/>
              </w:rPr>
              <w:t>承包人施工中对各工序施工质量自检后，若经发包人、监理或质监站复查，发现有任何分部工程未能达到或符合《建筑工程施工质量验收统一标准》、《华润置地工程质量标准》及有关的施工验收规范、标准以及合同的规定，除返工整改达到相关标准外。</w:t>
            </w:r>
          </w:p>
        </w:tc>
        <w:tc>
          <w:tcPr>
            <w:tcW w:w="2127" w:type="dxa"/>
            <w:vAlign w:val="center"/>
          </w:tcPr>
          <w:p>
            <w:pPr>
              <w:rPr>
                <w:rFonts w:cs="Times New Roman"/>
                <w:color w:val="auto"/>
                <w:szCs w:val="21"/>
                <w:highlight w:val="none"/>
                <w:lang w:eastAsia="zh-CN"/>
              </w:rPr>
            </w:pPr>
            <w:r>
              <w:rPr>
                <w:rFonts w:hint="eastAsia" w:cs="Times New Roman"/>
                <w:color w:val="auto"/>
                <w:szCs w:val="21"/>
                <w:highlight w:val="none"/>
                <w:lang w:eastAsia="zh-CN"/>
              </w:rPr>
              <w:t>视情节严重程度罚款500~10000元</w:t>
            </w:r>
          </w:p>
        </w:tc>
        <w:tc>
          <w:tcPr>
            <w:tcW w:w="2268" w:type="dxa"/>
            <w:vAlign w:val="center"/>
          </w:tcPr>
          <w:p>
            <w:pPr>
              <w:spacing w:before="93" w:after="93"/>
              <w:rPr>
                <w:rFonts w:cs="Arial"/>
                <w:color w:val="auto"/>
                <w:szCs w:val="21"/>
                <w:highlight w:val="none"/>
                <w:lang w:eastAsia="zh-CN"/>
              </w:rPr>
            </w:pPr>
            <w:r>
              <w:rPr>
                <w:rFonts w:hint="eastAsia" w:cs="Arial"/>
                <w:color w:val="auto"/>
                <w:szCs w:val="21"/>
                <w:highlight w:val="none"/>
                <w:lang w:eastAsia="zh-CN"/>
              </w:rPr>
              <w:t>以发包人、监理验收记录为依据</w:t>
            </w:r>
          </w:p>
        </w:tc>
      </w:tr>
    </w:tbl>
    <w:p>
      <w:pPr>
        <w:spacing w:before="240" w:after="240"/>
        <w:outlineLvl w:val="2"/>
        <w:rPr>
          <w:b/>
          <w:color w:val="auto"/>
          <w:highlight w:val="none"/>
          <w:lang w:eastAsia="zh-CN"/>
        </w:rPr>
      </w:pPr>
      <w:r>
        <w:rPr>
          <w:b/>
          <w:color w:val="auto"/>
          <w:highlight w:val="none"/>
          <w:lang w:eastAsia="zh-CN"/>
        </w:rPr>
        <w:t>4、技术管理方面的处罚细则</w:t>
      </w:r>
    </w:p>
    <w:tbl>
      <w:tblPr>
        <w:tblStyle w:val="85"/>
        <w:tblpPr w:leftFromText="180" w:rightFromText="180" w:vertAnchor="text" w:horzAnchor="page" w:tblpX="1201" w:tblpY="702"/>
        <w:tblOverlap w:val="never"/>
        <w:tblW w:w="962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708"/>
        <w:gridCol w:w="4556"/>
        <w:gridCol w:w="2123"/>
        <w:gridCol w:w="22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708" w:type="dxa"/>
            <w:vAlign w:val="center"/>
          </w:tcPr>
          <w:p>
            <w:pPr>
              <w:jc w:val="center"/>
              <w:rPr>
                <w:rFonts w:cs="Times New Roman"/>
                <w:color w:val="auto"/>
                <w:szCs w:val="21"/>
                <w:highlight w:val="none"/>
              </w:rPr>
            </w:pPr>
            <w:r>
              <w:rPr>
                <w:rFonts w:cs="Times New Roman"/>
                <w:color w:val="auto"/>
                <w:szCs w:val="21"/>
                <w:highlight w:val="none"/>
              </w:rPr>
              <w:t>序号</w:t>
            </w:r>
          </w:p>
        </w:tc>
        <w:tc>
          <w:tcPr>
            <w:tcW w:w="4556" w:type="dxa"/>
            <w:vAlign w:val="center"/>
          </w:tcPr>
          <w:p>
            <w:pPr>
              <w:jc w:val="center"/>
              <w:rPr>
                <w:rFonts w:cs="Times New Roman"/>
                <w:color w:val="auto"/>
                <w:szCs w:val="21"/>
                <w:highlight w:val="none"/>
              </w:rPr>
            </w:pPr>
            <w:r>
              <w:rPr>
                <w:rFonts w:cs="Times New Roman"/>
                <w:color w:val="auto"/>
                <w:szCs w:val="21"/>
                <w:highlight w:val="none"/>
              </w:rPr>
              <w:t>事项</w:t>
            </w:r>
          </w:p>
        </w:tc>
        <w:tc>
          <w:tcPr>
            <w:tcW w:w="2123" w:type="dxa"/>
            <w:vAlign w:val="center"/>
          </w:tcPr>
          <w:p>
            <w:pPr>
              <w:jc w:val="center"/>
              <w:rPr>
                <w:rFonts w:cs="Times New Roman"/>
                <w:color w:val="auto"/>
                <w:szCs w:val="21"/>
                <w:highlight w:val="none"/>
              </w:rPr>
            </w:pPr>
            <w:r>
              <w:rPr>
                <w:rFonts w:cs="Times New Roman"/>
                <w:color w:val="auto"/>
                <w:szCs w:val="21"/>
                <w:highlight w:val="none"/>
              </w:rPr>
              <w:t>处罚标准</w:t>
            </w:r>
          </w:p>
        </w:tc>
        <w:tc>
          <w:tcPr>
            <w:tcW w:w="2236" w:type="dxa"/>
            <w:vAlign w:val="center"/>
          </w:tcPr>
          <w:p>
            <w:pPr>
              <w:jc w:val="center"/>
              <w:rPr>
                <w:rFonts w:cs="Times New Roman"/>
                <w:color w:val="auto"/>
                <w:szCs w:val="21"/>
                <w:highlight w:val="none"/>
              </w:rPr>
            </w:pPr>
            <w:r>
              <w:rPr>
                <w:rFonts w:cs="Times New Roman"/>
                <w:color w:val="auto"/>
                <w:szCs w:val="21"/>
                <w:highlight w:val="none"/>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708" w:type="dxa"/>
            <w:vAlign w:val="center"/>
          </w:tcPr>
          <w:p>
            <w:pPr>
              <w:jc w:val="center"/>
              <w:rPr>
                <w:rFonts w:cs="Times New Roman"/>
                <w:color w:val="auto"/>
                <w:szCs w:val="21"/>
                <w:highlight w:val="none"/>
              </w:rPr>
            </w:pPr>
            <w:r>
              <w:rPr>
                <w:rFonts w:cs="Times New Roman"/>
                <w:color w:val="auto"/>
                <w:szCs w:val="21"/>
                <w:highlight w:val="none"/>
              </w:rPr>
              <w:t>1</w:t>
            </w:r>
          </w:p>
        </w:tc>
        <w:tc>
          <w:tcPr>
            <w:tcW w:w="4556" w:type="dxa"/>
            <w:vAlign w:val="center"/>
          </w:tcPr>
          <w:p>
            <w:pPr>
              <w:rPr>
                <w:rFonts w:cs="Times New Roman"/>
                <w:color w:val="auto"/>
                <w:szCs w:val="21"/>
                <w:highlight w:val="none"/>
                <w:lang w:eastAsia="zh-CN"/>
              </w:rPr>
            </w:pPr>
            <w:r>
              <w:rPr>
                <w:rFonts w:cs="Times New Roman"/>
                <w:color w:val="auto"/>
                <w:szCs w:val="21"/>
                <w:highlight w:val="none"/>
                <w:lang w:eastAsia="zh-CN"/>
              </w:rPr>
              <w:t>承包人进场3天内，未按要求上报项目技术管理体系（包括技术、质量、安全、进度、材料、文明施工等）。</w:t>
            </w:r>
          </w:p>
        </w:tc>
        <w:tc>
          <w:tcPr>
            <w:tcW w:w="2123" w:type="dxa"/>
            <w:vAlign w:val="center"/>
          </w:tcPr>
          <w:p>
            <w:pPr>
              <w:jc w:val="center"/>
              <w:rPr>
                <w:rFonts w:cs="Times New Roman"/>
                <w:color w:val="auto"/>
                <w:szCs w:val="21"/>
                <w:highlight w:val="none"/>
              </w:rPr>
            </w:pPr>
            <w:r>
              <w:rPr>
                <w:rFonts w:cs="Times New Roman"/>
                <w:color w:val="auto"/>
                <w:szCs w:val="21"/>
                <w:highlight w:val="none"/>
              </w:rPr>
              <w:t>1000～5000元/天</w:t>
            </w:r>
          </w:p>
        </w:tc>
        <w:tc>
          <w:tcPr>
            <w:tcW w:w="2236" w:type="dxa"/>
            <w:vAlign w:val="center"/>
          </w:tcPr>
          <w:p>
            <w:pPr>
              <w:jc w:val="center"/>
              <w:rPr>
                <w:rFonts w:cs="Times New Roman"/>
                <w:color w:val="auto"/>
                <w:szCs w:val="21"/>
                <w:highlight w:val="none"/>
              </w:rPr>
            </w:pPr>
            <w:r>
              <w:rPr>
                <w:rFonts w:cs="Times New Roman"/>
                <w:color w:val="auto"/>
                <w:szCs w:val="21"/>
                <w:highlight w:val="none"/>
              </w:rPr>
              <w:t>以发包人记录为依据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708" w:type="dxa"/>
            <w:vAlign w:val="center"/>
          </w:tcPr>
          <w:p>
            <w:pPr>
              <w:jc w:val="center"/>
              <w:rPr>
                <w:rFonts w:cs="Times New Roman"/>
                <w:color w:val="auto"/>
                <w:szCs w:val="21"/>
                <w:highlight w:val="none"/>
              </w:rPr>
            </w:pPr>
            <w:r>
              <w:rPr>
                <w:rFonts w:cs="Times New Roman"/>
                <w:color w:val="auto"/>
                <w:szCs w:val="21"/>
                <w:highlight w:val="none"/>
              </w:rPr>
              <w:t>2</w:t>
            </w:r>
          </w:p>
        </w:tc>
        <w:tc>
          <w:tcPr>
            <w:tcW w:w="4556" w:type="dxa"/>
            <w:vAlign w:val="center"/>
          </w:tcPr>
          <w:p>
            <w:pPr>
              <w:rPr>
                <w:rFonts w:cs="Times New Roman"/>
                <w:color w:val="auto"/>
                <w:szCs w:val="21"/>
                <w:highlight w:val="none"/>
                <w:lang w:eastAsia="zh-CN"/>
              </w:rPr>
            </w:pPr>
            <w:r>
              <w:rPr>
                <w:rFonts w:cs="Times New Roman"/>
                <w:color w:val="auto"/>
                <w:szCs w:val="21"/>
                <w:highlight w:val="none"/>
                <w:lang w:eastAsia="zh-CN"/>
              </w:rPr>
              <w:t>项目开工前，承包人项目部班子管理人员缺席我司项目管理理念及管理模式的培训及管理体系文件学习的。</w:t>
            </w:r>
          </w:p>
        </w:tc>
        <w:tc>
          <w:tcPr>
            <w:tcW w:w="2123" w:type="dxa"/>
            <w:vAlign w:val="center"/>
          </w:tcPr>
          <w:p>
            <w:pPr>
              <w:jc w:val="center"/>
              <w:rPr>
                <w:rFonts w:cs="Times New Roman"/>
                <w:color w:val="auto"/>
                <w:szCs w:val="21"/>
                <w:highlight w:val="none"/>
              </w:rPr>
            </w:pPr>
            <w:r>
              <w:rPr>
                <w:rFonts w:cs="Times New Roman"/>
                <w:color w:val="auto"/>
                <w:szCs w:val="21"/>
                <w:highlight w:val="none"/>
              </w:rPr>
              <w:t>1000元/人·天</w:t>
            </w:r>
          </w:p>
        </w:tc>
        <w:tc>
          <w:tcPr>
            <w:tcW w:w="2236" w:type="dxa"/>
            <w:vAlign w:val="center"/>
          </w:tcPr>
          <w:p>
            <w:pPr>
              <w:jc w:val="center"/>
              <w:rPr>
                <w:rFonts w:cs="Times New Roman"/>
                <w:color w:val="auto"/>
                <w:szCs w:val="21"/>
                <w:highlight w:val="none"/>
              </w:rPr>
            </w:pPr>
            <w:r>
              <w:rPr>
                <w:rFonts w:cs="Times New Roman"/>
                <w:color w:val="auto"/>
                <w:szCs w:val="21"/>
                <w:highlight w:val="none"/>
              </w:rPr>
              <w:t>以发包人记录为依据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708" w:type="dxa"/>
            <w:vAlign w:val="center"/>
          </w:tcPr>
          <w:p>
            <w:pPr>
              <w:jc w:val="center"/>
              <w:rPr>
                <w:rFonts w:cs="Times New Roman"/>
                <w:color w:val="auto"/>
                <w:szCs w:val="21"/>
                <w:highlight w:val="none"/>
              </w:rPr>
            </w:pPr>
            <w:r>
              <w:rPr>
                <w:rFonts w:cs="Times New Roman"/>
                <w:color w:val="auto"/>
                <w:szCs w:val="21"/>
                <w:highlight w:val="none"/>
              </w:rPr>
              <w:t>3</w:t>
            </w:r>
          </w:p>
        </w:tc>
        <w:tc>
          <w:tcPr>
            <w:tcW w:w="4556" w:type="dxa"/>
            <w:vAlign w:val="center"/>
          </w:tcPr>
          <w:p>
            <w:pPr>
              <w:rPr>
                <w:rFonts w:cs="Times New Roman"/>
                <w:color w:val="auto"/>
                <w:szCs w:val="21"/>
                <w:highlight w:val="none"/>
                <w:lang w:eastAsia="zh-CN"/>
              </w:rPr>
            </w:pPr>
            <w:r>
              <w:rPr>
                <w:rFonts w:cs="Times New Roman"/>
                <w:color w:val="auto"/>
                <w:szCs w:val="21"/>
                <w:highlight w:val="none"/>
                <w:lang w:eastAsia="zh-CN"/>
              </w:rPr>
              <w:t>承包人在开工前，未按要求及时提交工程施工组织设计</w:t>
            </w:r>
            <w:r>
              <w:rPr>
                <w:rFonts w:hint="eastAsia" w:cs="Times New Roman"/>
                <w:color w:val="auto"/>
                <w:szCs w:val="21"/>
                <w:highlight w:val="none"/>
                <w:lang w:eastAsia="zh-CN"/>
              </w:rPr>
              <w:t>及</w:t>
            </w:r>
            <w:r>
              <w:rPr>
                <w:rFonts w:cs="Times New Roman"/>
                <w:color w:val="auto"/>
                <w:szCs w:val="21"/>
                <w:highlight w:val="none"/>
                <w:lang w:eastAsia="zh-CN"/>
              </w:rPr>
              <w:t>方案</w:t>
            </w:r>
          </w:p>
        </w:tc>
        <w:tc>
          <w:tcPr>
            <w:tcW w:w="2123" w:type="dxa"/>
            <w:vAlign w:val="center"/>
          </w:tcPr>
          <w:p>
            <w:pPr>
              <w:jc w:val="center"/>
              <w:rPr>
                <w:rFonts w:cs="Times New Roman"/>
                <w:color w:val="auto"/>
                <w:szCs w:val="21"/>
                <w:highlight w:val="none"/>
              </w:rPr>
            </w:pPr>
            <w:r>
              <w:rPr>
                <w:rFonts w:cs="Times New Roman"/>
                <w:color w:val="auto"/>
                <w:szCs w:val="21"/>
                <w:highlight w:val="none"/>
              </w:rPr>
              <w:t>500～5000元/天</w:t>
            </w:r>
          </w:p>
        </w:tc>
        <w:tc>
          <w:tcPr>
            <w:tcW w:w="2236" w:type="dxa"/>
            <w:vAlign w:val="center"/>
          </w:tcPr>
          <w:p>
            <w:pPr>
              <w:jc w:val="center"/>
              <w:rPr>
                <w:rFonts w:cs="Times New Roman"/>
                <w:color w:val="auto"/>
                <w:szCs w:val="21"/>
                <w:highlight w:val="none"/>
              </w:rPr>
            </w:pPr>
            <w:r>
              <w:rPr>
                <w:rFonts w:cs="Times New Roman"/>
                <w:color w:val="auto"/>
                <w:szCs w:val="21"/>
                <w:highlight w:val="none"/>
              </w:rPr>
              <w:t>以发包人记录为依据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708" w:type="dxa"/>
            <w:vAlign w:val="center"/>
          </w:tcPr>
          <w:p>
            <w:pPr>
              <w:jc w:val="center"/>
              <w:rPr>
                <w:rFonts w:cs="Times New Roman"/>
                <w:color w:val="auto"/>
                <w:szCs w:val="21"/>
                <w:highlight w:val="none"/>
              </w:rPr>
            </w:pPr>
            <w:r>
              <w:rPr>
                <w:rFonts w:cs="Times New Roman"/>
                <w:color w:val="auto"/>
                <w:szCs w:val="21"/>
                <w:highlight w:val="none"/>
              </w:rPr>
              <w:t>4</w:t>
            </w:r>
          </w:p>
        </w:tc>
        <w:tc>
          <w:tcPr>
            <w:tcW w:w="4556" w:type="dxa"/>
            <w:vAlign w:val="center"/>
          </w:tcPr>
          <w:p>
            <w:pPr>
              <w:rPr>
                <w:rFonts w:cs="Times New Roman"/>
                <w:color w:val="auto"/>
                <w:szCs w:val="21"/>
                <w:highlight w:val="none"/>
                <w:lang w:eastAsia="zh-CN"/>
              </w:rPr>
            </w:pPr>
            <w:r>
              <w:rPr>
                <w:rFonts w:cs="Times New Roman"/>
                <w:color w:val="auto"/>
                <w:szCs w:val="21"/>
                <w:highlight w:val="none"/>
                <w:lang w:eastAsia="zh-CN"/>
              </w:rPr>
              <w:t>承包人应当对危险性较大的分部分项工程编制专项施工方案，经施工单位技术负责人、总监理工程师签字后实施，由专职安全生产管理人员进行现场监督。</w:t>
            </w:r>
          </w:p>
        </w:tc>
        <w:tc>
          <w:tcPr>
            <w:tcW w:w="2123" w:type="dxa"/>
            <w:vAlign w:val="center"/>
          </w:tcPr>
          <w:p>
            <w:pPr>
              <w:jc w:val="center"/>
              <w:rPr>
                <w:rFonts w:cs="Times New Roman"/>
                <w:color w:val="auto"/>
                <w:szCs w:val="21"/>
                <w:highlight w:val="none"/>
                <w:lang w:eastAsia="zh-CN"/>
              </w:rPr>
            </w:pPr>
            <w:r>
              <w:rPr>
                <w:rFonts w:cs="Times New Roman"/>
                <w:color w:val="auto"/>
                <w:szCs w:val="21"/>
                <w:highlight w:val="none"/>
                <w:lang w:eastAsia="zh-CN"/>
              </w:rPr>
              <w:t>未编制及方案未经审核即进行施工者处5000 元/次，需专家论证而未进行专家论证即行施工的处10000 元/次</w:t>
            </w:r>
          </w:p>
        </w:tc>
        <w:tc>
          <w:tcPr>
            <w:tcW w:w="2236" w:type="dxa"/>
            <w:vAlign w:val="center"/>
          </w:tcPr>
          <w:p>
            <w:pPr>
              <w:jc w:val="center"/>
              <w:rPr>
                <w:rFonts w:cs="Times New Roman"/>
                <w:color w:val="auto"/>
                <w:szCs w:val="21"/>
                <w:highlight w:val="none"/>
              </w:rPr>
            </w:pPr>
            <w:r>
              <w:rPr>
                <w:rFonts w:cs="Times New Roman"/>
                <w:color w:val="auto"/>
                <w:szCs w:val="21"/>
                <w:highlight w:val="none"/>
              </w:rPr>
              <w:t>查记录及施工事实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708" w:type="dxa"/>
            <w:vAlign w:val="center"/>
          </w:tcPr>
          <w:p>
            <w:pPr>
              <w:jc w:val="center"/>
              <w:rPr>
                <w:rFonts w:cs="Times New Roman"/>
                <w:color w:val="auto"/>
                <w:szCs w:val="21"/>
                <w:highlight w:val="none"/>
              </w:rPr>
            </w:pPr>
            <w:r>
              <w:rPr>
                <w:rFonts w:cs="Times New Roman"/>
                <w:color w:val="auto"/>
                <w:szCs w:val="21"/>
                <w:highlight w:val="none"/>
              </w:rPr>
              <w:t>5</w:t>
            </w:r>
          </w:p>
        </w:tc>
        <w:tc>
          <w:tcPr>
            <w:tcW w:w="4556" w:type="dxa"/>
            <w:vAlign w:val="center"/>
          </w:tcPr>
          <w:p>
            <w:pPr>
              <w:rPr>
                <w:rFonts w:cs="Times New Roman"/>
                <w:color w:val="auto"/>
                <w:szCs w:val="21"/>
                <w:highlight w:val="none"/>
                <w:lang w:eastAsia="zh-CN"/>
              </w:rPr>
            </w:pPr>
            <w:r>
              <w:rPr>
                <w:rFonts w:cs="Times New Roman"/>
                <w:color w:val="auto"/>
                <w:szCs w:val="21"/>
                <w:highlight w:val="none"/>
                <w:lang w:eastAsia="zh-CN"/>
              </w:rPr>
              <w:t>承包人应当组织有关人员对按规定需要验收的危险性较大的分部分项工程进行验收。验收合格的，经施工单位项目技术负责人及项目总监理工程师签字后，方可进入下一道工序,否则处:</w:t>
            </w:r>
          </w:p>
        </w:tc>
        <w:tc>
          <w:tcPr>
            <w:tcW w:w="2123" w:type="dxa"/>
            <w:vAlign w:val="center"/>
          </w:tcPr>
          <w:p>
            <w:pPr>
              <w:jc w:val="center"/>
              <w:rPr>
                <w:rFonts w:cs="Times New Roman"/>
                <w:color w:val="auto"/>
                <w:szCs w:val="21"/>
                <w:highlight w:val="none"/>
              </w:rPr>
            </w:pPr>
            <w:r>
              <w:rPr>
                <w:rFonts w:cs="Times New Roman"/>
                <w:color w:val="auto"/>
                <w:szCs w:val="21"/>
                <w:highlight w:val="none"/>
              </w:rPr>
              <w:t>5000元/次</w:t>
            </w:r>
          </w:p>
        </w:tc>
        <w:tc>
          <w:tcPr>
            <w:tcW w:w="2236" w:type="dxa"/>
            <w:vAlign w:val="center"/>
          </w:tcPr>
          <w:p>
            <w:pPr>
              <w:jc w:val="center"/>
              <w:rPr>
                <w:rFonts w:cs="Times New Roman"/>
                <w:color w:val="auto"/>
                <w:szCs w:val="21"/>
                <w:highlight w:val="none"/>
              </w:rPr>
            </w:pPr>
            <w:r>
              <w:rPr>
                <w:rFonts w:cs="Times New Roman"/>
                <w:color w:val="auto"/>
                <w:szCs w:val="21"/>
                <w:highlight w:val="none"/>
              </w:rPr>
              <w:t>查记录及施工事实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708" w:type="dxa"/>
            <w:vAlign w:val="center"/>
          </w:tcPr>
          <w:p>
            <w:pPr>
              <w:jc w:val="center"/>
              <w:rPr>
                <w:rFonts w:cs="Times New Roman"/>
                <w:color w:val="auto"/>
                <w:szCs w:val="21"/>
                <w:highlight w:val="none"/>
              </w:rPr>
            </w:pPr>
            <w:r>
              <w:rPr>
                <w:rFonts w:cs="Times New Roman"/>
                <w:color w:val="auto"/>
                <w:szCs w:val="21"/>
                <w:highlight w:val="none"/>
              </w:rPr>
              <w:t>6</w:t>
            </w:r>
          </w:p>
        </w:tc>
        <w:tc>
          <w:tcPr>
            <w:tcW w:w="4556" w:type="dxa"/>
            <w:vAlign w:val="center"/>
          </w:tcPr>
          <w:p>
            <w:pPr>
              <w:rPr>
                <w:rFonts w:cs="Times New Roman"/>
                <w:color w:val="auto"/>
                <w:szCs w:val="21"/>
                <w:highlight w:val="none"/>
                <w:lang w:eastAsia="zh-CN"/>
              </w:rPr>
            </w:pPr>
            <w:r>
              <w:rPr>
                <w:rFonts w:cs="Times New Roman"/>
                <w:color w:val="auto"/>
                <w:szCs w:val="21"/>
                <w:highlight w:val="none"/>
                <w:lang w:eastAsia="zh-CN"/>
              </w:rPr>
              <w:t>不按已批复的方案施工，有可能引起安全隐患</w:t>
            </w:r>
          </w:p>
        </w:tc>
        <w:tc>
          <w:tcPr>
            <w:tcW w:w="2123" w:type="dxa"/>
            <w:vAlign w:val="center"/>
          </w:tcPr>
          <w:p>
            <w:pPr>
              <w:jc w:val="center"/>
              <w:rPr>
                <w:rFonts w:cs="Times New Roman"/>
                <w:color w:val="auto"/>
                <w:szCs w:val="21"/>
                <w:highlight w:val="none"/>
              </w:rPr>
            </w:pPr>
            <w:r>
              <w:rPr>
                <w:rFonts w:cs="Times New Roman"/>
                <w:color w:val="auto"/>
                <w:szCs w:val="21"/>
                <w:highlight w:val="none"/>
              </w:rPr>
              <w:t>3000~8000 元/次</w:t>
            </w:r>
          </w:p>
        </w:tc>
        <w:tc>
          <w:tcPr>
            <w:tcW w:w="2236" w:type="dxa"/>
            <w:vAlign w:val="center"/>
          </w:tcPr>
          <w:p>
            <w:pPr>
              <w:jc w:val="center"/>
              <w:rPr>
                <w:rFonts w:cs="Times New Roman"/>
                <w:color w:val="auto"/>
                <w:szCs w:val="21"/>
                <w:highlight w:val="none"/>
              </w:rPr>
            </w:pPr>
            <w:r>
              <w:rPr>
                <w:rFonts w:cs="Times New Roman"/>
                <w:color w:val="auto"/>
                <w:szCs w:val="21"/>
                <w:highlight w:val="none"/>
              </w:rPr>
              <w:t>查记录及施工事实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708" w:type="dxa"/>
            <w:vAlign w:val="center"/>
          </w:tcPr>
          <w:p>
            <w:pPr>
              <w:jc w:val="center"/>
              <w:rPr>
                <w:rFonts w:cs="Times New Roman"/>
                <w:color w:val="auto"/>
                <w:szCs w:val="21"/>
                <w:highlight w:val="none"/>
              </w:rPr>
            </w:pPr>
            <w:r>
              <w:rPr>
                <w:rFonts w:cs="Times New Roman"/>
                <w:color w:val="auto"/>
                <w:szCs w:val="21"/>
                <w:highlight w:val="none"/>
              </w:rPr>
              <w:t>7</w:t>
            </w:r>
          </w:p>
        </w:tc>
        <w:tc>
          <w:tcPr>
            <w:tcW w:w="4556" w:type="dxa"/>
            <w:vAlign w:val="center"/>
          </w:tcPr>
          <w:p>
            <w:pPr>
              <w:rPr>
                <w:rFonts w:cs="Times New Roman"/>
                <w:color w:val="auto"/>
                <w:szCs w:val="21"/>
                <w:highlight w:val="none"/>
                <w:lang w:eastAsia="zh-CN"/>
              </w:rPr>
            </w:pPr>
            <w:r>
              <w:rPr>
                <w:rFonts w:cs="Times New Roman"/>
                <w:color w:val="auto"/>
                <w:szCs w:val="21"/>
                <w:highlight w:val="none"/>
                <w:lang w:eastAsia="zh-CN"/>
              </w:rPr>
              <w:t>收到图纸14天内，未形成书面审查意见并提交给监理单位。</w:t>
            </w:r>
          </w:p>
        </w:tc>
        <w:tc>
          <w:tcPr>
            <w:tcW w:w="2123" w:type="dxa"/>
            <w:vAlign w:val="center"/>
          </w:tcPr>
          <w:p>
            <w:pPr>
              <w:jc w:val="center"/>
              <w:rPr>
                <w:rFonts w:cs="Times New Roman"/>
                <w:color w:val="auto"/>
                <w:szCs w:val="21"/>
                <w:highlight w:val="none"/>
              </w:rPr>
            </w:pPr>
            <w:r>
              <w:rPr>
                <w:rFonts w:cs="Times New Roman"/>
                <w:color w:val="auto"/>
                <w:szCs w:val="21"/>
                <w:highlight w:val="none"/>
              </w:rPr>
              <w:t>1000元/天</w:t>
            </w:r>
          </w:p>
        </w:tc>
        <w:tc>
          <w:tcPr>
            <w:tcW w:w="2236" w:type="dxa"/>
            <w:vAlign w:val="center"/>
          </w:tcPr>
          <w:p>
            <w:pPr>
              <w:jc w:val="center"/>
              <w:rPr>
                <w:rFonts w:cs="Times New Roman"/>
                <w:color w:val="auto"/>
                <w:szCs w:val="21"/>
                <w:highlight w:val="none"/>
              </w:rPr>
            </w:pPr>
            <w:r>
              <w:rPr>
                <w:rFonts w:cs="Times New Roman"/>
                <w:color w:val="auto"/>
                <w:szCs w:val="21"/>
                <w:highlight w:val="none"/>
              </w:rPr>
              <w:t>以发包人记录为依据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708" w:type="dxa"/>
            <w:vAlign w:val="center"/>
          </w:tcPr>
          <w:p>
            <w:pPr>
              <w:jc w:val="center"/>
              <w:rPr>
                <w:rFonts w:cs="Times New Roman"/>
                <w:color w:val="auto"/>
                <w:szCs w:val="21"/>
                <w:highlight w:val="none"/>
              </w:rPr>
            </w:pPr>
            <w:r>
              <w:rPr>
                <w:rFonts w:cs="Times New Roman"/>
                <w:color w:val="auto"/>
                <w:szCs w:val="21"/>
                <w:highlight w:val="none"/>
              </w:rPr>
              <w:t>8</w:t>
            </w:r>
          </w:p>
        </w:tc>
        <w:tc>
          <w:tcPr>
            <w:tcW w:w="4556" w:type="dxa"/>
            <w:vAlign w:val="center"/>
          </w:tcPr>
          <w:p>
            <w:pPr>
              <w:rPr>
                <w:rFonts w:cs="Times New Roman"/>
                <w:color w:val="auto"/>
                <w:szCs w:val="21"/>
                <w:highlight w:val="none"/>
                <w:lang w:eastAsia="zh-CN"/>
              </w:rPr>
            </w:pPr>
            <w:r>
              <w:rPr>
                <w:rFonts w:cs="Times New Roman"/>
                <w:color w:val="auto"/>
                <w:szCs w:val="21"/>
                <w:highlight w:val="none"/>
                <w:lang w:eastAsia="zh-CN"/>
              </w:rPr>
              <w:t>在图纸设计交底后14天内(最迟不得晚于开工前14天) ，未提交预留预埋图。</w:t>
            </w:r>
          </w:p>
        </w:tc>
        <w:tc>
          <w:tcPr>
            <w:tcW w:w="2123" w:type="dxa"/>
            <w:vAlign w:val="center"/>
          </w:tcPr>
          <w:p>
            <w:pPr>
              <w:jc w:val="center"/>
              <w:rPr>
                <w:rFonts w:cs="Times New Roman"/>
                <w:color w:val="auto"/>
                <w:szCs w:val="21"/>
                <w:highlight w:val="none"/>
              </w:rPr>
            </w:pPr>
            <w:r>
              <w:rPr>
                <w:rFonts w:cs="Times New Roman"/>
                <w:color w:val="auto"/>
                <w:szCs w:val="21"/>
                <w:highlight w:val="none"/>
              </w:rPr>
              <w:t>1000元/天</w:t>
            </w:r>
          </w:p>
        </w:tc>
        <w:tc>
          <w:tcPr>
            <w:tcW w:w="2236" w:type="dxa"/>
            <w:vAlign w:val="center"/>
          </w:tcPr>
          <w:p>
            <w:pPr>
              <w:jc w:val="center"/>
              <w:rPr>
                <w:rFonts w:cs="Times New Roman"/>
                <w:color w:val="auto"/>
                <w:szCs w:val="21"/>
                <w:highlight w:val="none"/>
              </w:rPr>
            </w:pPr>
            <w:r>
              <w:rPr>
                <w:rFonts w:cs="Times New Roman"/>
                <w:color w:val="auto"/>
                <w:szCs w:val="21"/>
                <w:highlight w:val="none"/>
              </w:rPr>
              <w:t>以发包人记录为依据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708" w:type="dxa"/>
            <w:vAlign w:val="center"/>
          </w:tcPr>
          <w:p>
            <w:pPr>
              <w:jc w:val="center"/>
              <w:rPr>
                <w:rFonts w:cs="Times New Roman"/>
                <w:color w:val="auto"/>
                <w:szCs w:val="21"/>
                <w:highlight w:val="none"/>
              </w:rPr>
            </w:pPr>
            <w:r>
              <w:rPr>
                <w:rFonts w:cs="Times New Roman"/>
                <w:color w:val="auto"/>
                <w:szCs w:val="21"/>
                <w:highlight w:val="none"/>
              </w:rPr>
              <w:t>9</w:t>
            </w:r>
          </w:p>
        </w:tc>
        <w:tc>
          <w:tcPr>
            <w:tcW w:w="4556" w:type="dxa"/>
            <w:vAlign w:val="center"/>
          </w:tcPr>
          <w:p>
            <w:pPr>
              <w:rPr>
                <w:rFonts w:cs="Times New Roman"/>
                <w:color w:val="auto"/>
                <w:szCs w:val="21"/>
                <w:highlight w:val="none"/>
                <w:lang w:eastAsia="zh-CN"/>
              </w:rPr>
            </w:pPr>
            <w:r>
              <w:rPr>
                <w:rFonts w:cs="Times New Roman"/>
                <w:color w:val="auto"/>
                <w:szCs w:val="21"/>
                <w:highlight w:val="none"/>
                <w:lang w:eastAsia="zh-CN"/>
              </w:rPr>
              <w:t>由于预留预埋图不准确或遗漏，造成主体完工后凿打结构的，除返工之外。</w:t>
            </w:r>
          </w:p>
        </w:tc>
        <w:tc>
          <w:tcPr>
            <w:tcW w:w="2123" w:type="dxa"/>
            <w:vAlign w:val="center"/>
          </w:tcPr>
          <w:p>
            <w:pPr>
              <w:jc w:val="center"/>
              <w:rPr>
                <w:rFonts w:cs="Times New Roman"/>
                <w:color w:val="auto"/>
                <w:szCs w:val="21"/>
                <w:highlight w:val="none"/>
              </w:rPr>
            </w:pPr>
            <w:r>
              <w:rPr>
                <w:rFonts w:cs="Times New Roman"/>
                <w:color w:val="auto"/>
                <w:szCs w:val="21"/>
                <w:highlight w:val="none"/>
              </w:rPr>
              <w:t>1000元/项</w:t>
            </w:r>
          </w:p>
        </w:tc>
        <w:tc>
          <w:tcPr>
            <w:tcW w:w="2236" w:type="dxa"/>
            <w:vAlign w:val="center"/>
          </w:tcPr>
          <w:p>
            <w:pPr>
              <w:jc w:val="center"/>
              <w:rPr>
                <w:rFonts w:cs="Times New Roman"/>
                <w:color w:val="auto"/>
                <w:szCs w:val="21"/>
                <w:highlight w:val="none"/>
              </w:rPr>
            </w:pPr>
            <w:r>
              <w:rPr>
                <w:rFonts w:cs="Times New Roman"/>
                <w:color w:val="auto"/>
                <w:szCs w:val="21"/>
                <w:highlight w:val="none"/>
              </w:rPr>
              <w:t>查记录及施工事实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708" w:type="dxa"/>
            <w:vAlign w:val="center"/>
          </w:tcPr>
          <w:p>
            <w:pPr>
              <w:jc w:val="center"/>
              <w:rPr>
                <w:rFonts w:cs="Times New Roman"/>
                <w:color w:val="auto"/>
                <w:szCs w:val="21"/>
                <w:highlight w:val="none"/>
              </w:rPr>
            </w:pPr>
            <w:r>
              <w:rPr>
                <w:rFonts w:cs="Times New Roman"/>
                <w:color w:val="auto"/>
                <w:szCs w:val="21"/>
                <w:highlight w:val="none"/>
              </w:rPr>
              <w:t>10</w:t>
            </w:r>
          </w:p>
        </w:tc>
        <w:tc>
          <w:tcPr>
            <w:tcW w:w="4556" w:type="dxa"/>
            <w:vAlign w:val="center"/>
          </w:tcPr>
          <w:p>
            <w:pPr>
              <w:rPr>
                <w:rFonts w:cs="Times New Roman"/>
                <w:color w:val="auto"/>
                <w:szCs w:val="21"/>
                <w:highlight w:val="none"/>
                <w:lang w:eastAsia="zh-CN"/>
              </w:rPr>
            </w:pPr>
            <w:r>
              <w:rPr>
                <w:rFonts w:cs="Times New Roman"/>
                <w:color w:val="auto"/>
                <w:szCs w:val="21"/>
                <w:highlight w:val="none"/>
                <w:lang w:eastAsia="zh-CN"/>
              </w:rPr>
              <w:t>承包人未组织三级施工技术及安全交底及学习。</w:t>
            </w:r>
          </w:p>
        </w:tc>
        <w:tc>
          <w:tcPr>
            <w:tcW w:w="2123" w:type="dxa"/>
            <w:vAlign w:val="center"/>
          </w:tcPr>
          <w:p>
            <w:pPr>
              <w:jc w:val="center"/>
              <w:rPr>
                <w:rFonts w:cs="Times New Roman"/>
                <w:color w:val="auto"/>
                <w:szCs w:val="21"/>
                <w:highlight w:val="none"/>
              </w:rPr>
            </w:pPr>
            <w:r>
              <w:rPr>
                <w:rFonts w:cs="Times New Roman"/>
                <w:color w:val="auto"/>
                <w:szCs w:val="21"/>
                <w:highlight w:val="none"/>
              </w:rPr>
              <w:t>1000元/次</w:t>
            </w:r>
          </w:p>
        </w:tc>
        <w:tc>
          <w:tcPr>
            <w:tcW w:w="2236" w:type="dxa"/>
            <w:vAlign w:val="center"/>
          </w:tcPr>
          <w:p>
            <w:pPr>
              <w:jc w:val="center"/>
              <w:rPr>
                <w:rFonts w:cs="Times New Roman"/>
                <w:color w:val="auto"/>
                <w:szCs w:val="21"/>
                <w:highlight w:val="none"/>
              </w:rPr>
            </w:pPr>
            <w:r>
              <w:rPr>
                <w:rFonts w:cs="Times New Roman"/>
                <w:color w:val="auto"/>
                <w:szCs w:val="21"/>
                <w:highlight w:val="none"/>
              </w:rPr>
              <w:t>以发包人记录为依据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708" w:type="dxa"/>
            <w:vAlign w:val="center"/>
          </w:tcPr>
          <w:p>
            <w:pPr>
              <w:jc w:val="center"/>
              <w:rPr>
                <w:rFonts w:cs="Times New Roman"/>
                <w:color w:val="auto"/>
                <w:szCs w:val="21"/>
                <w:highlight w:val="none"/>
              </w:rPr>
            </w:pPr>
            <w:r>
              <w:rPr>
                <w:rFonts w:cs="Times New Roman"/>
                <w:color w:val="auto"/>
                <w:szCs w:val="21"/>
                <w:highlight w:val="none"/>
              </w:rPr>
              <w:t>11</w:t>
            </w:r>
          </w:p>
        </w:tc>
        <w:tc>
          <w:tcPr>
            <w:tcW w:w="4556" w:type="dxa"/>
            <w:vAlign w:val="center"/>
          </w:tcPr>
          <w:p>
            <w:pPr>
              <w:rPr>
                <w:rFonts w:cs="Times New Roman"/>
                <w:color w:val="auto"/>
                <w:szCs w:val="21"/>
                <w:highlight w:val="none"/>
                <w:lang w:eastAsia="zh-CN"/>
              </w:rPr>
            </w:pPr>
            <w:r>
              <w:rPr>
                <w:rFonts w:cs="Times New Roman"/>
                <w:color w:val="auto"/>
                <w:szCs w:val="21"/>
                <w:highlight w:val="none"/>
                <w:lang w:eastAsia="zh-CN"/>
              </w:rPr>
              <w:t>由于设计的重大修改或现场条件、工艺的变化，未重新组织交底。</w:t>
            </w:r>
          </w:p>
        </w:tc>
        <w:tc>
          <w:tcPr>
            <w:tcW w:w="2123" w:type="dxa"/>
            <w:vAlign w:val="center"/>
          </w:tcPr>
          <w:p>
            <w:pPr>
              <w:jc w:val="center"/>
              <w:rPr>
                <w:rFonts w:cs="Times New Roman"/>
                <w:color w:val="auto"/>
                <w:szCs w:val="21"/>
                <w:highlight w:val="none"/>
              </w:rPr>
            </w:pPr>
            <w:r>
              <w:rPr>
                <w:rFonts w:cs="Times New Roman"/>
                <w:color w:val="auto"/>
                <w:szCs w:val="21"/>
                <w:highlight w:val="none"/>
              </w:rPr>
              <w:t>1000元/次</w:t>
            </w:r>
          </w:p>
        </w:tc>
        <w:tc>
          <w:tcPr>
            <w:tcW w:w="2236" w:type="dxa"/>
            <w:vAlign w:val="center"/>
          </w:tcPr>
          <w:p>
            <w:pPr>
              <w:jc w:val="center"/>
              <w:rPr>
                <w:rFonts w:cs="Times New Roman"/>
                <w:color w:val="auto"/>
                <w:szCs w:val="21"/>
                <w:highlight w:val="none"/>
              </w:rPr>
            </w:pPr>
            <w:r>
              <w:rPr>
                <w:rFonts w:cs="Times New Roman"/>
                <w:color w:val="auto"/>
                <w:szCs w:val="21"/>
                <w:highlight w:val="none"/>
              </w:rPr>
              <w:t>以发包人记录为依据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708" w:type="dxa"/>
            <w:vAlign w:val="center"/>
          </w:tcPr>
          <w:p>
            <w:pPr>
              <w:jc w:val="center"/>
              <w:rPr>
                <w:rFonts w:cs="Times New Roman"/>
                <w:color w:val="auto"/>
                <w:szCs w:val="21"/>
                <w:highlight w:val="none"/>
              </w:rPr>
            </w:pPr>
            <w:r>
              <w:rPr>
                <w:rFonts w:cs="Times New Roman"/>
                <w:color w:val="auto"/>
                <w:szCs w:val="21"/>
                <w:highlight w:val="none"/>
              </w:rPr>
              <w:t>12</w:t>
            </w:r>
          </w:p>
        </w:tc>
        <w:tc>
          <w:tcPr>
            <w:tcW w:w="4556" w:type="dxa"/>
            <w:vAlign w:val="center"/>
          </w:tcPr>
          <w:p>
            <w:pPr>
              <w:rPr>
                <w:rFonts w:cs="Times New Roman"/>
                <w:color w:val="auto"/>
                <w:szCs w:val="21"/>
                <w:highlight w:val="none"/>
                <w:lang w:eastAsia="zh-CN"/>
              </w:rPr>
            </w:pPr>
            <w:r>
              <w:rPr>
                <w:rFonts w:cs="Times New Roman"/>
                <w:color w:val="auto"/>
                <w:szCs w:val="21"/>
                <w:highlight w:val="none"/>
                <w:lang w:eastAsia="zh-CN"/>
              </w:rPr>
              <w:t>在施工过程中，如发包人或监理现场检查提问施工操作人员交底情况不明或未学习。</w:t>
            </w:r>
          </w:p>
        </w:tc>
        <w:tc>
          <w:tcPr>
            <w:tcW w:w="2123" w:type="dxa"/>
            <w:vAlign w:val="center"/>
          </w:tcPr>
          <w:p>
            <w:pPr>
              <w:jc w:val="center"/>
              <w:rPr>
                <w:rFonts w:cs="Times New Roman"/>
                <w:color w:val="auto"/>
                <w:szCs w:val="21"/>
                <w:highlight w:val="none"/>
              </w:rPr>
            </w:pPr>
            <w:r>
              <w:rPr>
                <w:rFonts w:cs="Times New Roman"/>
                <w:color w:val="auto"/>
                <w:szCs w:val="21"/>
                <w:highlight w:val="none"/>
              </w:rPr>
              <w:t>500元/人·次</w:t>
            </w:r>
          </w:p>
        </w:tc>
        <w:tc>
          <w:tcPr>
            <w:tcW w:w="2236" w:type="dxa"/>
            <w:vAlign w:val="center"/>
          </w:tcPr>
          <w:p>
            <w:pPr>
              <w:jc w:val="center"/>
              <w:rPr>
                <w:rFonts w:cs="Times New Roman"/>
                <w:color w:val="auto"/>
                <w:szCs w:val="21"/>
                <w:highlight w:val="none"/>
              </w:rPr>
            </w:pPr>
            <w:r>
              <w:rPr>
                <w:rFonts w:cs="Times New Roman"/>
                <w:color w:val="auto"/>
                <w:szCs w:val="21"/>
                <w:highlight w:val="none"/>
              </w:rPr>
              <w:t>以发包人记录为依据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708" w:type="dxa"/>
            <w:vAlign w:val="center"/>
          </w:tcPr>
          <w:p>
            <w:pPr>
              <w:jc w:val="center"/>
              <w:rPr>
                <w:rFonts w:cs="Times New Roman"/>
                <w:color w:val="auto"/>
                <w:szCs w:val="21"/>
                <w:highlight w:val="none"/>
              </w:rPr>
            </w:pPr>
            <w:r>
              <w:rPr>
                <w:rFonts w:cs="Times New Roman"/>
                <w:color w:val="auto"/>
                <w:szCs w:val="21"/>
                <w:highlight w:val="none"/>
              </w:rPr>
              <w:t>13</w:t>
            </w:r>
          </w:p>
        </w:tc>
        <w:tc>
          <w:tcPr>
            <w:tcW w:w="4556" w:type="dxa"/>
            <w:vAlign w:val="center"/>
          </w:tcPr>
          <w:p>
            <w:pPr>
              <w:rPr>
                <w:rFonts w:cs="Times New Roman"/>
                <w:color w:val="auto"/>
                <w:szCs w:val="21"/>
                <w:highlight w:val="none"/>
                <w:lang w:eastAsia="zh-CN"/>
              </w:rPr>
            </w:pPr>
            <w:r>
              <w:rPr>
                <w:rFonts w:cs="Times New Roman"/>
                <w:color w:val="auto"/>
                <w:szCs w:val="21"/>
                <w:highlight w:val="none"/>
                <w:lang w:eastAsia="zh-CN"/>
              </w:rPr>
              <w:t>对检查不符合要求的技术交底，监理单位发出重新交底的通知，但承包人未按监理要求实施。</w:t>
            </w:r>
          </w:p>
        </w:tc>
        <w:tc>
          <w:tcPr>
            <w:tcW w:w="2123" w:type="dxa"/>
            <w:vAlign w:val="center"/>
          </w:tcPr>
          <w:p>
            <w:pPr>
              <w:jc w:val="center"/>
              <w:rPr>
                <w:rFonts w:cs="Times New Roman"/>
                <w:color w:val="auto"/>
                <w:szCs w:val="21"/>
                <w:highlight w:val="none"/>
              </w:rPr>
            </w:pPr>
            <w:r>
              <w:rPr>
                <w:rFonts w:cs="Times New Roman"/>
                <w:color w:val="auto"/>
                <w:szCs w:val="21"/>
                <w:highlight w:val="none"/>
              </w:rPr>
              <w:t>1000元/次</w:t>
            </w:r>
          </w:p>
        </w:tc>
        <w:tc>
          <w:tcPr>
            <w:tcW w:w="2236" w:type="dxa"/>
            <w:vAlign w:val="center"/>
          </w:tcPr>
          <w:p>
            <w:pPr>
              <w:jc w:val="center"/>
              <w:rPr>
                <w:rFonts w:cs="Times New Roman"/>
                <w:color w:val="auto"/>
                <w:szCs w:val="21"/>
                <w:highlight w:val="none"/>
              </w:rPr>
            </w:pPr>
            <w:r>
              <w:rPr>
                <w:rFonts w:cs="Times New Roman"/>
                <w:color w:val="auto"/>
                <w:szCs w:val="21"/>
                <w:highlight w:val="none"/>
              </w:rPr>
              <w:t>以发包人记录为依据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708" w:type="dxa"/>
            <w:vAlign w:val="center"/>
          </w:tcPr>
          <w:p>
            <w:pPr>
              <w:jc w:val="center"/>
              <w:rPr>
                <w:rFonts w:cs="Times New Roman"/>
                <w:color w:val="auto"/>
                <w:szCs w:val="21"/>
                <w:highlight w:val="none"/>
              </w:rPr>
            </w:pPr>
            <w:r>
              <w:rPr>
                <w:rFonts w:cs="Times New Roman"/>
                <w:color w:val="auto"/>
                <w:szCs w:val="21"/>
                <w:highlight w:val="none"/>
              </w:rPr>
              <w:t>14</w:t>
            </w:r>
          </w:p>
        </w:tc>
        <w:tc>
          <w:tcPr>
            <w:tcW w:w="4556" w:type="dxa"/>
            <w:vAlign w:val="center"/>
          </w:tcPr>
          <w:p>
            <w:pPr>
              <w:rPr>
                <w:rFonts w:cs="Times New Roman"/>
                <w:color w:val="auto"/>
                <w:szCs w:val="21"/>
                <w:highlight w:val="none"/>
                <w:lang w:eastAsia="zh-CN"/>
              </w:rPr>
            </w:pPr>
            <w:r>
              <w:rPr>
                <w:rFonts w:cs="Times New Roman"/>
                <w:color w:val="auto"/>
                <w:szCs w:val="21"/>
                <w:highlight w:val="none"/>
                <w:lang w:eastAsia="zh-CN"/>
              </w:rPr>
              <w:t>交叉互检验收合格的工序，施工班组检查不细致、不认真或不检查就直接在验收资料上签字确认。</w:t>
            </w:r>
          </w:p>
        </w:tc>
        <w:tc>
          <w:tcPr>
            <w:tcW w:w="2123" w:type="dxa"/>
            <w:vAlign w:val="center"/>
          </w:tcPr>
          <w:p>
            <w:pPr>
              <w:jc w:val="center"/>
              <w:rPr>
                <w:rFonts w:cs="Times New Roman"/>
                <w:color w:val="auto"/>
                <w:szCs w:val="21"/>
                <w:highlight w:val="none"/>
              </w:rPr>
            </w:pPr>
            <w:r>
              <w:rPr>
                <w:rFonts w:cs="Times New Roman"/>
                <w:color w:val="auto"/>
                <w:szCs w:val="21"/>
                <w:highlight w:val="none"/>
              </w:rPr>
              <w:t>1000~2000元/次</w:t>
            </w:r>
          </w:p>
        </w:tc>
        <w:tc>
          <w:tcPr>
            <w:tcW w:w="2236" w:type="dxa"/>
            <w:vAlign w:val="center"/>
          </w:tcPr>
          <w:p>
            <w:pPr>
              <w:jc w:val="center"/>
              <w:rPr>
                <w:rFonts w:cs="Times New Roman"/>
                <w:color w:val="auto"/>
                <w:szCs w:val="21"/>
                <w:highlight w:val="none"/>
              </w:rPr>
            </w:pPr>
            <w:r>
              <w:rPr>
                <w:rFonts w:cs="Times New Roman"/>
                <w:color w:val="auto"/>
                <w:szCs w:val="21"/>
                <w:highlight w:val="none"/>
              </w:rPr>
              <w:t>以发包人记录为依据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708" w:type="dxa"/>
            <w:vAlign w:val="center"/>
          </w:tcPr>
          <w:p>
            <w:pPr>
              <w:jc w:val="center"/>
              <w:rPr>
                <w:rFonts w:cs="Times New Roman"/>
                <w:color w:val="auto"/>
                <w:szCs w:val="21"/>
                <w:highlight w:val="none"/>
              </w:rPr>
            </w:pPr>
            <w:r>
              <w:rPr>
                <w:rFonts w:cs="Times New Roman"/>
                <w:color w:val="auto"/>
                <w:szCs w:val="21"/>
                <w:highlight w:val="none"/>
              </w:rPr>
              <w:t>15</w:t>
            </w:r>
          </w:p>
        </w:tc>
        <w:tc>
          <w:tcPr>
            <w:tcW w:w="4556" w:type="dxa"/>
            <w:vAlign w:val="center"/>
          </w:tcPr>
          <w:p>
            <w:pPr>
              <w:rPr>
                <w:rFonts w:cs="Times New Roman"/>
                <w:color w:val="auto"/>
                <w:szCs w:val="21"/>
                <w:highlight w:val="none"/>
                <w:lang w:eastAsia="zh-CN"/>
              </w:rPr>
            </w:pPr>
            <w:r>
              <w:rPr>
                <w:rFonts w:cs="Times New Roman"/>
                <w:color w:val="auto"/>
                <w:szCs w:val="21"/>
                <w:highlight w:val="none"/>
                <w:lang w:eastAsia="zh-CN"/>
              </w:rPr>
              <w:t>施工报验资料不能及时、真实、完整提供和进行报审，发包（监理）方指出累计两次以上仍未按要求时间报送，或报送虚假无效资料</w:t>
            </w:r>
          </w:p>
        </w:tc>
        <w:tc>
          <w:tcPr>
            <w:tcW w:w="2123" w:type="dxa"/>
            <w:vAlign w:val="center"/>
          </w:tcPr>
          <w:p>
            <w:pPr>
              <w:jc w:val="center"/>
              <w:rPr>
                <w:rFonts w:cs="Times New Roman"/>
                <w:color w:val="auto"/>
                <w:szCs w:val="21"/>
                <w:highlight w:val="none"/>
              </w:rPr>
            </w:pPr>
            <w:r>
              <w:rPr>
                <w:rFonts w:cs="Times New Roman"/>
                <w:color w:val="auto"/>
                <w:szCs w:val="21"/>
                <w:highlight w:val="none"/>
              </w:rPr>
              <w:t>2000元/次</w:t>
            </w:r>
          </w:p>
        </w:tc>
        <w:tc>
          <w:tcPr>
            <w:tcW w:w="2236" w:type="dxa"/>
            <w:vAlign w:val="center"/>
          </w:tcPr>
          <w:p>
            <w:pPr>
              <w:rPr>
                <w:rFonts w:cs="Times New Roman"/>
                <w:color w:val="auto"/>
                <w:szCs w:val="21"/>
                <w:highlight w:val="none"/>
                <w:lang w:eastAsia="zh-CN"/>
              </w:rPr>
            </w:pPr>
            <w:r>
              <w:rPr>
                <w:rFonts w:cs="Times New Roman"/>
                <w:color w:val="auto"/>
                <w:szCs w:val="21"/>
                <w:highlight w:val="none"/>
                <w:lang w:eastAsia="zh-CN"/>
              </w:rPr>
              <w:t>承包人承担其他不良后果的责任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708" w:type="dxa"/>
            <w:vAlign w:val="center"/>
          </w:tcPr>
          <w:p>
            <w:pPr>
              <w:jc w:val="center"/>
              <w:rPr>
                <w:rFonts w:cs="Times New Roman"/>
                <w:color w:val="auto"/>
                <w:szCs w:val="21"/>
                <w:highlight w:val="none"/>
              </w:rPr>
            </w:pPr>
            <w:r>
              <w:rPr>
                <w:rFonts w:cs="Times New Roman"/>
                <w:color w:val="auto"/>
                <w:szCs w:val="21"/>
                <w:highlight w:val="none"/>
              </w:rPr>
              <w:t>16</w:t>
            </w:r>
          </w:p>
        </w:tc>
        <w:tc>
          <w:tcPr>
            <w:tcW w:w="4556" w:type="dxa"/>
            <w:vAlign w:val="center"/>
          </w:tcPr>
          <w:p>
            <w:pPr>
              <w:rPr>
                <w:rFonts w:cs="Times New Roman"/>
                <w:color w:val="auto"/>
                <w:szCs w:val="21"/>
                <w:highlight w:val="none"/>
                <w:lang w:eastAsia="zh-CN"/>
              </w:rPr>
            </w:pPr>
            <w:r>
              <w:rPr>
                <w:rFonts w:cs="Times New Roman"/>
                <w:color w:val="auto"/>
                <w:szCs w:val="21"/>
                <w:highlight w:val="none"/>
                <w:lang w:eastAsia="zh-CN"/>
              </w:rPr>
              <w:t>工程资料整理未在规定的时限内完成</w:t>
            </w:r>
          </w:p>
        </w:tc>
        <w:tc>
          <w:tcPr>
            <w:tcW w:w="2123" w:type="dxa"/>
            <w:vAlign w:val="center"/>
          </w:tcPr>
          <w:p>
            <w:pPr>
              <w:jc w:val="center"/>
              <w:rPr>
                <w:rFonts w:cs="Times New Roman"/>
                <w:color w:val="auto"/>
                <w:szCs w:val="21"/>
                <w:highlight w:val="none"/>
              </w:rPr>
            </w:pPr>
            <w:r>
              <w:rPr>
                <w:rFonts w:cs="Times New Roman"/>
                <w:color w:val="auto"/>
                <w:szCs w:val="21"/>
                <w:highlight w:val="none"/>
              </w:rPr>
              <w:t>500 元/天</w:t>
            </w:r>
          </w:p>
        </w:tc>
        <w:tc>
          <w:tcPr>
            <w:tcW w:w="2236" w:type="dxa"/>
            <w:vAlign w:val="center"/>
          </w:tcPr>
          <w:p>
            <w:pPr>
              <w:jc w:val="center"/>
              <w:rPr>
                <w:rFonts w:cs="Times New Roman"/>
                <w:color w:val="auto"/>
                <w:szCs w:val="21"/>
                <w:highlight w:val="none"/>
              </w:rPr>
            </w:pPr>
            <w:r>
              <w:rPr>
                <w:rFonts w:cs="Times New Roman"/>
                <w:color w:val="auto"/>
                <w:szCs w:val="21"/>
                <w:highlight w:val="none"/>
              </w:rPr>
              <w:t>查移交记录</w:t>
            </w:r>
          </w:p>
        </w:tc>
      </w:tr>
    </w:tbl>
    <w:p>
      <w:pPr>
        <w:spacing w:before="240" w:after="240"/>
        <w:outlineLvl w:val="2"/>
        <w:rPr>
          <w:b/>
          <w:color w:val="auto"/>
          <w:highlight w:val="none"/>
          <w:lang w:eastAsia="zh-CN"/>
        </w:rPr>
      </w:pPr>
      <w:r>
        <w:rPr>
          <w:b/>
          <w:color w:val="auto"/>
          <w:highlight w:val="none"/>
          <w:lang w:eastAsia="zh-CN"/>
        </w:rPr>
        <w:t>5、现场工期进度管理方面的处罚细则</w:t>
      </w:r>
    </w:p>
    <w:tbl>
      <w:tblPr>
        <w:tblStyle w:val="85"/>
        <w:tblW w:w="0" w:type="auto"/>
        <w:tblInd w:w="-60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 w:type="dxa"/>
          <w:bottom w:w="0" w:type="dxa"/>
          <w:right w:w="10" w:type="dxa"/>
        </w:tblCellMar>
      </w:tblPr>
      <w:tblGrid>
        <w:gridCol w:w="709"/>
        <w:gridCol w:w="4536"/>
        <w:gridCol w:w="2127"/>
        <w:gridCol w:w="226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trHeight w:val="737" w:hRule="atLeast"/>
        </w:trPr>
        <w:tc>
          <w:tcPr>
            <w:tcW w:w="709" w:type="dxa"/>
            <w:tcBorders>
              <w:top w:val="single" w:color="000000" w:sz="4" w:space="0"/>
              <w:left w:val="single" w:color="000000" w:sz="4" w:space="0"/>
              <w:bottom w:val="single" w:color="000000" w:sz="4" w:space="0"/>
              <w:right w:val="single" w:color="000000" w:sz="4" w:space="0"/>
            </w:tcBorders>
            <w:vAlign w:val="center"/>
          </w:tcPr>
          <w:p>
            <w:pPr>
              <w:jc w:val="center"/>
              <w:rPr>
                <w:rFonts w:cs="Times New Roman"/>
                <w:color w:val="auto"/>
                <w:szCs w:val="21"/>
                <w:highlight w:val="none"/>
              </w:rPr>
            </w:pPr>
            <w:r>
              <w:rPr>
                <w:rFonts w:cs="Times New Roman"/>
                <w:color w:val="auto"/>
                <w:szCs w:val="21"/>
                <w:highlight w:val="none"/>
              </w:rPr>
              <w:t>序号</w:t>
            </w:r>
          </w:p>
        </w:tc>
        <w:tc>
          <w:tcPr>
            <w:tcW w:w="4536" w:type="dxa"/>
            <w:tcBorders>
              <w:top w:val="single" w:color="000000" w:sz="4" w:space="0"/>
              <w:left w:val="single" w:color="000000" w:sz="4" w:space="0"/>
              <w:bottom w:val="single" w:color="000000" w:sz="4" w:space="0"/>
              <w:right w:val="single" w:color="000000" w:sz="4" w:space="0"/>
            </w:tcBorders>
            <w:vAlign w:val="center"/>
          </w:tcPr>
          <w:p>
            <w:pPr>
              <w:jc w:val="center"/>
              <w:rPr>
                <w:rFonts w:cs="Times New Roman"/>
                <w:color w:val="auto"/>
                <w:szCs w:val="21"/>
                <w:highlight w:val="none"/>
              </w:rPr>
            </w:pPr>
            <w:r>
              <w:rPr>
                <w:rFonts w:cs="Times New Roman"/>
                <w:color w:val="auto"/>
                <w:szCs w:val="21"/>
                <w:highlight w:val="none"/>
              </w:rPr>
              <w:t>事项</w:t>
            </w:r>
          </w:p>
        </w:tc>
        <w:tc>
          <w:tcPr>
            <w:tcW w:w="2127" w:type="dxa"/>
            <w:tcBorders>
              <w:top w:val="single" w:color="000000" w:sz="4" w:space="0"/>
              <w:left w:val="single" w:color="000000" w:sz="4" w:space="0"/>
              <w:bottom w:val="single" w:color="000000" w:sz="4" w:space="0"/>
              <w:right w:val="single" w:color="000000" w:sz="4" w:space="0"/>
            </w:tcBorders>
            <w:vAlign w:val="center"/>
          </w:tcPr>
          <w:p>
            <w:pPr>
              <w:jc w:val="center"/>
              <w:rPr>
                <w:rFonts w:cs="Times New Roman"/>
                <w:color w:val="auto"/>
                <w:szCs w:val="21"/>
                <w:highlight w:val="none"/>
              </w:rPr>
            </w:pPr>
            <w:r>
              <w:rPr>
                <w:rFonts w:cs="Times New Roman"/>
                <w:color w:val="auto"/>
                <w:szCs w:val="21"/>
                <w:highlight w:val="none"/>
              </w:rPr>
              <w:t>处罚标准</w:t>
            </w:r>
          </w:p>
        </w:tc>
        <w:tc>
          <w:tcPr>
            <w:tcW w:w="2268" w:type="dxa"/>
            <w:tcBorders>
              <w:top w:val="single" w:color="000000" w:sz="4" w:space="0"/>
              <w:left w:val="single" w:color="000000" w:sz="4" w:space="0"/>
              <w:bottom w:val="single" w:color="000000" w:sz="4" w:space="0"/>
              <w:right w:val="single" w:color="000000" w:sz="4" w:space="0"/>
            </w:tcBorders>
            <w:vAlign w:val="center"/>
          </w:tcPr>
          <w:p>
            <w:pPr>
              <w:jc w:val="center"/>
              <w:rPr>
                <w:rFonts w:cs="Times New Roman"/>
                <w:color w:val="auto"/>
                <w:szCs w:val="21"/>
                <w:highlight w:val="none"/>
              </w:rPr>
            </w:pPr>
            <w:r>
              <w:rPr>
                <w:rFonts w:cs="Times New Roman"/>
                <w:color w:val="auto"/>
                <w:szCs w:val="21"/>
                <w:highlight w:val="none"/>
              </w:rPr>
              <w:t>备注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trHeight w:val="737" w:hRule="atLeast"/>
        </w:trPr>
        <w:tc>
          <w:tcPr>
            <w:tcW w:w="709" w:type="dxa"/>
            <w:tcBorders>
              <w:top w:val="single" w:color="000000" w:sz="4" w:space="0"/>
              <w:left w:val="single" w:color="000000" w:sz="4" w:space="0"/>
              <w:bottom w:val="single" w:color="000000" w:sz="4" w:space="0"/>
              <w:right w:val="single" w:color="000000" w:sz="4" w:space="0"/>
            </w:tcBorders>
            <w:vAlign w:val="center"/>
          </w:tcPr>
          <w:p>
            <w:pPr>
              <w:jc w:val="center"/>
              <w:rPr>
                <w:rFonts w:cs="Times New Roman"/>
                <w:color w:val="auto"/>
                <w:szCs w:val="21"/>
                <w:highlight w:val="none"/>
              </w:rPr>
            </w:pPr>
            <w:r>
              <w:rPr>
                <w:rFonts w:cs="Times New Roman"/>
                <w:color w:val="auto"/>
                <w:szCs w:val="21"/>
                <w:highlight w:val="none"/>
              </w:rPr>
              <w:t>1</w:t>
            </w:r>
          </w:p>
        </w:tc>
        <w:tc>
          <w:tcPr>
            <w:tcW w:w="4536" w:type="dxa"/>
            <w:tcBorders>
              <w:top w:val="single" w:color="000000" w:sz="4" w:space="0"/>
              <w:left w:val="single" w:color="000000" w:sz="4" w:space="0"/>
              <w:bottom w:val="single" w:color="000000" w:sz="4" w:space="0"/>
              <w:right w:val="single" w:color="000000" w:sz="4" w:space="0"/>
            </w:tcBorders>
            <w:vAlign w:val="center"/>
          </w:tcPr>
          <w:p>
            <w:pPr>
              <w:rPr>
                <w:rFonts w:cs="Times New Roman"/>
                <w:color w:val="auto"/>
                <w:szCs w:val="21"/>
                <w:highlight w:val="none"/>
                <w:lang w:eastAsia="zh-CN"/>
              </w:rPr>
            </w:pPr>
            <w:r>
              <w:rPr>
                <w:rFonts w:cs="Times New Roman"/>
                <w:color w:val="auto"/>
                <w:szCs w:val="21"/>
                <w:highlight w:val="none"/>
                <w:lang w:eastAsia="zh-CN"/>
              </w:rPr>
              <w:t>承包人在进场后7天内未能完成施工进度计划编制，并提交监理及发包人审查。</w:t>
            </w:r>
          </w:p>
        </w:tc>
        <w:tc>
          <w:tcPr>
            <w:tcW w:w="2127" w:type="dxa"/>
            <w:tcBorders>
              <w:top w:val="single" w:color="000000" w:sz="4" w:space="0"/>
              <w:left w:val="single" w:color="000000" w:sz="4" w:space="0"/>
              <w:bottom w:val="single" w:color="000000" w:sz="4" w:space="0"/>
              <w:right w:val="single" w:color="000000" w:sz="4" w:space="0"/>
            </w:tcBorders>
            <w:vAlign w:val="center"/>
          </w:tcPr>
          <w:p>
            <w:pPr>
              <w:spacing w:before="93" w:after="93"/>
              <w:rPr>
                <w:rFonts w:cs="Times New Roman"/>
                <w:color w:val="auto"/>
                <w:szCs w:val="21"/>
                <w:highlight w:val="none"/>
              </w:rPr>
            </w:pPr>
            <w:r>
              <w:rPr>
                <w:rFonts w:cs="Times New Roman"/>
                <w:color w:val="auto"/>
                <w:szCs w:val="21"/>
                <w:highlight w:val="none"/>
              </w:rPr>
              <w:t>1000～5000元/天</w:t>
            </w:r>
          </w:p>
        </w:tc>
        <w:tc>
          <w:tcPr>
            <w:tcW w:w="2268" w:type="dxa"/>
            <w:tcBorders>
              <w:top w:val="single" w:color="000000" w:sz="4" w:space="0"/>
              <w:left w:val="single" w:color="000000" w:sz="4" w:space="0"/>
              <w:bottom w:val="single" w:color="000000" w:sz="4" w:space="0"/>
              <w:right w:val="single" w:color="000000" w:sz="4" w:space="0"/>
            </w:tcBorders>
            <w:vAlign w:val="center"/>
          </w:tcPr>
          <w:p>
            <w:pPr>
              <w:snapToGrid w:val="0"/>
              <w:rPr>
                <w:rFonts w:cs="Times New Roman"/>
                <w:color w:val="auto"/>
                <w:szCs w:val="21"/>
                <w:highlight w:val="none"/>
              </w:rPr>
            </w:pPr>
            <w:r>
              <w:rPr>
                <w:rFonts w:cs="Times New Roman"/>
                <w:color w:val="auto"/>
                <w:szCs w:val="21"/>
                <w:highlight w:val="none"/>
              </w:rPr>
              <w:t>以发包人记录为依据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trHeight w:val="737" w:hRule="atLeast"/>
        </w:trPr>
        <w:tc>
          <w:tcPr>
            <w:tcW w:w="709" w:type="dxa"/>
            <w:tcBorders>
              <w:top w:val="single" w:color="000000" w:sz="4" w:space="0"/>
              <w:left w:val="single" w:color="000000" w:sz="4" w:space="0"/>
              <w:bottom w:val="single" w:color="000000" w:sz="4" w:space="0"/>
              <w:right w:val="single" w:color="000000" w:sz="4" w:space="0"/>
            </w:tcBorders>
            <w:vAlign w:val="center"/>
          </w:tcPr>
          <w:p>
            <w:pPr>
              <w:jc w:val="center"/>
              <w:rPr>
                <w:rFonts w:cs="Times New Roman"/>
                <w:color w:val="auto"/>
                <w:szCs w:val="21"/>
                <w:highlight w:val="none"/>
              </w:rPr>
            </w:pPr>
            <w:r>
              <w:rPr>
                <w:rFonts w:cs="Times New Roman"/>
                <w:color w:val="auto"/>
                <w:szCs w:val="21"/>
                <w:highlight w:val="none"/>
              </w:rPr>
              <w:t>2</w:t>
            </w:r>
          </w:p>
        </w:tc>
        <w:tc>
          <w:tcPr>
            <w:tcW w:w="4536" w:type="dxa"/>
            <w:tcBorders>
              <w:top w:val="single" w:color="000000" w:sz="4" w:space="0"/>
              <w:left w:val="single" w:color="000000" w:sz="4" w:space="0"/>
              <w:bottom w:val="single" w:color="000000" w:sz="4" w:space="0"/>
              <w:right w:val="single" w:color="000000" w:sz="4" w:space="0"/>
            </w:tcBorders>
            <w:vAlign w:val="center"/>
          </w:tcPr>
          <w:p>
            <w:pPr>
              <w:rPr>
                <w:rFonts w:cs="Times New Roman"/>
                <w:color w:val="auto"/>
                <w:szCs w:val="21"/>
                <w:highlight w:val="none"/>
                <w:lang w:eastAsia="zh-CN"/>
              </w:rPr>
            </w:pPr>
            <w:r>
              <w:rPr>
                <w:rFonts w:cs="Times New Roman"/>
                <w:color w:val="auto"/>
                <w:szCs w:val="21"/>
                <w:highlight w:val="none"/>
                <w:lang w:eastAsia="zh-CN"/>
              </w:rPr>
              <w:t>在施工过程中，施工环境发生重大变化，发包人有权要求承包人对进度计划进行调整，承包人未按要求及时提交。</w:t>
            </w:r>
          </w:p>
        </w:tc>
        <w:tc>
          <w:tcPr>
            <w:tcW w:w="2127" w:type="dxa"/>
            <w:tcBorders>
              <w:top w:val="single" w:color="000000" w:sz="4" w:space="0"/>
              <w:left w:val="single" w:color="000000" w:sz="4" w:space="0"/>
              <w:bottom w:val="single" w:color="000000" w:sz="4" w:space="0"/>
              <w:right w:val="single" w:color="000000" w:sz="4" w:space="0"/>
            </w:tcBorders>
            <w:vAlign w:val="center"/>
          </w:tcPr>
          <w:p>
            <w:pPr>
              <w:spacing w:before="93" w:after="93"/>
              <w:rPr>
                <w:rFonts w:cs="Times New Roman"/>
                <w:color w:val="auto"/>
                <w:szCs w:val="21"/>
                <w:highlight w:val="none"/>
              </w:rPr>
            </w:pPr>
            <w:r>
              <w:rPr>
                <w:rFonts w:cs="Times New Roman"/>
                <w:color w:val="auto"/>
                <w:szCs w:val="21"/>
                <w:highlight w:val="none"/>
              </w:rPr>
              <w:t>1000～5000元/天</w:t>
            </w:r>
          </w:p>
        </w:tc>
        <w:tc>
          <w:tcPr>
            <w:tcW w:w="2268" w:type="dxa"/>
            <w:tcBorders>
              <w:top w:val="single" w:color="000000" w:sz="4" w:space="0"/>
              <w:left w:val="single" w:color="000000" w:sz="4" w:space="0"/>
              <w:bottom w:val="single" w:color="000000" w:sz="4" w:space="0"/>
              <w:right w:val="single" w:color="000000" w:sz="4" w:space="0"/>
            </w:tcBorders>
            <w:vAlign w:val="center"/>
          </w:tcPr>
          <w:p>
            <w:pPr>
              <w:snapToGrid w:val="0"/>
              <w:rPr>
                <w:rFonts w:cs="Times New Roman"/>
                <w:color w:val="auto"/>
                <w:szCs w:val="21"/>
                <w:highlight w:val="none"/>
              </w:rPr>
            </w:pPr>
            <w:r>
              <w:rPr>
                <w:rFonts w:cs="Times New Roman"/>
                <w:color w:val="auto"/>
                <w:szCs w:val="21"/>
                <w:highlight w:val="none"/>
              </w:rPr>
              <w:t>以发包人记录为依据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trHeight w:val="737" w:hRule="atLeast"/>
        </w:trPr>
        <w:tc>
          <w:tcPr>
            <w:tcW w:w="709" w:type="dxa"/>
            <w:tcBorders>
              <w:top w:val="single" w:color="000000" w:sz="4" w:space="0"/>
              <w:left w:val="single" w:color="000000" w:sz="4" w:space="0"/>
              <w:bottom w:val="single" w:color="000000" w:sz="4" w:space="0"/>
              <w:right w:val="single" w:color="000000" w:sz="4" w:space="0"/>
            </w:tcBorders>
            <w:vAlign w:val="center"/>
          </w:tcPr>
          <w:p>
            <w:pPr>
              <w:jc w:val="center"/>
              <w:rPr>
                <w:rFonts w:cs="Times New Roman"/>
                <w:color w:val="auto"/>
                <w:szCs w:val="21"/>
                <w:highlight w:val="none"/>
              </w:rPr>
            </w:pPr>
            <w:r>
              <w:rPr>
                <w:rFonts w:cs="Times New Roman"/>
                <w:color w:val="auto"/>
                <w:szCs w:val="21"/>
                <w:highlight w:val="none"/>
              </w:rPr>
              <w:t>3</w:t>
            </w:r>
          </w:p>
        </w:tc>
        <w:tc>
          <w:tcPr>
            <w:tcW w:w="4536" w:type="dxa"/>
            <w:tcBorders>
              <w:top w:val="single" w:color="000000" w:sz="4" w:space="0"/>
              <w:left w:val="single" w:color="000000" w:sz="4" w:space="0"/>
              <w:bottom w:val="single" w:color="000000" w:sz="4" w:space="0"/>
              <w:right w:val="single" w:color="000000" w:sz="4" w:space="0"/>
            </w:tcBorders>
            <w:vAlign w:val="center"/>
          </w:tcPr>
          <w:p>
            <w:pPr>
              <w:rPr>
                <w:rFonts w:cs="Times New Roman"/>
                <w:color w:val="auto"/>
                <w:szCs w:val="21"/>
                <w:highlight w:val="none"/>
                <w:lang w:eastAsia="zh-CN"/>
              </w:rPr>
            </w:pPr>
            <w:r>
              <w:rPr>
                <w:rFonts w:cs="Times New Roman"/>
                <w:color w:val="auto"/>
                <w:szCs w:val="21"/>
                <w:highlight w:val="none"/>
                <w:lang w:eastAsia="zh-CN"/>
              </w:rPr>
              <w:t>发包人要求提交专项总结或专项计划，承包人未按要求及时提交。</w:t>
            </w:r>
          </w:p>
        </w:tc>
        <w:tc>
          <w:tcPr>
            <w:tcW w:w="2127" w:type="dxa"/>
            <w:tcBorders>
              <w:top w:val="single" w:color="000000" w:sz="4" w:space="0"/>
              <w:left w:val="single" w:color="000000" w:sz="4" w:space="0"/>
              <w:bottom w:val="single" w:color="000000" w:sz="4" w:space="0"/>
              <w:right w:val="single" w:color="000000" w:sz="4" w:space="0"/>
            </w:tcBorders>
            <w:vAlign w:val="center"/>
          </w:tcPr>
          <w:p>
            <w:pPr>
              <w:spacing w:before="93" w:after="93"/>
              <w:rPr>
                <w:rFonts w:cs="Times New Roman"/>
                <w:color w:val="auto"/>
                <w:szCs w:val="21"/>
                <w:highlight w:val="none"/>
              </w:rPr>
            </w:pPr>
            <w:r>
              <w:rPr>
                <w:rFonts w:cs="Times New Roman"/>
                <w:color w:val="auto"/>
                <w:szCs w:val="21"/>
                <w:highlight w:val="none"/>
              </w:rPr>
              <w:t>500～1000元/天</w:t>
            </w:r>
          </w:p>
        </w:tc>
        <w:tc>
          <w:tcPr>
            <w:tcW w:w="2268" w:type="dxa"/>
            <w:tcBorders>
              <w:top w:val="single" w:color="000000" w:sz="4" w:space="0"/>
              <w:left w:val="single" w:color="000000" w:sz="4" w:space="0"/>
              <w:bottom w:val="single" w:color="000000" w:sz="4" w:space="0"/>
              <w:right w:val="single" w:color="000000" w:sz="4" w:space="0"/>
            </w:tcBorders>
            <w:vAlign w:val="center"/>
          </w:tcPr>
          <w:p>
            <w:pPr>
              <w:snapToGrid w:val="0"/>
              <w:rPr>
                <w:rFonts w:cs="Times New Roman"/>
                <w:color w:val="auto"/>
                <w:szCs w:val="21"/>
                <w:highlight w:val="none"/>
              </w:rPr>
            </w:pPr>
            <w:r>
              <w:rPr>
                <w:rFonts w:cs="Times New Roman"/>
                <w:color w:val="auto"/>
                <w:szCs w:val="21"/>
                <w:highlight w:val="none"/>
              </w:rPr>
              <w:t>以发包人记录为依据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trHeight w:val="737" w:hRule="atLeast"/>
        </w:trPr>
        <w:tc>
          <w:tcPr>
            <w:tcW w:w="709" w:type="dxa"/>
            <w:tcBorders>
              <w:top w:val="single" w:color="000000" w:sz="4" w:space="0"/>
              <w:left w:val="single" w:color="000000" w:sz="4" w:space="0"/>
              <w:bottom w:val="single" w:color="000000" w:sz="4" w:space="0"/>
              <w:right w:val="single" w:color="000000" w:sz="4" w:space="0"/>
            </w:tcBorders>
            <w:vAlign w:val="center"/>
          </w:tcPr>
          <w:p>
            <w:pPr>
              <w:jc w:val="center"/>
              <w:rPr>
                <w:rFonts w:cs="Times New Roman"/>
                <w:color w:val="auto"/>
                <w:szCs w:val="21"/>
                <w:highlight w:val="none"/>
              </w:rPr>
            </w:pPr>
            <w:r>
              <w:rPr>
                <w:rFonts w:cs="Times New Roman"/>
                <w:color w:val="auto"/>
                <w:szCs w:val="21"/>
                <w:highlight w:val="none"/>
              </w:rPr>
              <w:t>4</w:t>
            </w:r>
          </w:p>
        </w:tc>
        <w:tc>
          <w:tcPr>
            <w:tcW w:w="4536" w:type="dxa"/>
            <w:tcBorders>
              <w:top w:val="single" w:color="000000" w:sz="4" w:space="0"/>
              <w:left w:val="single" w:color="000000" w:sz="4" w:space="0"/>
              <w:bottom w:val="single" w:color="000000" w:sz="4" w:space="0"/>
              <w:right w:val="single" w:color="000000" w:sz="4" w:space="0"/>
            </w:tcBorders>
            <w:vAlign w:val="center"/>
          </w:tcPr>
          <w:p>
            <w:pPr>
              <w:rPr>
                <w:rFonts w:cs="Times New Roman"/>
                <w:color w:val="auto"/>
                <w:szCs w:val="21"/>
                <w:highlight w:val="none"/>
                <w:lang w:eastAsia="zh-CN"/>
              </w:rPr>
            </w:pPr>
            <w:r>
              <w:rPr>
                <w:rFonts w:cs="Times New Roman"/>
                <w:color w:val="auto"/>
                <w:szCs w:val="21"/>
                <w:highlight w:val="none"/>
                <w:lang w:eastAsia="zh-CN"/>
              </w:rPr>
              <w:t>周例会召开前一天17：00前未按要求提交周报告和周计划；每月25日10：00前未提交本月月报及下月计划。</w:t>
            </w:r>
          </w:p>
        </w:tc>
        <w:tc>
          <w:tcPr>
            <w:tcW w:w="2127" w:type="dxa"/>
            <w:tcBorders>
              <w:top w:val="single" w:color="000000" w:sz="4" w:space="0"/>
              <w:left w:val="single" w:color="000000" w:sz="4" w:space="0"/>
              <w:bottom w:val="single" w:color="000000" w:sz="4" w:space="0"/>
              <w:right w:val="single" w:color="000000" w:sz="4" w:space="0"/>
            </w:tcBorders>
            <w:vAlign w:val="center"/>
          </w:tcPr>
          <w:p>
            <w:pPr>
              <w:spacing w:before="93" w:after="93"/>
              <w:rPr>
                <w:rFonts w:cs="Times New Roman"/>
                <w:color w:val="auto"/>
                <w:szCs w:val="21"/>
                <w:highlight w:val="none"/>
              </w:rPr>
            </w:pPr>
            <w:r>
              <w:rPr>
                <w:rFonts w:cs="Times New Roman"/>
                <w:color w:val="auto"/>
                <w:szCs w:val="21"/>
                <w:highlight w:val="none"/>
              </w:rPr>
              <w:t>200～1000元/天</w:t>
            </w:r>
          </w:p>
        </w:tc>
        <w:tc>
          <w:tcPr>
            <w:tcW w:w="2268" w:type="dxa"/>
            <w:tcBorders>
              <w:top w:val="single" w:color="000000" w:sz="4" w:space="0"/>
              <w:left w:val="single" w:color="000000" w:sz="4" w:space="0"/>
              <w:bottom w:val="single" w:color="000000" w:sz="4" w:space="0"/>
              <w:right w:val="single" w:color="000000" w:sz="4" w:space="0"/>
            </w:tcBorders>
            <w:vAlign w:val="center"/>
          </w:tcPr>
          <w:p>
            <w:pPr>
              <w:snapToGrid w:val="0"/>
              <w:rPr>
                <w:rFonts w:cs="Times New Roman"/>
                <w:color w:val="auto"/>
                <w:szCs w:val="21"/>
                <w:highlight w:val="none"/>
              </w:rPr>
            </w:pPr>
            <w:r>
              <w:rPr>
                <w:rFonts w:cs="Times New Roman"/>
                <w:color w:val="auto"/>
                <w:szCs w:val="21"/>
                <w:highlight w:val="none"/>
              </w:rPr>
              <w:t>以发包人记录为依据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trHeight w:val="737" w:hRule="atLeast"/>
        </w:trPr>
        <w:tc>
          <w:tcPr>
            <w:tcW w:w="709" w:type="dxa"/>
            <w:tcBorders>
              <w:top w:val="single" w:color="000000" w:sz="4" w:space="0"/>
              <w:left w:val="single" w:color="000000" w:sz="4" w:space="0"/>
              <w:bottom w:val="single" w:color="000000" w:sz="4" w:space="0"/>
              <w:right w:val="single" w:color="000000" w:sz="4" w:space="0"/>
            </w:tcBorders>
            <w:vAlign w:val="center"/>
          </w:tcPr>
          <w:p>
            <w:pPr>
              <w:jc w:val="center"/>
              <w:rPr>
                <w:rFonts w:cs="Times New Roman"/>
                <w:color w:val="auto"/>
                <w:szCs w:val="21"/>
                <w:highlight w:val="none"/>
              </w:rPr>
            </w:pPr>
            <w:r>
              <w:rPr>
                <w:rFonts w:cs="Times New Roman"/>
                <w:color w:val="auto"/>
                <w:szCs w:val="21"/>
                <w:highlight w:val="none"/>
              </w:rPr>
              <w:t>5</w:t>
            </w:r>
          </w:p>
        </w:tc>
        <w:tc>
          <w:tcPr>
            <w:tcW w:w="4536" w:type="dxa"/>
            <w:tcBorders>
              <w:top w:val="single" w:color="000000" w:sz="4" w:space="0"/>
              <w:left w:val="single" w:color="000000" w:sz="4" w:space="0"/>
              <w:bottom w:val="single" w:color="000000" w:sz="4" w:space="0"/>
              <w:right w:val="single" w:color="000000" w:sz="4" w:space="0"/>
            </w:tcBorders>
            <w:vAlign w:val="center"/>
          </w:tcPr>
          <w:p>
            <w:pPr>
              <w:rPr>
                <w:rFonts w:cs="Times New Roman"/>
                <w:color w:val="auto"/>
                <w:szCs w:val="21"/>
                <w:highlight w:val="none"/>
                <w:lang w:eastAsia="zh-CN"/>
              </w:rPr>
            </w:pPr>
            <w:r>
              <w:rPr>
                <w:rFonts w:cs="Times New Roman"/>
                <w:color w:val="auto"/>
                <w:szCs w:val="21"/>
                <w:highlight w:val="none"/>
                <w:lang w:eastAsia="zh-CN"/>
              </w:rPr>
              <w:t>周计划与月计划不符或月计划与专项计划/总进度计划不符，经提醒未按要求整改。</w:t>
            </w:r>
          </w:p>
        </w:tc>
        <w:tc>
          <w:tcPr>
            <w:tcW w:w="2127" w:type="dxa"/>
            <w:tcBorders>
              <w:top w:val="single" w:color="000000" w:sz="4" w:space="0"/>
              <w:left w:val="single" w:color="000000" w:sz="4" w:space="0"/>
              <w:bottom w:val="single" w:color="000000" w:sz="4" w:space="0"/>
              <w:right w:val="single" w:color="000000" w:sz="4" w:space="0"/>
            </w:tcBorders>
            <w:vAlign w:val="center"/>
          </w:tcPr>
          <w:p>
            <w:pPr>
              <w:spacing w:before="93" w:after="93"/>
              <w:rPr>
                <w:rFonts w:cs="Times New Roman"/>
                <w:color w:val="auto"/>
                <w:szCs w:val="21"/>
                <w:highlight w:val="none"/>
              </w:rPr>
            </w:pPr>
            <w:r>
              <w:rPr>
                <w:rFonts w:cs="Times New Roman"/>
                <w:color w:val="auto"/>
                <w:szCs w:val="21"/>
                <w:highlight w:val="none"/>
              </w:rPr>
              <w:t>500～10000元/次</w:t>
            </w:r>
          </w:p>
        </w:tc>
        <w:tc>
          <w:tcPr>
            <w:tcW w:w="2268" w:type="dxa"/>
            <w:tcBorders>
              <w:top w:val="single" w:color="000000" w:sz="4" w:space="0"/>
              <w:left w:val="single" w:color="000000" w:sz="4" w:space="0"/>
              <w:bottom w:val="single" w:color="000000" w:sz="4" w:space="0"/>
              <w:right w:val="single" w:color="000000" w:sz="4" w:space="0"/>
            </w:tcBorders>
            <w:vAlign w:val="center"/>
          </w:tcPr>
          <w:p>
            <w:pPr>
              <w:snapToGrid w:val="0"/>
              <w:rPr>
                <w:rFonts w:cs="Times New Roman"/>
                <w:color w:val="auto"/>
                <w:szCs w:val="21"/>
                <w:highlight w:val="none"/>
              </w:rPr>
            </w:pPr>
            <w:r>
              <w:rPr>
                <w:rFonts w:cs="Times New Roman"/>
                <w:color w:val="auto"/>
                <w:szCs w:val="21"/>
                <w:highlight w:val="none"/>
              </w:rPr>
              <w:t>以发包人记录为依据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trHeight w:val="737" w:hRule="atLeast"/>
        </w:trPr>
        <w:tc>
          <w:tcPr>
            <w:tcW w:w="709" w:type="dxa"/>
            <w:tcBorders>
              <w:top w:val="single" w:color="000000" w:sz="4" w:space="0"/>
              <w:left w:val="single" w:color="000000" w:sz="4" w:space="0"/>
              <w:bottom w:val="single" w:color="000000" w:sz="4" w:space="0"/>
              <w:right w:val="single" w:color="000000" w:sz="4" w:space="0"/>
            </w:tcBorders>
            <w:vAlign w:val="center"/>
          </w:tcPr>
          <w:p>
            <w:pPr>
              <w:jc w:val="center"/>
              <w:rPr>
                <w:rFonts w:cs="Times New Roman"/>
                <w:color w:val="auto"/>
                <w:szCs w:val="21"/>
                <w:highlight w:val="none"/>
              </w:rPr>
            </w:pPr>
            <w:r>
              <w:rPr>
                <w:rFonts w:cs="Times New Roman"/>
                <w:color w:val="auto"/>
                <w:szCs w:val="21"/>
                <w:highlight w:val="none"/>
              </w:rPr>
              <w:t>6</w:t>
            </w:r>
          </w:p>
        </w:tc>
        <w:tc>
          <w:tcPr>
            <w:tcW w:w="4536" w:type="dxa"/>
            <w:tcBorders>
              <w:top w:val="single" w:color="000000" w:sz="4" w:space="0"/>
              <w:left w:val="single" w:color="000000" w:sz="4" w:space="0"/>
              <w:bottom w:val="single" w:color="000000" w:sz="4" w:space="0"/>
              <w:right w:val="single" w:color="000000" w:sz="4" w:space="0"/>
            </w:tcBorders>
            <w:vAlign w:val="center"/>
          </w:tcPr>
          <w:p>
            <w:pPr>
              <w:rPr>
                <w:rFonts w:cs="Times New Roman"/>
                <w:color w:val="auto"/>
                <w:szCs w:val="21"/>
                <w:highlight w:val="none"/>
                <w:lang w:eastAsia="zh-CN"/>
              </w:rPr>
            </w:pPr>
            <w:r>
              <w:rPr>
                <w:rFonts w:cs="Times New Roman"/>
                <w:color w:val="auto"/>
                <w:szCs w:val="21"/>
                <w:highlight w:val="none"/>
                <w:lang w:eastAsia="zh-CN"/>
              </w:rPr>
              <w:t>未经发包人同意情况下，承包人自行修改已经发包人审批的进度计划。</w:t>
            </w:r>
          </w:p>
        </w:tc>
        <w:tc>
          <w:tcPr>
            <w:tcW w:w="2127" w:type="dxa"/>
            <w:tcBorders>
              <w:top w:val="single" w:color="000000" w:sz="4" w:space="0"/>
              <w:left w:val="single" w:color="000000" w:sz="4" w:space="0"/>
              <w:bottom w:val="single" w:color="000000" w:sz="4" w:space="0"/>
              <w:right w:val="single" w:color="000000" w:sz="4" w:space="0"/>
            </w:tcBorders>
            <w:vAlign w:val="center"/>
          </w:tcPr>
          <w:p>
            <w:pPr>
              <w:spacing w:before="93" w:after="93"/>
              <w:rPr>
                <w:rFonts w:cs="Times New Roman"/>
                <w:color w:val="auto"/>
                <w:szCs w:val="21"/>
                <w:highlight w:val="none"/>
              </w:rPr>
            </w:pPr>
            <w:r>
              <w:rPr>
                <w:rFonts w:cs="Times New Roman"/>
                <w:color w:val="auto"/>
                <w:szCs w:val="21"/>
                <w:highlight w:val="none"/>
              </w:rPr>
              <w:t>50000元/次</w:t>
            </w:r>
          </w:p>
        </w:tc>
        <w:tc>
          <w:tcPr>
            <w:tcW w:w="2268" w:type="dxa"/>
            <w:tcBorders>
              <w:top w:val="single" w:color="000000" w:sz="4" w:space="0"/>
              <w:left w:val="single" w:color="000000" w:sz="4" w:space="0"/>
              <w:bottom w:val="single" w:color="000000" w:sz="4" w:space="0"/>
              <w:right w:val="single" w:color="000000" w:sz="4" w:space="0"/>
            </w:tcBorders>
            <w:vAlign w:val="center"/>
          </w:tcPr>
          <w:p>
            <w:pPr>
              <w:rPr>
                <w:rFonts w:cs="Times New Roman"/>
                <w:color w:val="auto"/>
                <w:szCs w:val="21"/>
                <w:highlight w:val="none"/>
                <w:lang w:eastAsia="zh-CN"/>
              </w:rPr>
            </w:pPr>
            <w:r>
              <w:rPr>
                <w:rFonts w:cs="Times New Roman"/>
                <w:color w:val="auto"/>
                <w:szCs w:val="21"/>
                <w:highlight w:val="none"/>
                <w:lang w:eastAsia="zh-CN"/>
              </w:rPr>
              <w:t>承包人承担其他不良后果的责任</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trHeight w:val="737" w:hRule="atLeast"/>
        </w:trPr>
        <w:tc>
          <w:tcPr>
            <w:tcW w:w="709" w:type="dxa"/>
            <w:tcBorders>
              <w:top w:val="single" w:color="000000" w:sz="4" w:space="0"/>
              <w:left w:val="single" w:color="000000" w:sz="4" w:space="0"/>
              <w:bottom w:val="single" w:color="000000" w:sz="4" w:space="0"/>
              <w:right w:val="single" w:color="000000" w:sz="4" w:space="0"/>
            </w:tcBorders>
            <w:vAlign w:val="center"/>
          </w:tcPr>
          <w:p>
            <w:pPr>
              <w:jc w:val="center"/>
              <w:rPr>
                <w:rFonts w:cs="Times New Roman"/>
                <w:color w:val="auto"/>
                <w:szCs w:val="21"/>
                <w:highlight w:val="none"/>
              </w:rPr>
            </w:pPr>
            <w:r>
              <w:rPr>
                <w:rFonts w:cs="Times New Roman"/>
                <w:color w:val="auto"/>
                <w:szCs w:val="21"/>
                <w:highlight w:val="none"/>
              </w:rPr>
              <w:t>7</w:t>
            </w:r>
          </w:p>
        </w:tc>
        <w:tc>
          <w:tcPr>
            <w:tcW w:w="4536" w:type="dxa"/>
            <w:tcBorders>
              <w:top w:val="single" w:color="000000" w:sz="4" w:space="0"/>
              <w:left w:val="single" w:color="000000" w:sz="4" w:space="0"/>
              <w:bottom w:val="single" w:color="000000" w:sz="4" w:space="0"/>
              <w:right w:val="single" w:color="000000" w:sz="4" w:space="0"/>
            </w:tcBorders>
            <w:vAlign w:val="center"/>
          </w:tcPr>
          <w:p>
            <w:pPr>
              <w:rPr>
                <w:rFonts w:cs="Times New Roman"/>
                <w:color w:val="auto"/>
                <w:szCs w:val="21"/>
                <w:highlight w:val="none"/>
                <w:lang w:eastAsia="zh-CN"/>
              </w:rPr>
            </w:pPr>
            <w:r>
              <w:rPr>
                <w:rFonts w:cs="Times New Roman"/>
                <w:color w:val="auto"/>
                <w:szCs w:val="21"/>
                <w:highlight w:val="none"/>
                <w:lang w:eastAsia="zh-CN"/>
              </w:rPr>
              <w:t>承包人未能按投标承诺或进度计划要求及时安排符合要求的设备及人员进、退场，且未获得监理单位和发包人批准的。</w:t>
            </w:r>
          </w:p>
        </w:tc>
        <w:tc>
          <w:tcPr>
            <w:tcW w:w="2127" w:type="dxa"/>
            <w:tcBorders>
              <w:top w:val="single" w:color="000000" w:sz="4" w:space="0"/>
              <w:left w:val="single" w:color="000000" w:sz="4" w:space="0"/>
              <w:bottom w:val="single" w:color="000000" w:sz="4" w:space="0"/>
              <w:right w:val="single" w:color="000000" w:sz="4" w:space="0"/>
            </w:tcBorders>
            <w:vAlign w:val="center"/>
          </w:tcPr>
          <w:p>
            <w:pPr>
              <w:spacing w:before="93" w:after="93"/>
              <w:rPr>
                <w:rFonts w:cs="Times New Roman"/>
                <w:color w:val="auto"/>
                <w:szCs w:val="21"/>
                <w:highlight w:val="none"/>
              </w:rPr>
            </w:pPr>
            <w:r>
              <w:rPr>
                <w:rFonts w:cs="Times New Roman"/>
                <w:color w:val="auto"/>
                <w:szCs w:val="21"/>
                <w:highlight w:val="none"/>
              </w:rPr>
              <w:t>1000~10000元/台（套）/天</w:t>
            </w:r>
          </w:p>
        </w:tc>
        <w:tc>
          <w:tcPr>
            <w:tcW w:w="2268" w:type="dxa"/>
            <w:tcBorders>
              <w:top w:val="single" w:color="000000" w:sz="4" w:space="0"/>
              <w:left w:val="single" w:color="000000" w:sz="4" w:space="0"/>
              <w:bottom w:val="single" w:color="000000" w:sz="4" w:space="0"/>
              <w:right w:val="single" w:color="000000" w:sz="4" w:space="0"/>
            </w:tcBorders>
            <w:vAlign w:val="center"/>
          </w:tcPr>
          <w:p>
            <w:pPr>
              <w:rPr>
                <w:rFonts w:cs="Times New Roman"/>
                <w:color w:val="auto"/>
                <w:szCs w:val="21"/>
                <w:highlight w:val="none"/>
                <w:lang w:eastAsia="zh-CN"/>
              </w:rPr>
            </w:pPr>
            <w:r>
              <w:rPr>
                <w:rFonts w:cs="Times New Roman"/>
                <w:color w:val="auto"/>
                <w:szCs w:val="21"/>
                <w:highlight w:val="none"/>
                <w:lang w:eastAsia="zh-CN"/>
              </w:rPr>
              <w:t>以发包人及监理记录为依据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trHeight w:val="737" w:hRule="atLeast"/>
        </w:trPr>
        <w:tc>
          <w:tcPr>
            <w:tcW w:w="709" w:type="dxa"/>
            <w:tcBorders>
              <w:top w:val="single" w:color="000000" w:sz="4" w:space="0"/>
              <w:left w:val="single" w:color="000000" w:sz="4" w:space="0"/>
              <w:bottom w:val="single" w:color="000000" w:sz="4" w:space="0"/>
              <w:right w:val="single" w:color="000000" w:sz="4" w:space="0"/>
            </w:tcBorders>
            <w:vAlign w:val="center"/>
          </w:tcPr>
          <w:p>
            <w:pPr>
              <w:jc w:val="center"/>
              <w:rPr>
                <w:rFonts w:cs="Times New Roman"/>
                <w:color w:val="auto"/>
                <w:szCs w:val="21"/>
                <w:highlight w:val="none"/>
              </w:rPr>
            </w:pPr>
            <w:r>
              <w:rPr>
                <w:rFonts w:cs="Times New Roman"/>
                <w:color w:val="auto"/>
                <w:szCs w:val="21"/>
                <w:highlight w:val="none"/>
              </w:rPr>
              <w:t>8</w:t>
            </w:r>
          </w:p>
        </w:tc>
        <w:tc>
          <w:tcPr>
            <w:tcW w:w="4536" w:type="dxa"/>
            <w:tcBorders>
              <w:top w:val="single" w:color="000000" w:sz="4" w:space="0"/>
              <w:left w:val="single" w:color="000000" w:sz="4" w:space="0"/>
              <w:bottom w:val="single" w:color="000000" w:sz="4" w:space="0"/>
              <w:right w:val="single" w:color="000000" w:sz="4" w:space="0"/>
            </w:tcBorders>
            <w:vAlign w:val="center"/>
          </w:tcPr>
          <w:p>
            <w:pPr>
              <w:snapToGrid w:val="0"/>
              <w:rPr>
                <w:rFonts w:cs="Times New Roman"/>
                <w:color w:val="auto"/>
                <w:szCs w:val="21"/>
                <w:highlight w:val="none"/>
                <w:lang w:eastAsia="zh-CN"/>
              </w:rPr>
            </w:pPr>
            <w:r>
              <w:rPr>
                <w:rFonts w:cs="Times New Roman"/>
                <w:color w:val="auto"/>
                <w:szCs w:val="21"/>
                <w:highlight w:val="none"/>
                <w:lang w:eastAsia="zh-CN"/>
              </w:rPr>
              <w:t>施工过程中，承包人投入的大型设备数量少于投标时的承诺或进度计划要求，且未获得监理部及发包人批准的。</w:t>
            </w:r>
          </w:p>
        </w:tc>
        <w:tc>
          <w:tcPr>
            <w:tcW w:w="2127" w:type="dxa"/>
            <w:tcBorders>
              <w:top w:val="single" w:color="000000" w:sz="4" w:space="0"/>
              <w:left w:val="single" w:color="000000" w:sz="4" w:space="0"/>
              <w:bottom w:val="single" w:color="000000" w:sz="4" w:space="0"/>
              <w:right w:val="single" w:color="000000" w:sz="4" w:space="0"/>
            </w:tcBorders>
            <w:vAlign w:val="center"/>
          </w:tcPr>
          <w:p>
            <w:pPr>
              <w:spacing w:before="93" w:after="93"/>
              <w:rPr>
                <w:rFonts w:cs="Times New Roman"/>
                <w:color w:val="auto"/>
                <w:szCs w:val="21"/>
                <w:highlight w:val="none"/>
              </w:rPr>
            </w:pPr>
            <w:r>
              <w:rPr>
                <w:rFonts w:cs="Times New Roman"/>
                <w:color w:val="auto"/>
                <w:szCs w:val="21"/>
                <w:highlight w:val="none"/>
              </w:rPr>
              <w:t>1000~20000元/项</w:t>
            </w:r>
          </w:p>
        </w:tc>
        <w:tc>
          <w:tcPr>
            <w:tcW w:w="2268" w:type="dxa"/>
            <w:tcBorders>
              <w:top w:val="single" w:color="000000" w:sz="4" w:space="0"/>
              <w:left w:val="single" w:color="000000" w:sz="4" w:space="0"/>
              <w:bottom w:val="single" w:color="000000" w:sz="4" w:space="0"/>
              <w:right w:val="single" w:color="000000" w:sz="4" w:space="0"/>
            </w:tcBorders>
            <w:vAlign w:val="center"/>
          </w:tcPr>
          <w:p>
            <w:pPr>
              <w:snapToGrid w:val="0"/>
              <w:rPr>
                <w:rFonts w:cs="Times New Roman"/>
                <w:color w:val="auto"/>
                <w:szCs w:val="21"/>
                <w:highlight w:val="none"/>
                <w:lang w:eastAsia="zh-CN"/>
              </w:rPr>
            </w:pPr>
            <w:r>
              <w:rPr>
                <w:rFonts w:cs="Times New Roman"/>
                <w:color w:val="auto"/>
                <w:szCs w:val="21"/>
                <w:highlight w:val="none"/>
                <w:lang w:eastAsia="zh-CN"/>
              </w:rPr>
              <w:t>以发包人及监理记录为依据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trHeight w:val="737" w:hRule="atLeast"/>
        </w:trPr>
        <w:tc>
          <w:tcPr>
            <w:tcW w:w="709" w:type="dxa"/>
            <w:tcBorders>
              <w:top w:val="single" w:color="000000" w:sz="4" w:space="0"/>
              <w:left w:val="single" w:color="000000" w:sz="4" w:space="0"/>
              <w:bottom w:val="single" w:color="000000" w:sz="4" w:space="0"/>
              <w:right w:val="single" w:color="000000" w:sz="4" w:space="0"/>
            </w:tcBorders>
            <w:vAlign w:val="center"/>
          </w:tcPr>
          <w:p>
            <w:pPr>
              <w:jc w:val="center"/>
              <w:rPr>
                <w:rFonts w:cs="Times New Roman"/>
                <w:color w:val="auto"/>
                <w:szCs w:val="21"/>
                <w:highlight w:val="none"/>
              </w:rPr>
            </w:pPr>
            <w:r>
              <w:rPr>
                <w:rFonts w:cs="Times New Roman"/>
                <w:color w:val="auto"/>
                <w:szCs w:val="21"/>
                <w:highlight w:val="none"/>
              </w:rPr>
              <w:t>9</w:t>
            </w:r>
          </w:p>
        </w:tc>
        <w:tc>
          <w:tcPr>
            <w:tcW w:w="4536" w:type="dxa"/>
            <w:tcBorders>
              <w:top w:val="single" w:color="000000" w:sz="4" w:space="0"/>
              <w:left w:val="single" w:color="000000" w:sz="4" w:space="0"/>
              <w:bottom w:val="single" w:color="000000" w:sz="4" w:space="0"/>
              <w:right w:val="single" w:color="000000" w:sz="4" w:space="0"/>
            </w:tcBorders>
            <w:vAlign w:val="center"/>
          </w:tcPr>
          <w:p>
            <w:pPr>
              <w:rPr>
                <w:rFonts w:cs="Times New Roman"/>
                <w:color w:val="auto"/>
                <w:szCs w:val="21"/>
                <w:highlight w:val="none"/>
                <w:lang w:eastAsia="zh-CN"/>
              </w:rPr>
            </w:pPr>
            <w:r>
              <w:rPr>
                <w:rFonts w:cs="Times New Roman"/>
                <w:color w:val="auto"/>
                <w:szCs w:val="21"/>
                <w:highlight w:val="none"/>
                <w:lang w:eastAsia="zh-CN"/>
              </w:rPr>
              <w:t>在施工过程中现场工作面超出计划要求时，发包人有权要求承包人增加机械设备及人力投入以加快工期，承包人拒不增加。</w:t>
            </w:r>
          </w:p>
        </w:tc>
        <w:tc>
          <w:tcPr>
            <w:tcW w:w="2127" w:type="dxa"/>
            <w:tcBorders>
              <w:top w:val="single" w:color="000000" w:sz="4" w:space="0"/>
              <w:left w:val="single" w:color="000000" w:sz="4" w:space="0"/>
              <w:bottom w:val="single" w:color="000000" w:sz="4" w:space="0"/>
              <w:right w:val="single" w:color="000000" w:sz="4" w:space="0"/>
            </w:tcBorders>
            <w:vAlign w:val="center"/>
          </w:tcPr>
          <w:p>
            <w:pPr>
              <w:spacing w:before="93" w:after="93"/>
              <w:rPr>
                <w:rFonts w:cs="Times New Roman"/>
                <w:color w:val="auto"/>
                <w:szCs w:val="21"/>
                <w:highlight w:val="none"/>
              </w:rPr>
            </w:pPr>
            <w:r>
              <w:rPr>
                <w:rFonts w:cs="Times New Roman"/>
                <w:color w:val="auto"/>
                <w:szCs w:val="21"/>
                <w:highlight w:val="none"/>
              </w:rPr>
              <w:t>1000～10000元/天</w:t>
            </w:r>
          </w:p>
        </w:tc>
        <w:tc>
          <w:tcPr>
            <w:tcW w:w="2268" w:type="dxa"/>
            <w:tcBorders>
              <w:top w:val="single" w:color="000000" w:sz="4" w:space="0"/>
              <w:left w:val="single" w:color="000000" w:sz="4" w:space="0"/>
              <w:bottom w:val="single" w:color="000000" w:sz="4" w:space="0"/>
              <w:right w:val="single" w:color="000000" w:sz="4" w:space="0"/>
            </w:tcBorders>
            <w:vAlign w:val="center"/>
          </w:tcPr>
          <w:p>
            <w:pPr>
              <w:snapToGrid w:val="0"/>
              <w:rPr>
                <w:rFonts w:cs="Times New Roman"/>
                <w:color w:val="auto"/>
                <w:szCs w:val="21"/>
                <w:highlight w:val="none"/>
              </w:rPr>
            </w:pPr>
            <w:r>
              <w:rPr>
                <w:rFonts w:cs="Times New Roman"/>
                <w:color w:val="auto"/>
                <w:szCs w:val="21"/>
                <w:highlight w:val="none"/>
              </w:rPr>
              <w:t>以发包人记录为依据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trHeight w:val="737" w:hRule="atLeast"/>
        </w:trPr>
        <w:tc>
          <w:tcPr>
            <w:tcW w:w="709" w:type="dxa"/>
            <w:tcBorders>
              <w:top w:val="single" w:color="000000" w:sz="4" w:space="0"/>
              <w:left w:val="single" w:color="000000" w:sz="4" w:space="0"/>
              <w:bottom w:val="single" w:color="000000" w:sz="4" w:space="0"/>
              <w:right w:val="single" w:color="000000" w:sz="4" w:space="0"/>
            </w:tcBorders>
            <w:vAlign w:val="center"/>
          </w:tcPr>
          <w:p>
            <w:pPr>
              <w:jc w:val="center"/>
              <w:rPr>
                <w:rFonts w:cs="Times New Roman"/>
                <w:color w:val="auto"/>
                <w:szCs w:val="21"/>
                <w:highlight w:val="none"/>
              </w:rPr>
            </w:pPr>
            <w:r>
              <w:rPr>
                <w:rFonts w:cs="Times New Roman"/>
                <w:color w:val="auto"/>
                <w:szCs w:val="21"/>
                <w:highlight w:val="none"/>
              </w:rPr>
              <w:t>10</w:t>
            </w:r>
          </w:p>
        </w:tc>
        <w:tc>
          <w:tcPr>
            <w:tcW w:w="4536" w:type="dxa"/>
            <w:tcBorders>
              <w:top w:val="single" w:color="000000" w:sz="4" w:space="0"/>
              <w:left w:val="single" w:color="000000" w:sz="4" w:space="0"/>
              <w:bottom w:val="single" w:color="000000" w:sz="4" w:space="0"/>
              <w:right w:val="single" w:color="000000" w:sz="4" w:space="0"/>
            </w:tcBorders>
            <w:vAlign w:val="center"/>
          </w:tcPr>
          <w:p>
            <w:pPr>
              <w:rPr>
                <w:rFonts w:cs="Times New Roman"/>
                <w:color w:val="auto"/>
                <w:szCs w:val="21"/>
                <w:highlight w:val="none"/>
                <w:lang w:eastAsia="zh-CN"/>
              </w:rPr>
            </w:pPr>
            <w:r>
              <w:rPr>
                <w:rFonts w:cs="Times New Roman"/>
                <w:color w:val="auto"/>
                <w:szCs w:val="21"/>
                <w:highlight w:val="none"/>
                <w:lang w:eastAsia="zh-CN"/>
              </w:rPr>
              <w:t>任何时间节点进行检查时，关键线路（网络计划图红线）节点达不到该节点应完成比例，而施工单位没有事前书面指出并提出相应纠偏措施。</w:t>
            </w:r>
          </w:p>
        </w:tc>
        <w:tc>
          <w:tcPr>
            <w:tcW w:w="2127" w:type="dxa"/>
            <w:tcBorders>
              <w:top w:val="single" w:color="000000" w:sz="4" w:space="0"/>
              <w:left w:val="single" w:color="000000" w:sz="4" w:space="0"/>
              <w:bottom w:val="single" w:color="000000" w:sz="4" w:space="0"/>
              <w:right w:val="single" w:color="000000" w:sz="4" w:space="0"/>
            </w:tcBorders>
            <w:vAlign w:val="center"/>
          </w:tcPr>
          <w:p>
            <w:pPr>
              <w:spacing w:before="93" w:after="93"/>
              <w:rPr>
                <w:rFonts w:cs="Times New Roman"/>
                <w:color w:val="auto"/>
                <w:szCs w:val="21"/>
                <w:highlight w:val="none"/>
                <w:lang w:eastAsia="zh-CN"/>
              </w:rPr>
            </w:pPr>
            <w:r>
              <w:rPr>
                <w:rFonts w:cs="Times New Roman"/>
                <w:color w:val="auto"/>
                <w:szCs w:val="21"/>
                <w:highlight w:val="none"/>
                <w:lang w:eastAsia="zh-CN"/>
              </w:rPr>
              <w:t>完成量 ：处罚</w:t>
            </w:r>
          </w:p>
          <w:p>
            <w:pPr>
              <w:spacing w:before="93" w:after="93"/>
              <w:rPr>
                <w:rFonts w:cs="Times New Roman"/>
                <w:color w:val="auto"/>
                <w:szCs w:val="21"/>
                <w:highlight w:val="none"/>
                <w:lang w:eastAsia="zh-CN"/>
              </w:rPr>
            </w:pPr>
            <w:r>
              <w:rPr>
                <w:rFonts w:cs="Times New Roman"/>
                <w:color w:val="auto"/>
                <w:szCs w:val="21"/>
                <w:highlight w:val="none"/>
                <w:lang w:eastAsia="zh-CN"/>
              </w:rPr>
              <w:t>≥90% ：1000元</w:t>
            </w:r>
          </w:p>
          <w:p>
            <w:pPr>
              <w:spacing w:before="93" w:after="93"/>
              <w:rPr>
                <w:rFonts w:cs="Times New Roman"/>
                <w:color w:val="auto"/>
                <w:szCs w:val="21"/>
                <w:highlight w:val="none"/>
                <w:lang w:eastAsia="zh-CN"/>
              </w:rPr>
            </w:pPr>
            <w:r>
              <w:rPr>
                <w:rFonts w:cs="Times New Roman"/>
                <w:color w:val="auto"/>
                <w:szCs w:val="21"/>
                <w:highlight w:val="none"/>
                <w:lang w:eastAsia="zh-CN"/>
              </w:rPr>
              <w:t>≥70% ：5000元</w:t>
            </w:r>
          </w:p>
          <w:p>
            <w:pPr>
              <w:spacing w:before="93" w:after="93"/>
              <w:rPr>
                <w:rFonts w:cs="Times New Roman"/>
                <w:color w:val="auto"/>
                <w:szCs w:val="21"/>
                <w:highlight w:val="none"/>
              </w:rPr>
            </w:pPr>
            <w:r>
              <w:rPr>
                <w:rFonts w:cs="Times New Roman"/>
                <w:color w:val="auto"/>
                <w:szCs w:val="21"/>
                <w:highlight w:val="none"/>
              </w:rPr>
              <w:t>≥50% ：10000元</w:t>
            </w:r>
          </w:p>
          <w:p>
            <w:pPr>
              <w:spacing w:before="93" w:after="93"/>
              <w:rPr>
                <w:rFonts w:cs="Times New Roman"/>
                <w:color w:val="auto"/>
                <w:szCs w:val="21"/>
                <w:highlight w:val="none"/>
              </w:rPr>
            </w:pPr>
            <w:r>
              <w:rPr>
                <w:rFonts w:cs="Times New Roman"/>
                <w:color w:val="auto"/>
                <w:szCs w:val="21"/>
                <w:highlight w:val="none"/>
              </w:rPr>
              <w:t>＜50% ：50000元</w:t>
            </w:r>
          </w:p>
        </w:tc>
        <w:tc>
          <w:tcPr>
            <w:tcW w:w="2268" w:type="dxa"/>
            <w:tcBorders>
              <w:top w:val="single" w:color="000000" w:sz="4" w:space="0"/>
              <w:left w:val="single" w:color="000000" w:sz="4" w:space="0"/>
              <w:bottom w:val="single" w:color="000000" w:sz="4" w:space="0"/>
              <w:right w:val="single" w:color="000000" w:sz="4" w:space="0"/>
            </w:tcBorders>
            <w:vAlign w:val="center"/>
          </w:tcPr>
          <w:p>
            <w:pPr>
              <w:snapToGrid w:val="0"/>
              <w:rPr>
                <w:rFonts w:cs="Times New Roman"/>
                <w:color w:val="auto"/>
                <w:szCs w:val="21"/>
                <w:highlight w:val="none"/>
                <w:lang w:eastAsia="zh-CN"/>
              </w:rPr>
            </w:pPr>
            <w:r>
              <w:rPr>
                <w:rFonts w:cs="Times New Roman"/>
                <w:color w:val="auto"/>
                <w:szCs w:val="21"/>
                <w:highlight w:val="none"/>
                <w:lang w:eastAsia="zh-CN"/>
              </w:rPr>
              <w:t>按计划及实际进度考评</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trHeight w:val="737" w:hRule="atLeast"/>
        </w:trPr>
        <w:tc>
          <w:tcPr>
            <w:tcW w:w="709" w:type="dxa"/>
            <w:tcBorders>
              <w:top w:val="single" w:color="000000" w:sz="4" w:space="0"/>
              <w:left w:val="single" w:color="000000" w:sz="4" w:space="0"/>
              <w:bottom w:val="single" w:color="000000" w:sz="4" w:space="0"/>
              <w:right w:val="single" w:color="000000" w:sz="4" w:space="0"/>
            </w:tcBorders>
            <w:vAlign w:val="center"/>
          </w:tcPr>
          <w:p>
            <w:pPr>
              <w:jc w:val="center"/>
              <w:rPr>
                <w:rFonts w:cs="Times New Roman"/>
                <w:color w:val="auto"/>
                <w:szCs w:val="21"/>
                <w:highlight w:val="none"/>
              </w:rPr>
            </w:pPr>
            <w:r>
              <w:rPr>
                <w:rFonts w:cs="Times New Roman"/>
                <w:color w:val="auto"/>
                <w:szCs w:val="21"/>
                <w:highlight w:val="none"/>
              </w:rPr>
              <w:t>11</w:t>
            </w:r>
          </w:p>
        </w:tc>
        <w:tc>
          <w:tcPr>
            <w:tcW w:w="4536" w:type="dxa"/>
            <w:tcBorders>
              <w:top w:val="single" w:color="000000" w:sz="4" w:space="0"/>
              <w:left w:val="single" w:color="000000" w:sz="4" w:space="0"/>
              <w:bottom w:val="single" w:color="000000" w:sz="4" w:space="0"/>
              <w:right w:val="single" w:color="000000" w:sz="4" w:space="0"/>
            </w:tcBorders>
            <w:vAlign w:val="center"/>
          </w:tcPr>
          <w:p>
            <w:pPr>
              <w:rPr>
                <w:rFonts w:cs="Times New Roman"/>
                <w:color w:val="auto"/>
                <w:szCs w:val="21"/>
                <w:highlight w:val="none"/>
                <w:lang w:eastAsia="zh-CN"/>
              </w:rPr>
            </w:pPr>
            <w:r>
              <w:rPr>
                <w:rFonts w:cs="Times New Roman"/>
                <w:color w:val="auto"/>
                <w:szCs w:val="21"/>
                <w:highlight w:val="none"/>
                <w:lang w:eastAsia="zh-CN"/>
              </w:rPr>
              <w:t>进度计划中，非关键线路因滞后严重成为制约工程进度控制的因素，而施工单位未及时采取措施进行纠偏。</w:t>
            </w:r>
          </w:p>
        </w:tc>
        <w:tc>
          <w:tcPr>
            <w:tcW w:w="2127" w:type="dxa"/>
            <w:tcBorders>
              <w:top w:val="single" w:color="000000" w:sz="4" w:space="0"/>
              <w:left w:val="single" w:color="000000" w:sz="4" w:space="0"/>
              <w:bottom w:val="single" w:color="000000" w:sz="4" w:space="0"/>
              <w:right w:val="single" w:color="000000" w:sz="4" w:space="0"/>
            </w:tcBorders>
            <w:vAlign w:val="center"/>
          </w:tcPr>
          <w:p>
            <w:pPr>
              <w:spacing w:before="93" w:after="93"/>
              <w:rPr>
                <w:rFonts w:cs="Times New Roman"/>
                <w:color w:val="auto"/>
                <w:szCs w:val="21"/>
                <w:highlight w:val="none"/>
              </w:rPr>
            </w:pPr>
            <w:r>
              <w:rPr>
                <w:rFonts w:cs="Times New Roman"/>
                <w:color w:val="auto"/>
                <w:szCs w:val="21"/>
                <w:highlight w:val="none"/>
              </w:rPr>
              <w:t>10000元/项</w:t>
            </w:r>
          </w:p>
        </w:tc>
        <w:tc>
          <w:tcPr>
            <w:tcW w:w="2268" w:type="dxa"/>
            <w:tcBorders>
              <w:top w:val="single" w:color="000000" w:sz="4" w:space="0"/>
              <w:left w:val="single" w:color="000000" w:sz="4" w:space="0"/>
              <w:bottom w:val="single" w:color="000000" w:sz="4" w:space="0"/>
              <w:right w:val="single" w:color="000000" w:sz="4" w:space="0"/>
            </w:tcBorders>
            <w:vAlign w:val="center"/>
          </w:tcPr>
          <w:p>
            <w:pPr>
              <w:snapToGrid w:val="0"/>
              <w:rPr>
                <w:rFonts w:cs="Times New Roman"/>
                <w:color w:val="auto"/>
                <w:szCs w:val="21"/>
                <w:highlight w:val="none"/>
                <w:lang w:eastAsia="zh-CN"/>
              </w:rPr>
            </w:pPr>
            <w:r>
              <w:rPr>
                <w:rFonts w:cs="Times New Roman"/>
                <w:color w:val="auto"/>
                <w:szCs w:val="21"/>
                <w:highlight w:val="none"/>
                <w:lang w:eastAsia="zh-CN"/>
              </w:rPr>
              <w:t>按计划及实际进度考评</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trHeight w:val="737" w:hRule="atLeast"/>
        </w:trPr>
        <w:tc>
          <w:tcPr>
            <w:tcW w:w="709" w:type="dxa"/>
            <w:tcBorders>
              <w:top w:val="single" w:color="000000" w:sz="4" w:space="0"/>
              <w:left w:val="single" w:color="000000" w:sz="4" w:space="0"/>
              <w:bottom w:val="single" w:color="000000" w:sz="4" w:space="0"/>
              <w:right w:val="single" w:color="000000" w:sz="4" w:space="0"/>
            </w:tcBorders>
            <w:vAlign w:val="center"/>
          </w:tcPr>
          <w:p>
            <w:pPr>
              <w:jc w:val="center"/>
              <w:rPr>
                <w:rFonts w:cs="Times New Roman"/>
                <w:color w:val="auto"/>
                <w:szCs w:val="21"/>
                <w:highlight w:val="none"/>
              </w:rPr>
            </w:pPr>
            <w:r>
              <w:rPr>
                <w:rFonts w:cs="Times New Roman"/>
                <w:color w:val="auto"/>
                <w:szCs w:val="21"/>
                <w:highlight w:val="none"/>
              </w:rPr>
              <w:t>12</w:t>
            </w:r>
          </w:p>
        </w:tc>
        <w:tc>
          <w:tcPr>
            <w:tcW w:w="4536" w:type="dxa"/>
            <w:tcBorders>
              <w:top w:val="single" w:color="000000" w:sz="4" w:space="0"/>
              <w:left w:val="single" w:color="000000" w:sz="4" w:space="0"/>
              <w:bottom w:val="single" w:color="000000" w:sz="4" w:space="0"/>
              <w:right w:val="single" w:color="000000" w:sz="4" w:space="0"/>
            </w:tcBorders>
            <w:vAlign w:val="center"/>
          </w:tcPr>
          <w:p>
            <w:pPr>
              <w:rPr>
                <w:rFonts w:cs="Times New Roman"/>
                <w:color w:val="auto"/>
                <w:szCs w:val="21"/>
                <w:highlight w:val="none"/>
                <w:lang w:eastAsia="zh-CN"/>
              </w:rPr>
            </w:pPr>
            <w:r>
              <w:rPr>
                <w:rFonts w:cs="Times New Roman"/>
                <w:color w:val="auto"/>
                <w:szCs w:val="21"/>
                <w:highlight w:val="none"/>
                <w:lang w:eastAsia="zh-CN"/>
              </w:rPr>
              <w:t>周、月、专项进度计划由于施工方自身原因未完成，且未制定有效的赶工措施。</w:t>
            </w:r>
          </w:p>
        </w:tc>
        <w:tc>
          <w:tcPr>
            <w:tcW w:w="2127" w:type="dxa"/>
            <w:tcBorders>
              <w:top w:val="single" w:color="000000" w:sz="4" w:space="0"/>
              <w:left w:val="single" w:color="000000" w:sz="4" w:space="0"/>
              <w:bottom w:val="single" w:color="000000" w:sz="4" w:space="0"/>
              <w:right w:val="single" w:color="000000" w:sz="4" w:space="0"/>
            </w:tcBorders>
            <w:vAlign w:val="center"/>
          </w:tcPr>
          <w:p>
            <w:pPr>
              <w:spacing w:before="93" w:after="93"/>
              <w:rPr>
                <w:rFonts w:cs="Times New Roman"/>
                <w:color w:val="auto"/>
                <w:szCs w:val="21"/>
                <w:highlight w:val="none"/>
              </w:rPr>
            </w:pPr>
            <w:r>
              <w:rPr>
                <w:rFonts w:cs="Times New Roman"/>
                <w:color w:val="auto"/>
                <w:szCs w:val="21"/>
                <w:highlight w:val="none"/>
              </w:rPr>
              <w:t>1000~20000元/次</w:t>
            </w:r>
          </w:p>
        </w:tc>
        <w:tc>
          <w:tcPr>
            <w:tcW w:w="2268" w:type="dxa"/>
            <w:tcBorders>
              <w:top w:val="single" w:color="000000" w:sz="4" w:space="0"/>
              <w:left w:val="single" w:color="000000" w:sz="4" w:space="0"/>
              <w:bottom w:val="single" w:color="000000" w:sz="4" w:space="0"/>
              <w:right w:val="single" w:color="000000" w:sz="4" w:space="0"/>
            </w:tcBorders>
            <w:vAlign w:val="center"/>
          </w:tcPr>
          <w:p>
            <w:pPr>
              <w:snapToGrid w:val="0"/>
              <w:rPr>
                <w:rFonts w:cs="Times New Roman"/>
                <w:color w:val="auto"/>
                <w:szCs w:val="21"/>
                <w:highlight w:val="none"/>
                <w:lang w:eastAsia="zh-CN"/>
              </w:rPr>
            </w:pPr>
            <w:r>
              <w:rPr>
                <w:rFonts w:cs="Times New Roman"/>
                <w:color w:val="auto"/>
                <w:szCs w:val="21"/>
                <w:highlight w:val="none"/>
                <w:lang w:eastAsia="zh-CN"/>
              </w:rPr>
              <w:t>按计划及实际进度考评</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trHeight w:val="737" w:hRule="atLeast"/>
        </w:trPr>
        <w:tc>
          <w:tcPr>
            <w:tcW w:w="709" w:type="dxa"/>
            <w:tcBorders>
              <w:top w:val="single" w:color="000000" w:sz="4" w:space="0"/>
              <w:left w:val="single" w:color="000000" w:sz="4" w:space="0"/>
              <w:bottom w:val="single" w:color="000000" w:sz="4" w:space="0"/>
              <w:right w:val="single" w:color="000000" w:sz="4" w:space="0"/>
            </w:tcBorders>
            <w:vAlign w:val="center"/>
          </w:tcPr>
          <w:p>
            <w:pPr>
              <w:jc w:val="center"/>
              <w:rPr>
                <w:rFonts w:cs="Times New Roman"/>
                <w:color w:val="auto"/>
                <w:szCs w:val="21"/>
                <w:highlight w:val="none"/>
              </w:rPr>
            </w:pPr>
            <w:r>
              <w:rPr>
                <w:rFonts w:cs="Times New Roman"/>
                <w:color w:val="auto"/>
                <w:szCs w:val="21"/>
                <w:highlight w:val="none"/>
              </w:rPr>
              <w:t>13</w:t>
            </w:r>
          </w:p>
        </w:tc>
        <w:tc>
          <w:tcPr>
            <w:tcW w:w="4536" w:type="dxa"/>
            <w:tcBorders>
              <w:top w:val="single" w:color="000000" w:sz="4" w:space="0"/>
              <w:left w:val="single" w:color="000000" w:sz="4" w:space="0"/>
              <w:bottom w:val="single" w:color="000000" w:sz="4" w:space="0"/>
              <w:right w:val="single" w:color="000000" w:sz="4" w:space="0"/>
            </w:tcBorders>
            <w:vAlign w:val="center"/>
          </w:tcPr>
          <w:p>
            <w:pPr>
              <w:rPr>
                <w:rFonts w:cs="Times New Roman"/>
                <w:color w:val="auto"/>
                <w:szCs w:val="21"/>
                <w:highlight w:val="none"/>
                <w:lang w:eastAsia="zh-CN"/>
              </w:rPr>
            </w:pPr>
            <w:r>
              <w:rPr>
                <w:rFonts w:cs="Times New Roman"/>
                <w:color w:val="auto"/>
                <w:szCs w:val="21"/>
                <w:highlight w:val="none"/>
                <w:lang w:eastAsia="zh-CN"/>
              </w:rPr>
              <w:t>周、月、专项进度计划由于施工方自身原因未完成，制定赶工措施后但不落实。</w:t>
            </w:r>
          </w:p>
        </w:tc>
        <w:tc>
          <w:tcPr>
            <w:tcW w:w="2127" w:type="dxa"/>
            <w:tcBorders>
              <w:top w:val="single" w:color="000000" w:sz="4" w:space="0"/>
              <w:left w:val="single" w:color="000000" w:sz="4" w:space="0"/>
              <w:bottom w:val="single" w:color="000000" w:sz="4" w:space="0"/>
              <w:right w:val="single" w:color="000000" w:sz="4" w:space="0"/>
            </w:tcBorders>
            <w:vAlign w:val="center"/>
          </w:tcPr>
          <w:p>
            <w:pPr>
              <w:spacing w:before="93" w:after="93"/>
              <w:rPr>
                <w:rFonts w:cs="Times New Roman"/>
                <w:color w:val="auto"/>
                <w:szCs w:val="21"/>
                <w:highlight w:val="none"/>
              </w:rPr>
            </w:pPr>
            <w:r>
              <w:rPr>
                <w:rFonts w:cs="Times New Roman"/>
                <w:color w:val="auto"/>
                <w:szCs w:val="21"/>
                <w:highlight w:val="none"/>
              </w:rPr>
              <w:t>500~1000元/天</w:t>
            </w:r>
          </w:p>
        </w:tc>
        <w:tc>
          <w:tcPr>
            <w:tcW w:w="2268" w:type="dxa"/>
            <w:tcBorders>
              <w:top w:val="single" w:color="000000" w:sz="4" w:space="0"/>
              <w:left w:val="single" w:color="000000" w:sz="4" w:space="0"/>
              <w:bottom w:val="single" w:color="000000" w:sz="4" w:space="0"/>
              <w:right w:val="single" w:color="000000" w:sz="4" w:space="0"/>
            </w:tcBorders>
            <w:vAlign w:val="center"/>
          </w:tcPr>
          <w:p>
            <w:pPr>
              <w:rPr>
                <w:rFonts w:cs="Times New Roman"/>
                <w:color w:val="auto"/>
                <w:szCs w:val="21"/>
                <w:highlight w:val="none"/>
                <w:lang w:eastAsia="zh-CN"/>
              </w:rPr>
            </w:pPr>
            <w:r>
              <w:rPr>
                <w:rFonts w:cs="Times New Roman"/>
                <w:color w:val="auto"/>
                <w:szCs w:val="21"/>
                <w:highlight w:val="none"/>
                <w:lang w:eastAsia="zh-CN"/>
              </w:rPr>
              <w:t>若能及时纠正且不影响下道工序的，可予以免除</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trHeight w:val="737" w:hRule="atLeast"/>
        </w:trPr>
        <w:tc>
          <w:tcPr>
            <w:tcW w:w="709" w:type="dxa"/>
            <w:tcBorders>
              <w:top w:val="single" w:color="000000" w:sz="4" w:space="0"/>
              <w:left w:val="single" w:color="000000" w:sz="4" w:space="0"/>
              <w:bottom w:val="single" w:color="000000" w:sz="4" w:space="0"/>
              <w:right w:val="single" w:color="000000" w:sz="4" w:space="0"/>
            </w:tcBorders>
            <w:vAlign w:val="center"/>
          </w:tcPr>
          <w:p>
            <w:pPr>
              <w:jc w:val="center"/>
              <w:rPr>
                <w:rFonts w:cs="Times New Roman"/>
                <w:color w:val="auto"/>
                <w:szCs w:val="21"/>
                <w:highlight w:val="none"/>
              </w:rPr>
            </w:pPr>
            <w:r>
              <w:rPr>
                <w:rFonts w:cs="Times New Roman"/>
                <w:color w:val="auto"/>
                <w:szCs w:val="21"/>
                <w:highlight w:val="none"/>
              </w:rPr>
              <w:t>14</w:t>
            </w:r>
          </w:p>
        </w:tc>
        <w:tc>
          <w:tcPr>
            <w:tcW w:w="4536" w:type="dxa"/>
            <w:tcBorders>
              <w:top w:val="single" w:color="000000" w:sz="4" w:space="0"/>
              <w:left w:val="single" w:color="000000" w:sz="4" w:space="0"/>
              <w:bottom w:val="single" w:color="000000" w:sz="4" w:space="0"/>
              <w:right w:val="single" w:color="000000" w:sz="4" w:space="0"/>
            </w:tcBorders>
            <w:vAlign w:val="center"/>
          </w:tcPr>
          <w:p>
            <w:pPr>
              <w:rPr>
                <w:rFonts w:cs="Times New Roman"/>
                <w:color w:val="auto"/>
                <w:szCs w:val="21"/>
                <w:highlight w:val="none"/>
                <w:lang w:eastAsia="zh-CN"/>
              </w:rPr>
            </w:pPr>
            <w:r>
              <w:rPr>
                <w:rFonts w:cs="Times New Roman"/>
                <w:color w:val="auto"/>
                <w:szCs w:val="21"/>
                <w:highlight w:val="none"/>
                <w:lang w:eastAsia="zh-CN"/>
              </w:rPr>
              <w:t>承包人在收到发包人确定专业分包的通知后，没有按要求及时向监理部和发包人提交作业面交接计划。</w:t>
            </w:r>
          </w:p>
        </w:tc>
        <w:tc>
          <w:tcPr>
            <w:tcW w:w="2127" w:type="dxa"/>
            <w:tcBorders>
              <w:top w:val="single" w:color="000000" w:sz="4" w:space="0"/>
              <w:left w:val="single" w:color="000000" w:sz="4" w:space="0"/>
              <w:bottom w:val="single" w:color="000000" w:sz="4" w:space="0"/>
              <w:right w:val="single" w:color="000000" w:sz="4" w:space="0"/>
            </w:tcBorders>
            <w:vAlign w:val="center"/>
          </w:tcPr>
          <w:p>
            <w:pPr>
              <w:spacing w:before="93" w:after="93"/>
              <w:rPr>
                <w:rFonts w:cs="Times New Roman"/>
                <w:color w:val="auto"/>
                <w:szCs w:val="21"/>
                <w:highlight w:val="none"/>
              </w:rPr>
            </w:pPr>
            <w:r>
              <w:rPr>
                <w:rFonts w:cs="Times New Roman"/>
                <w:color w:val="auto"/>
                <w:szCs w:val="21"/>
                <w:highlight w:val="none"/>
              </w:rPr>
              <w:t>1000~3000元/天</w:t>
            </w:r>
          </w:p>
        </w:tc>
        <w:tc>
          <w:tcPr>
            <w:tcW w:w="2268" w:type="dxa"/>
            <w:tcBorders>
              <w:top w:val="single" w:color="000000" w:sz="4" w:space="0"/>
              <w:left w:val="single" w:color="000000" w:sz="4" w:space="0"/>
              <w:bottom w:val="single" w:color="000000" w:sz="4" w:space="0"/>
              <w:right w:val="single" w:color="000000" w:sz="4" w:space="0"/>
            </w:tcBorders>
            <w:vAlign w:val="center"/>
          </w:tcPr>
          <w:p>
            <w:pPr>
              <w:rPr>
                <w:rFonts w:cs="Times New Roman"/>
                <w:color w:val="auto"/>
                <w:szCs w:val="21"/>
                <w:highlight w:val="none"/>
                <w:lang w:eastAsia="zh-CN"/>
              </w:rPr>
            </w:pPr>
            <w:r>
              <w:rPr>
                <w:rFonts w:cs="Times New Roman"/>
                <w:color w:val="auto"/>
                <w:szCs w:val="21"/>
                <w:highlight w:val="none"/>
                <w:lang w:eastAsia="zh-CN"/>
              </w:rPr>
              <w:t>以发包人及监理记录为依据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trHeight w:val="737" w:hRule="atLeast"/>
        </w:trPr>
        <w:tc>
          <w:tcPr>
            <w:tcW w:w="709" w:type="dxa"/>
            <w:tcBorders>
              <w:top w:val="single" w:color="000000" w:sz="4" w:space="0"/>
              <w:left w:val="single" w:color="000000" w:sz="4" w:space="0"/>
              <w:bottom w:val="single" w:color="000000" w:sz="4" w:space="0"/>
              <w:right w:val="single" w:color="000000" w:sz="4" w:space="0"/>
            </w:tcBorders>
            <w:vAlign w:val="center"/>
          </w:tcPr>
          <w:p>
            <w:pPr>
              <w:jc w:val="center"/>
              <w:rPr>
                <w:rFonts w:cs="Times New Roman"/>
                <w:color w:val="auto"/>
                <w:szCs w:val="21"/>
                <w:highlight w:val="none"/>
              </w:rPr>
            </w:pPr>
            <w:r>
              <w:rPr>
                <w:rFonts w:cs="Times New Roman"/>
                <w:color w:val="auto"/>
                <w:szCs w:val="21"/>
                <w:highlight w:val="none"/>
              </w:rPr>
              <w:t>15</w:t>
            </w:r>
          </w:p>
        </w:tc>
        <w:tc>
          <w:tcPr>
            <w:tcW w:w="4536" w:type="dxa"/>
            <w:tcBorders>
              <w:top w:val="single" w:color="000000" w:sz="4" w:space="0"/>
              <w:left w:val="single" w:color="000000" w:sz="4" w:space="0"/>
              <w:bottom w:val="single" w:color="000000" w:sz="4" w:space="0"/>
              <w:right w:val="single" w:color="000000" w:sz="4" w:space="0"/>
            </w:tcBorders>
            <w:vAlign w:val="center"/>
          </w:tcPr>
          <w:p>
            <w:pPr>
              <w:rPr>
                <w:rFonts w:cs="Times New Roman"/>
                <w:color w:val="auto"/>
                <w:szCs w:val="21"/>
                <w:highlight w:val="none"/>
                <w:lang w:eastAsia="zh-CN"/>
              </w:rPr>
            </w:pPr>
            <w:r>
              <w:rPr>
                <w:rFonts w:cs="Times New Roman"/>
                <w:color w:val="auto"/>
                <w:szCs w:val="21"/>
                <w:highlight w:val="none"/>
                <w:lang w:eastAsia="zh-CN"/>
              </w:rPr>
              <w:t>承包人未按约定时间移交相关工作面</w:t>
            </w:r>
          </w:p>
        </w:tc>
        <w:tc>
          <w:tcPr>
            <w:tcW w:w="2127" w:type="dxa"/>
            <w:tcBorders>
              <w:top w:val="single" w:color="000000" w:sz="4" w:space="0"/>
              <w:left w:val="single" w:color="000000" w:sz="4" w:space="0"/>
              <w:bottom w:val="single" w:color="000000" w:sz="4" w:space="0"/>
              <w:right w:val="single" w:color="000000" w:sz="4" w:space="0"/>
            </w:tcBorders>
            <w:vAlign w:val="center"/>
          </w:tcPr>
          <w:p>
            <w:pPr>
              <w:spacing w:before="93" w:after="93"/>
              <w:rPr>
                <w:rFonts w:cs="Times New Roman"/>
                <w:color w:val="auto"/>
                <w:szCs w:val="21"/>
                <w:highlight w:val="none"/>
              </w:rPr>
            </w:pPr>
            <w:r>
              <w:rPr>
                <w:rFonts w:cs="Times New Roman"/>
                <w:color w:val="auto"/>
                <w:szCs w:val="21"/>
                <w:highlight w:val="none"/>
              </w:rPr>
              <w:t>5000元/天</w:t>
            </w:r>
          </w:p>
        </w:tc>
        <w:tc>
          <w:tcPr>
            <w:tcW w:w="2268" w:type="dxa"/>
            <w:tcBorders>
              <w:top w:val="single" w:color="000000" w:sz="4" w:space="0"/>
              <w:left w:val="single" w:color="000000" w:sz="4" w:space="0"/>
              <w:bottom w:val="single" w:color="000000" w:sz="4" w:space="0"/>
              <w:right w:val="single" w:color="000000" w:sz="4" w:space="0"/>
            </w:tcBorders>
            <w:vAlign w:val="center"/>
          </w:tcPr>
          <w:p>
            <w:pPr>
              <w:rPr>
                <w:rFonts w:cs="Times New Roman"/>
                <w:color w:val="auto"/>
                <w:szCs w:val="21"/>
                <w:highlight w:val="none"/>
                <w:lang w:eastAsia="zh-CN"/>
              </w:rPr>
            </w:pPr>
            <w:r>
              <w:rPr>
                <w:rFonts w:cs="Times New Roman"/>
                <w:color w:val="auto"/>
                <w:szCs w:val="21"/>
                <w:highlight w:val="none"/>
                <w:lang w:eastAsia="zh-CN"/>
              </w:rPr>
              <w:t>以发包人及监理记录为依据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 w:type="dxa"/>
            <w:bottom w:w="0" w:type="dxa"/>
            <w:right w:w="10" w:type="dxa"/>
          </w:tblCellMar>
        </w:tblPrEx>
        <w:trPr>
          <w:trHeight w:val="737" w:hRule="atLeast"/>
        </w:trPr>
        <w:tc>
          <w:tcPr>
            <w:tcW w:w="709" w:type="dxa"/>
            <w:tcBorders>
              <w:top w:val="single" w:color="000000" w:sz="4" w:space="0"/>
              <w:left w:val="single" w:color="000000" w:sz="4" w:space="0"/>
              <w:bottom w:val="single" w:color="000000" w:sz="4" w:space="0"/>
              <w:right w:val="single" w:color="000000" w:sz="4" w:space="0"/>
            </w:tcBorders>
            <w:vAlign w:val="center"/>
          </w:tcPr>
          <w:p>
            <w:pPr>
              <w:jc w:val="center"/>
              <w:rPr>
                <w:rFonts w:cs="Times New Roman"/>
                <w:color w:val="auto"/>
                <w:szCs w:val="21"/>
                <w:highlight w:val="none"/>
              </w:rPr>
            </w:pPr>
            <w:r>
              <w:rPr>
                <w:rFonts w:cs="Times New Roman"/>
                <w:color w:val="auto"/>
                <w:szCs w:val="21"/>
                <w:highlight w:val="none"/>
              </w:rPr>
              <w:t>16</w:t>
            </w:r>
          </w:p>
        </w:tc>
        <w:tc>
          <w:tcPr>
            <w:tcW w:w="4536" w:type="dxa"/>
            <w:tcBorders>
              <w:top w:val="single" w:color="000000" w:sz="4" w:space="0"/>
              <w:left w:val="single" w:color="000000" w:sz="4" w:space="0"/>
              <w:bottom w:val="single" w:color="000000" w:sz="4" w:space="0"/>
              <w:right w:val="single" w:color="000000" w:sz="4" w:space="0"/>
            </w:tcBorders>
            <w:vAlign w:val="center"/>
          </w:tcPr>
          <w:p>
            <w:pPr>
              <w:rPr>
                <w:rFonts w:cs="Times New Roman"/>
                <w:color w:val="auto"/>
                <w:szCs w:val="21"/>
                <w:highlight w:val="none"/>
                <w:lang w:eastAsia="zh-CN"/>
              </w:rPr>
            </w:pPr>
            <w:r>
              <w:rPr>
                <w:rFonts w:cs="Times New Roman"/>
                <w:color w:val="auto"/>
                <w:szCs w:val="21"/>
                <w:highlight w:val="none"/>
                <w:lang w:eastAsia="zh-CN"/>
              </w:rPr>
              <w:t xml:space="preserve">未经监理部及发包人允许擅自停工 </w:t>
            </w:r>
          </w:p>
        </w:tc>
        <w:tc>
          <w:tcPr>
            <w:tcW w:w="2127" w:type="dxa"/>
            <w:tcBorders>
              <w:top w:val="single" w:color="000000" w:sz="4" w:space="0"/>
              <w:left w:val="single" w:color="000000" w:sz="4" w:space="0"/>
              <w:bottom w:val="single" w:color="000000" w:sz="4" w:space="0"/>
              <w:right w:val="single" w:color="000000" w:sz="4" w:space="0"/>
            </w:tcBorders>
            <w:vAlign w:val="center"/>
          </w:tcPr>
          <w:p>
            <w:pPr>
              <w:spacing w:before="93" w:after="93"/>
              <w:rPr>
                <w:rFonts w:cs="Times New Roman"/>
                <w:color w:val="auto"/>
                <w:szCs w:val="21"/>
                <w:highlight w:val="none"/>
              </w:rPr>
            </w:pPr>
            <w:r>
              <w:rPr>
                <w:rFonts w:cs="Times New Roman"/>
                <w:color w:val="auto"/>
                <w:szCs w:val="21"/>
                <w:highlight w:val="none"/>
              </w:rPr>
              <w:t>100000元/次</w:t>
            </w:r>
          </w:p>
        </w:tc>
        <w:tc>
          <w:tcPr>
            <w:tcW w:w="2268" w:type="dxa"/>
            <w:tcBorders>
              <w:top w:val="single" w:color="000000" w:sz="4" w:space="0"/>
              <w:left w:val="single" w:color="000000" w:sz="4" w:space="0"/>
              <w:bottom w:val="single" w:color="000000" w:sz="4" w:space="0"/>
              <w:right w:val="single" w:color="000000" w:sz="4" w:space="0"/>
            </w:tcBorders>
            <w:vAlign w:val="center"/>
          </w:tcPr>
          <w:p>
            <w:pPr>
              <w:snapToGrid w:val="0"/>
              <w:rPr>
                <w:rFonts w:cs="Times New Roman"/>
                <w:color w:val="auto"/>
                <w:szCs w:val="21"/>
                <w:highlight w:val="none"/>
                <w:lang w:eastAsia="zh-CN"/>
              </w:rPr>
            </w:pPr>
            <w:r>
              <w:rPr>
                <w:rFonts w:cs="Times New Roman"/>
                <w:color w:val="auto"/>
                <w:szCs w:val="21"/>
                <w:highlight w:val="none"/>
                <w:lang w:eastAsia="zh-CN"/>
              </w:rPr>
              <w:t>以发包人及监理记录为依据</w:t>
            </w:r>
          </w:p>
        </w:tc>
      </w:tr>
    </w:tbl>
    <w:p>
      <w:pPr>
        <w:rPr>
          <w:rFonts w:cs="Times New Roman"/>
          <w:color w:val="auto"/>
          <w:szCs w:val="21"/>
          <w:highlight w:val="none"/>
          <w:lang w:eastAsia="zh-CN"/>
        </w:rPr>
      </w:pPr>
    </w:p>
    <w:p>
      <w:pPr>
        <w:spacing w:before="240" w:after="240"/>
        <w:outlineLvl w:val="2"/>
        <w:rPr>
          <w:b/>
          <w:color w:val="auto"/>
          <w:highlight w:val="none"/>
          <w:lang w:eastAsia="zh-CN"/>
        </w:rPr>
      </w:pPr>
      <w:r>
        <w:rPr>
          <w:b/>
          <w:color w:val="auto"/>
          <w:highlight w:val="none"/>
          <w:lang w:eastAsia="zh-CN"/>
        </w:rPr>
        <w:t>6、施工流程控制处罚细则</w:t>
      </w:r>
    </w:p>
    <w:tbl>
      <w:tblPr>
        <w:tblStyle w:val="85"/>
        <w:tblW w:w="0" w:type="auto"/>
        <w:tblInd w:w="-6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709"/>
        <w:gridCol w:w="4678"/>
        <w:gridCol w:w="1843"/>
        <w:gridCol w:w="26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709" w:type="dxa"/>
          </w:tcPr>
          <w:p>
            <w:pPr>
              <w:spacing w:line="360" w:lineRule="auto"/>
              <w:ind w:right="-165"/>
              <w:jc w:val="center"/>
              <w:rPr>
                <w:rFonts w:cs="Times New Roman"/>
                <w:color w:val="auto"/>
                <w:szCs w:val="21"/>
                <w:highlight w:val="none"/>
              </w:rPr>
            </w:pPr>
            <w:r>
              <w:rPr>
                <w:rFonts w:cs="Times New Roman"/>
                <w:color w:val="auto"/>
                <w:szCs w:val="21"/>
                <w:highlight w:val="none"/>
              </w:rPr>
              <w:t>序号</w:t>
            </w:r>
          </w:p>
        </w:tc>
        <w:tc>
          <w:tcPr>
            <w:tcW w:w="4678" w:type="dxa"/>
          </w:tcPr>
          <w:p>
            <w:pPr>
              <w:spacing w:line="360" w:lineRule="auto"/>
              <w:ind w:right="-165"/>
              <w:jc w:val="center"/>
              <w:rPr>
                <w:rFonts w:cs="Times New Roman"/>
                <w:color w:val="auto"/>
                <w:szCs w:val="21"/>
                <w:highlight w:val="none"/>
              </w:rPr>
            </w:pPr>
            <w:r>
              <w:rPr>
                <w:rFonts w:cs="Times New Roman"/>
                <w:color w:val="auto"/>
                <w:szCs w:val="21"/>
                <w:highlight w:val="none"/>
              </w:rPr>
              <w:t>事项</w:t>
            </w:r>
          </w:p>
        </w:tc>
        <w:tc>
          <w:tcPr>
            <w:tcW w:w="1843" w:type="dxa"/>
          </w:tcPr>
          <w:p>
            <w:pPr>
              <w:spacing w:line="360" w:lineRule="auto"/>
              <w:ind w:right="-165"/>
              <w:jc w:val="center"/>
              <w:rPr>
                <w:rFonts w:cs="Times New Roman"/>
                <w:color w:val="auto"/>
                <w:szCs w:val="21"/>
                <w:highlight w:val="none"/>
              </w:rPr>
            </w:pPr>
            <w:r>
              <w:rPr>
                <w:rFonts w:cs="Times New Roman"/>
                <w:color w:val="auto"/>
                <w:szCs w:val="21"/>
                <w:highlight w:val="none"/>
              </w:rPr>
              <w:t>处罚标准</w:t>
            </w:r>
          </w:p>
        </w:tc>
        <w:tc>
          <w:tcPr>
            <w:tcW w:w="2659" w:type="dxa"/>
          </w:tcPr>
          <w:p>
            <w:pPr>
              <w:spacing w:line="360" w:lineRule="auto"/>
              <w:ind w:right="-165"/>
              <w:jc w:val="center"/>
              <w:rPr>
                <w:rFonts w:cs="Times New Roman"/>
                <w:color w:val="auto"/>
                <w:szCs w:val="21"/>
                <w:highlight w:val="none"/>
              </w:rPr>
            </w:pPr>
            <w:r>
              <w:rPr>
                <w:rFonts w:cs="Times New Roman"/>
                <w:color w:val="auto"/>
                <w:szCs w:val="21"/>
                <w:highlight w:val="none"/>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709" w:type="dxa"/>
            <w:vAlign w:val="center"/>
          </w:tcPr>
          <w:p>
            <w:pPr>
              <w:spacing w:line="360" w:lineRule="auto"/>
              <w:jc w:val="center"/>
              <w:rPr>
                <w:rFonts w:cs="Times New Roman"/>
                <w:color w:val="auto"/>
                <w:szCs w:val="21"/>
                <w:highlight w:val="none"/>
              </w:rPr>
            </w:pPr>
            <w:r>
              <w:rPr>
                <w:rFonts w:cs="Times New Roman"/>
                <w:color w:val="auto"/>
                <w:szCs w:val="21"/>
                <w:highlight w:val="none"/>
              </w:rPr>
              <w:t>1</w:t>
            </w:r>
          </w:p>
        </w:tc>
        <w:tc>
          <w:tcPr>
            <w:tcW w:w="4678" w:type="dxa"/>
            <w:vAlign w:val="center"/>
          </w:tcPr>
          <w:p>
            <w:pPr>
              <w:snapToGrid w:val="0"/>
              <w:rPr>
                <w:rFonts w:cs="Times New Roman"/>
                <w:color w:val="auto"/>
                <w:szCs w:val="21"/>
                <w:highlight w:val="none"/>
                <w:lang w:eastAsia="zh-CN"/>
              </w:rPr>
            </w:pPr>
            <w:r>
              <w:rPr>
                <w:rFonts w:cs="Times New Roman"/>
                <w:color w:val="auto"/>
                <w:szCs w:val="21"/>
                <w:highlight w:val="none"/>
                <w:lang w:eastAsia="zh-CN"/>
              </w:rPr>
              <w:t>施工单位在施工中需要停工、复工，未收到监理《停工令》、《复工令》擅自停工、复工</w:t>
            </w:r>
          </w:p>
        </w:tc>
        <w:tc>
          <w:tcPr>
            <w:tcW w:w="1843" w:type="dxa"/>
            <w:vAlign w:val="center"/>
          </w:tcPr>
          <w:p>
            <w:pPr>
              <w:snapToGrid w:val="0"/>
              <w:rPr>
                <w:rFonts w:cs="Times New Roman"/>
                <w:color w:val="auto"/>
                <w:szCs w:val="21"/>
                <w:highlight w:val="none"/>
              </w:rPr>
            </w:pPr>
            <w:r>
              <w:rPr>
                <w:rFonts w:cs="Times New Roman"/>
                <w:color w:val="auto"/>
                <w:szCs w:val="21"/>
                <w:highlight w:val="none"/>
              </w:rPr>
              <w:t>20000元</w:t>
            </w:r>
          </w:p>
        </w:tc>
        <w:tc>
          <w:tcPr>
            <w:tcW w:w="2659" w:type="dxa"/>
            <w:vAlign w:val="center"/>
          </w:tcPr>
          <w:p>
            <w:pPr>
              <w:snapToGrid w:val="0"/>
              <w:rPr>
                <w:rFonts w:cs="Times New Roman"/>
                <w:color w:val="auto"/>
                <w:szCs w:val="21"/>
                <w:highlight w:val="none"/>
                <w:lang w:eastAsia="zh-CN"/>
              </w:rPr>
            </w:pPr>
            <w:r>
              <w:rPr>
                <w:rFonts w:cs="Times New Roman"/>
                <w:color w:val="auto"/>
                <w:szCs w:val="21"/>
                <w:highlight w:val="none"/>
                <w:lang w:eastAsia="zh-CN"/>
              </w:rPr>
              <w:t>罚款立即执行。紧急情况下需要停工，须先征得监理、发包人的口头确认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709" w:type="dxa"/>
            <w:vAlign w:val="center"/>
          </w:tcPr>
          <w:p>
            <w:pPr>
              <w:spacing w:line="360" w:lineRule="auto"/>
              <w:jc w:val="center"/>
              <w:rPr>
                <w:rFonts w:cs="Times New Roman"/>
                <w:color w:val="auto"/>
                <w:szCs w:val="21"/>
                <w:highlight w:val="none"/>
              </w:rPr>
            </w:pPr>
            <w:r>
              <w:rPr>
                <w:rFonts w:cs="Times New Roman"/>
                <w:color w:val="auto"/>
                <w:szCs w:val="21"/>
                <w:highlight w:val="none"/>
              </w:rPr>
              <w:t>2</w:t>
            </w:r>
          </w:p>
        </w:tc>
        <w:tc>
          <w:tcPr>
            <w:tcW w:w="4678" w:type="dxa"/>
            <w:vAlign w:val="center"/>
          </w:tcPr>
          <w:p>
            <w:pPr>
              <w:snapToGrid w:val="0"/>
              <w:rPr>
                <w:rFonts w:cs="Times New Roman"/>
                <w:color w:val="auto"/>
                <w:szCs w:val="21"/>
                <w:highlight w:val="none"/>
                <w:lang w:eastAsia="zh-CN"/>
              </w:rPr>
            </w:pPr>
            <w:r>
              <w:rPr>
                <w:rFonts w:cs="Times New Roman"/>
                <w:color w:val="auto"/>
                <w:szCs w:val="21"/>
                <w:highlight w:val="none"/>
                <w:lang w:eastAsia="zh-CN"/>
              </w:rPr>
              <w:t>《整改通知单》收到后，在指定时间内未完成整改</w:t>
            </w:r>
          </w:p>
        </w:tc>
        <w:tc>
          <w:tcPr>
            <w:tcW w:w="1843" w:type="dxa"/>
            <w:vAlign w:val="center"/>
          </w:tcPr>
          <w:p>
            <w:pPr>
              <w:snapToGrid w:val="0"/>
              <w:rPr>
                <w:rFonts w:cs="Times New Roman"/>
                <w:color w:val="auto"/>
                <w:szCs w:val="21"/>
                <w:highlight w:val="none"/>
                <w:lang w:eastAsia="zh-CN"/>
              </w:rPr>
            </w:pPr>
            <w:r>
              <w:rPr>
                <w:rFonts w:cs="Times New Roman"/>
                <w:color w:val="auto"/>
                <w:szCs w:val="21"/>
                <w:highlight w:val="none"/>
                <w:lang w:eastAsia="zh-CN"/>
              </w:rPr>
              <w:t>视情节严重程度，罚款500~1000元/次</w:t>
            </w:r>
          </w:p>
        </w:tc>
        <w:tc>
          <w:tcPr>
            <w:tcW w:w="2659" w:type="dxa"/>
            <w:vAlign w:val="center"/>
          </w:tcPr>
          <w:p>
            <w:pPr>
              <w:snapToGrid w:val="0"/>
              <w:rPr>
                <w:rFonts w:cs="Times New Roman"/>
                <w:color w:val="auto"/>
                <w:szCs w:val="21"/>
                <w:highlight w:val="none"/>
              </w:rPr>
            </w:pPr>
            <w:r>
              <w:rPr>
                <w:rFonts w:cs="Times New Roman"/>
                <w:color w:val="auto"/>
                <w:szCs w:val="21"/>
                <w:highlight w:val="none"/>
              </w:rPr>
              <w:t>罚款立即执行。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900" w:hRule="atLeast"/>
        </w:trPr>
        <w:tc>
          <w:tcPr>
            <w:tcW w:w="709" w:type="dxa"/>
            <w:vAlign w:val="center"/>
          </w:tcPr>
          <w:p>
            <w:pPr>
              <w:spacing w:line="360" w:lineRule="auto"/>
              <w:jc w:val="center"/>
              <w:rPr>
                <w:rFonts w:cs="Times New Roman"/>
                <w:color w:val="auto"/>
                <w:szCs w:val="21"/>
                <w:highlight w:val="none"/>
              </w:rPr>
            </w:pPr>
            <w:r>
              <w:rPr>
                <w:rFonts w:cs="Times New Roman"/>
                <w:color w:val="auto"/>
                <w:szCs w:val="21"/>
                <w:highlight w:val="none"/>
              </w:rPr>
              <w:t>3</w:t>
            </w:r>
          </w:p>
        </w:tc>
        <w:tc>
          <w:tcPr>
            <w:tcW w:w="4678" w:type="dxa"/>
            <w:vAlign w:val="center"/>
          </w:tcPr>
          <w:p>
            <w:pPr>
              <w:snapToGrid w:val="0"/>
              <w:rPr>
                <w:rFonts w:cs="Times New Roman"/>
                <w:color w:val="auto"/>
                <w:szCs w:val="21"/>
                <w:highlight w:val="none"/>
                <w:lang w:eastAsia="zh-CN"/>
              </w:rPr>
            </w:pPr>
            <w:r>
              <w:rPr>
                <w:rFonts w:cs="Times New Roman"/>
                <w:color w:val="auto"/>
                <w:szCs w:val="21"/>
                <w:highlight w:val="none"/>
                <w:lang w:eastAsia="zh-CN"/>
              </w:rPr>
              <w:t>重大事项未及时通知监理公司或发包人</w:t>
            </w:r>
          </w:p>
        </w:tc>
        <w:tc>
          <w:tcPr>
            <w:tcW w:w="1843" w:type="dxa"/>
            <w:vAlign w:val="center"/>
          </w:tcPr>
          <w:p>
            <w:pPr>
              <w:snapToGrid w:val="0"/>
              <w:rPr>
                <w:rFonts w:cs="Times New Roman"/>
                <w:color w:val="auto"/>
                <w:szCs w:val="21"/>
                <w:highlight w:val="none"/>
                <w:lang w:eastAsia="zh-CN"/>
              </w:rPr>
            </w:pPr>
            <w:r>
              <w:rPr>
                <w:rFonts w:cs="Times New Roman"/>
                <w:color w:val="auto"/>
                <w:szCs w:val="21"/>
                <w:highlight w:val="none"/>
                <w:lang w:eastAsia="zh-CN"/>
              </w:rPr>
              <w:t>视情节严重程度，罚款2000~20000元/次</w:t>
            </w:r>
          </w:p>
        </w:tc>
        <w:tc>
          <w:tcPr>
            <w:tcW w:w="2659" w:type="dxa"/>
            <w:vAlign w:val="center"/>
          </w:tcPr>
          <w:p>
            <w:pPr>
              <w:snapToGrid w:val="0"/>
              <w:rPr>
                <w:rFonts w:cs="Times New Roman"/>
                <w:color w:val="auto"/>
                <w:szCs w:val="21"/>
                <w:highlight w:val="none"/>
                <w:lang w:eastAsia="zh-CN"/>
              </w:rPr>
            </w:pPr>
            <w:r>
              <w:rPr>
                <w:rFonts w:cs="Times New Roman"/>
                <w:color w:val="auto"/>
                <w:szCs w:val="21"/>
                <w:highlight w:val="none"/>
                <w:lang w:eastAsia="zh-CN"/>
              </w:rPr>
              <w:t>以监理公司或发包人通过其他方式知道此事件为准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709" w:type="dxa"/>
            <w:vAlign w:val="center"/>
          </w:tcPr>
          <w:p>
            <w:pPr>
              <w:spacing w:line="360" w:lineRule="auto"/>
              <w:jc w:val="center"/>
              <w:rPr>
                <w:rFonts w:cs="Times New Roman"/>
                <w:color w:val="auto"/>
                <w:szCs w:val="21"/>
                <w:highlight w:val="none"/>
              </w:rPr>
            </w:pPr>
            <w:r>
              <w:rPr>
                <w:rFonts w:cs="Times New Roman"/>
                <w:color w:val="auto"/>
                <w:szCs w:val="21"/>
                <w:highlight w:val="none"/>
              </w:rPr>
              <w:t>4</w:t>
            </w:r>
          </w:p>
        </w:tc>
        <w:tc>
          <w:tcPr>
            <w:tcW w:w="4678" w:type="dxa"/>
            <w:vAlign w:val="center"/>
          </w:tcPr>
          <w:p>
            <w:pPr>
              <w:snapToGrid w:val="0"/>
              <w:rPr>
                <w:rFonts w:cs="Times New Roman"/>
                <w:color w:val="auto"/>
                <w:szCs w:val="21"/>
                <w:highlight w:val="none"/>
                <w:lang w:eastAsia="zh-CN"/>
              </w:rPr>
            </w:pPr>
            <w:r>
              <w:rPr>
                <w:rFonts w:cs="Times New Roman"/>
                <w:color w:val="auto"/>
                <w:szCs w:val="21"/>
                <w:highlight w:val="none"/>
                <w:lang w:eastAsia="zh-CN"/>
              </w:rPr>
              <w:t>监理例会达成的共识和发包人或监理公司在监理例会上发出的通知、要求、规定等，施工单位没有遵照执行</w:t>
            </w:r>
          </w:p>
        </w:tc>
        <w:tc>
          <w:tcPr>
            <w:tcW w:w="1843" w:type="dxa"/>
            <w:vAlign w:val="center"/>
          </w:tcPr>
          <w:p>
            <w:pPr>
              <w:snapToGrid w:val="0"/>
              <w:rPr>
                <w:rFonts w:cs="Times New Roman"/>
                <w:color w:val="auto"/>
                <w:szCs w:val="21"/>
                <w:highlight w:val="none"/>
              </w:rPr>
            </w:pPr>
            <w:r>
              <w:rPr>
                <w:rFonts w:cs="Times New Roman"/>
                <w:color w:val="auto"/>
                <w:szCs w:val="21"/>
                <w:highlight w:val="none"/>
              </w:rPr>
              <w:t>一次处罚1000元</w:t>
            </w:r>
          </w:p>
        </w:tc>
        <w:tc>
          <w:tcPr>
            <w:tcW w:w="2659" w:type="dxa"/>
            <w:vAlign w:val="center"/>
          </w:tcPr>
          <w:p>
            <w:pPr>
              <w:snapToGrid w:val="0"/>
              <w:rPr>
                <w:rFonts w:cs="Times New Roman"/>
                <w:color w:val="auto"/>
                <w:szCs w:val="21"/>
                <w:highlight w:val="none"/>
                <w:lang w:eastAsia="zh-CN"/>
              </w:rPr>
            </w:pPr>
            <w:r>
              <w:rPr>
                <w:rFonts w:cs="Times New Roman"/>
                <w:color w:val="auto"/>
                <w:szCs w:val="21"/>
                <w:highlight w:val="none"/>
                <w:lang w:eastAsia="zh-CN"/>
              </w:rPr>
              <w:t>罚款立即执行。发包人、监理公司检查核实为准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767" w:hRule="atLeast"/>
        </w:trPr>
        <w:tc>
          <w:tcPr>
            <w:tcW w:w="709" w:type="dxa"/>
            <w:vAlign w:val="center"/>
          </w:tcPr>
          <w:p>
            <w:pPr>
              <w:spacing w:line="360" w:lineRule="auto"/>
              <w:jc w:val="center"/>
              <w:rPr>
                <w:rFonts w:cs="Times New Roman"/>
                <w:color w:val="auto"/>
                <w:szCs w:val="21"/>
                <w:highlight w:val="none"/>
              </w:rPr>
            </w:pPr>
            <w:r>
              <w:rPr>
                <w:rFonts w:cs="Times New Roman"/>
                <w:color w:val="auto"/>
                <w:szCs w:val="21"/>
                <w:highlight w:val="none"/>
              </w:rPr>
              <w:t>5</w:t>
            </w:r>
          </w:p>
        </w:tc>
        <w:tc>
          <w:tcPr>
            <w:tcW w:w="4678" w:type="dxa"/>
            <w:vAlign w:val="center"/>
          </w:tcPr>
          <w:p>
            <w:pPr>
              <w:snapToGrid w:val="0"/>
              <w:rPr>
                <w:rFonts w:cs="Times New Roman"/>
                <w:color w:val="auto"/>
                <w:szCs w:val="21"/>
                <w:highlight w:val="none"/>
                <w:lang w:eastAsia="zh-CN"/>
              </w:rPr>
            </w:pPr>
            <w:r>
              <w:rPr>
                <w:rFonts w:cs="Times New Roman"/>
                <w:color w:val="auto"/>
                <w:szCs w:val="21"/>
                <w:highlight w:val="none"/>
                <w:lang w:eastAsia="zh-CN"/>
              </w:rPr>
              <w:t>未按发包人、监理公司规定的时间、格式、内容填报提交工程相关档案、资料、报告、报表、过程控制文件等</w:t>
            </w:r>
          </w:p>
        </w:tc>
        <w:tc>
          <w:tcPr>
            <w:tcW w:w="1843" w:type="dxa"/>
            <w:vAlign w:val="center"/>
          </w:tcPr>
          <w:p>
            <w:pPr>
              <w:snapToGrid w:val="0"/>
              <w:rPr>
                <w:rFonts w:cs="Times New Roman"/>
                <w:color w:val="auto"/>
                <w:szCs w:val="21"/>
                <w:highlight w:val="none"/>
                <w:lang w:eastAsia="zh-CN"/>
              </w:rPr>
            </w:pPr>
            <w:r>
              <w:rPr>
                <w:rFonts w:cs="Times New Roman"/>
                <w:color w:val="auto"/>
                <w:szCs w:val="21"/>
                <w:highlight w:val="none"/>
                <w:lang w:eastAsia="zh-CN"/>
              </w:rPr>
              <w:t>视情节严重程度，罚款500~2000元/次</w:t>
            </w:r>
          </w:p>
        </w:tc>
        <w:tc>
          <w:tcPr>
            <w:tcW w:w="2659" w:type="dxa"/>
            <w:vAlign w:val="center"/>
          </w:tcPr>
          <w:p>
            <w:pPr>
              <w:snapToGrid w:val="0"/>
              <w:rPr>
                <w:rFonts w:cs="Times New Roman"/>
                <w:color w:val="auto"/>
                <w:szCs w:val="21"/>
                <w:highlight w:val="none"/>
                <w:lang w:eastAsia="zh-CN"/>
              </w:rPr>
            </w:pPr>
            <w:r>
              <w:rPr>
                <w:rFonts w:cs="Times New Roman"/>
                <w:color w:val="auto"/>
                <w:szCs w:val="21"/>
                <w:highlight w:val="none"/>
                <w:lang w:eastAsia="zh-CN"/>
              </w:rPr>
              <w:t>发包人、监理检查核实为准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767" w:hRule="atLeast"/>
        </w:trPr>
        <w:tc>
          <w:tcPr>
            <w:tcW w:w="709" w:type="dxa"/>
            <w:vAlign w:val="center"/>
          </w:tcPr>
          <w:p>
            <w:pPr>
              <w:spacing w:line="360" w:lineRule="auto"/>
              <w:jc w:val="center"/>
              <w:rPr>
                <w:rFonts w:cs="Times New Roman"/>
                <w:color w:val="auto"/>
                <w:szCs w:val="21"/>
                <w:highlight w:val="none"/>
              </w:rPr>
            </w:pPr>
            <w:r>
              <w:rPr>
                <w:rFonts w:cs="Times New Roman"/>
                <w:color w:val="auto"/>
                <w:szCs w:val="21"/>
                <w:highlight w:val="none"/>
              </w:rPr>
              <w:t>6</w:t>
            </w:r>
          </w:p>
        </w:tc>
        <w:tc>
          <w:tcPr>
            <w:tcW w:w="4678" w:type="dxa"/>
            <w:vAlign w:val="center"/>
          </w:tcPr>
          <w:p>
            <w:pPr>
              <w:snapToGrid w:val="0"/>
              <w:rPr>
                <w:rFonts w:cs="Times New Roman"/>
                <w:color w:val="auto"/>
                <w:szCs w:val="21"/>
                <w:highlight w:val="none"/>
                <w:lang w:eastAsia="zh-CN"/>
              </w:rPr>
            </w:pPr>
            <w:r>
              <w:rPr>
                <w:rFonts w:cs="Times New Roman"/>
                <w:color w:val="auto"/>
                <w:szCs w:val="21"/>
                <w:highlight w:val="none"/>
                <w:lang w:eastAsia="zh-CN"/>
              </w:rPr>
              <w:t>因施工方法不当或施工水平的原因造成工程、设计变更</w:t>
            </w:r>
          </w:p>
        </w:tc>
        <w:tc>
          <w:tcPr>
            <w:tcW w:w="1843" w:type="dxa"/>
            <w:vAlign w:val="center"/>
          </w:tcPr>
          <w:p>
            <w:pPr>
              <w:snapToGrid w:val="0"/>
              <w:rPr>
                <w:rFonts w:cs="Times New Roman"/>
                <w:color w:val="auto"/>
                <w:szCs w:val="21"/>
                <w:highlight w:val="none"/>
                <w:lang w:eastAsia="zh-CN"/>
              </w:rPr>
            </w:pPr>
            <w:r>
              <w:rPr>
                <w:rFonts w:cs="Times New Roman"/>
                <w:color w:val="auto"/>
                <w:szCs w:val="21"/>
                <w:highlight w:val="none"/>
                <w:lang w:eastAsia="zh-CN"/>
              </w:rPr>
              <w:t>发现一项，罚款5000元，并承担变更全部费用</w:t>
            </w:r>
          </w:p>
        </w:tc>
        <w:tc>
          <w:tcPr>
            <w:tcW w:w="2659" w:type="dxa"/>
            <w:vAlign w:val="center"/>
          </w:tcPr>
          <w:p>
            <w:pPr>
              <w:snapToGrid w:val="0"/>
              <w:rPr>
                <w:rFonts w:cs="Times New Roman"/>
                <w:color w:val="auto"/>
                <w:szCs w:val="21"/>
                <w:highlight w:val="none"/>
              </w:rPr>
            </w:pPr>
            <w:r>
              <w:rPr>
                <w:rFonts w:cs="Times New Roman"/>
                <w:color w:val="auto"/>
                <w:szCs w:val="21"/>
                <w:highlight w:val="none"/>
              </w:rPr>
              <w:t>发包人检查核实为准</w:t>
            </w:r>
          </w:p>
        </w:tc>
      </w:tr>
    </w:tbl>
    <w:p>
      <w:pPr>
        <w:rPr>
          <w:rFonts w:cs="Times New Roman"/>
          <w:color w:val="auto"/>
          <w:szCs w:val="21"/>
          <w:highlight w:val="none"/>
        </w:rPr>
      </w:pPr>
    </w:p>
    <w:p>
      <w:pPr>
        <w:spacing w:before="240" w:after="240"/>
        <w:outlineLvl w:val="2"/>
        <w:rPr>
          <w:b/>
          <w:color w:val="auto"/>
          <w:highlight w:val="none"/>
          <w:lang w:eastAsia="zh-CN"/>
        </w:rPr>
      </w:pPr>
      <w:r>
        <w:rPr>
          <w:b/>
          <w:color w:val="auto"/>
          <w:highlight w:val="none"/>
          <w:lang w:eastAsia="zh-CN"/>
        </w:rPr>
        <w:t>7、会议及文件管理处罚细则</w:t>
      </w:r>
    </w:p>
    <w:tbl>
      <w:tblPr>
        <w:tblStyle w:val="85"/>
        <w:tblW w:w="0" w:type="auto"/>
        <w:tblInd w:w="-704" w:type="dxa"/>
        <w:tblLayout w:type="fixed"/>
        <w:tblCellMar>
          <w:top w:w="0" w:type="dxa"/>
          <w:left w:w="0" w:type="dxa"/>
          <w:bottom w:w="0" w:type="dxa"/>
          <w:right w:w="0" w:type="dxa"/>
        </w:tblCellMar>
      </w:tblPr>
      <w:tblGrid>
        <w:gridCol w:w="709"/>
        <w:gridCol w:w="4678"/>
        <w:gridCol w:w="1843"/>
        <w:gridCol w:w="2693"/>
      </w:tblGrid>
      <w:tr>
        <w:tblPrEx>
          <w:tblCellMar>
            <w:top w:w="0" w:type="dxa"/>
            <w:left w:w="0" w:type="dxa"/>
            <w:bottom w:w="0" w:type="dxa"/>
            <w:right w:w="0" w:type="dxa"/>
          </w:tblCellMar>
        </w:tblPrEx>
        <w:trPr>
          <w:trHeight w:val="300" w:hRule="atLeast"/>
        </w:trPr>
        <w:tc>
          <w:tcPr>
            <w:tcW w:w="709" w:type="dxa"/>
            <w:tcBorders>
              <w:top w:val="single" w:color="auto" w:sz="4" w:space="0"/>
              <w:left w:val="single" w:color="auto" w:sz="4" w:space="0"/>
              <w:bottom w:val="single" w:color="auto" w:sz="4" w:space="0"/>
              <w:right w:val="single" w:color="auto" w:sz="4" w:space="0"/>
            </w:tcBorders>
          </w:tcPr>
          <w:p>
            <w:pPr>
              <w:spacing w:line="360" w:lineRule="auto"/>
              <w:ind w:right="-165"/>
              <w:jc w:val="center"/>
              <w:rPr>
                <w:rFonts w:cs="Times New Roman"/>
                <w:color w:val="auto"/>
                <w:szCs w:val="21"/>
                <w:highlight w:val="none"/>
              </w:rPr>
            </w:pPr>
            <w:r>
              <w:rPr>
                <w:rFonts w:cs="Times New Roman"/>
                <w:color w:val="auto"/>
                <w:szCs w:val="21"/>
                <w:highlight w:val="none"/>
              </w:rPr>
              <w:t>序号</w:t>
            </w:r>
          </w:p>
        </w:tc>
        <w:tc>
          <w:tcPr>
            <w:tcW w:w="4678" w:type="dxa"/>
            <w:tcBorders>
              <w:top w:val="single" w:color="auto" w:sz="4" w:space="0"/>
              <w:left w:val="nil"/>
              <w:bottom w:val="single" w:color="auto" w:sz="4" w:space="0"/>
              <w:right w:val="single" w:color="auto" w:sz="4" w:space="0"/>
            </w:tcBorders>
          </w:tcPr>
          <w:p>
            <w:pPr>
              <w:spacing w:line="360" w:lineRule="auto"/>
              <w:ind w:right="-165"/>
              <w:jc w:val="center"/>
              <w:rPr>
                <w:rFonts w:cs="Times New Roman"/>
                <w:color w:val="auto"/>
                <w:szCs w:val="21"/>
                <w:highlight w:val="none"/>
              </w:rPr>
            </w:pPr>
            <w:r>
              <w:rPr>
                <w:rFonts w:cs="Times New Roman"/>
                <w:color w:val="auto"/>
                <w:szCs w:val="21"/>
                <w:highlight w:val="none"/>
              </w:rPr>
              <w:t>事项</w:t>
            </w:r>
          </w:p>
        </w:tc>
        <w:tc>
          <w:tcPr>
            <w:tcW w:w="1843" w:type="dxa"/>
            <w:tcBorders>
              <w:top w:val="single" w:color="auto" w:sz="4" w:space="0"/>
              <w:left w:val="nil"/>
              <w:bottom w:val="single" w:color="auto" w:sz="4" w:space="0"/>
              <w:right w:val="single" w:color="auto" w:sz="4" w:space="0"/>
            </w:tcBorders>
          </w:tcPr>
          <w:p>
            <w:pPr>
              <w:spacing w:line="360" w:lineRule="auto"/>
              <w:ind w:right="-165"/>
              <w:jc w:val="center"/>
              <w:rPr>
                <w:rFonts w:cs="Times New Roman"/>
                <w:color w:val="auto"/>
                <w:szCs w:val="21"/>
                <w:highlight w:val="none"/>
              </w:rPr>
            </w:pPr>
            <w:r>
              <w:rPr>
                <w:rFonts w:cs="Times New Roman"/>
                <w:color w:val="auto"/>
                <w:szCs w:val="21"/>
                <w:highlight w:val="none"/>
              </w:rPr>
              <w:t>处罚标准</w:t>
            </w:r>
          </w:p>
        </w:tc>
        <w:tc>
          <w:tcPr>
            <w:tcW w:w="2693" w:type="dxa"/>
            <w:tcBorders>
              <w:top w:val="single" w:color="auto" w:sz="4" w:space="0"/>
              <w:left w:val="nil"/>
              <w:bottom w:val="single" w:color="auto" w:sz="4" w:space="0"/>
              <w:right w:val="single" w:color="auto" w:sz="4" w:space="0"/>
            </w:tcBorders>
          </w:tcPr>
          <w:p>
            <w:pPr>
              <w:spacing w:line="360" w:lineRule="auto"/>
              <w:ind w:right="-165"/>
              <w:jc w:val="center"/>
              <w:rPr>
                <w:rFonts w:cs="Times New Roman"/>
                <w:color w:val="auto"/>
                <w:szCs w:val="21"/>
                <w:highlight w:val="none"/>
              </w:rPr>
            </w:pPr>
            <w:r>
              <w:rPr>
                <w:rFonts w:cs="Times New Roman"/>
                <w:color w:val="auto"/>
                <w:szCs w:val="21"/>
                <w:highlight w:val="none"/>
              </w:rPr>
              <w:t>备注</w:t>
            </w:r>
          </w:p>
        </w:tc>
      </w:tr>
      <w:tr>
        <w:tblPrEx>
          <w:tblCellMar>
            <w:top w:w="0" w:type="dxa"/>
            <w:left w:w="0" w:type="dxa"/>
            <w:bottom w:w="0" w:type="dxa"/>
            <w:right w:w="0" w:type="dxa"/>
          </w:tblCellMar>
        </w:tblPrEx>
        <w:trPr>
          <w:trHeight w:val="300" w:hRule="atLeast"/>
        </w:trPr>
        <w:tc>
          <w:tcPr>
            <w:tcW w:w="709" w:type="dxa"/>
            <w:tcBorders>
              <w:top w:val="nil"/>
              <w:left w:val="single" w:color="auto" w:sz="4" w:space="0"/>
              <w:bottom w:val="single" w:color="auto" w:sz="4" w:space="0"/>
              <w:right w:val="single" w:color="auto" w:sz="4" w:space="0"/>
            </w:tcBorders>
            <w:vAlign w:val="center"/>
          </w:tcPr>
          <w:p>
            <w:pPr>
              <w:spacing w:before="93" w:after="93"/>
              <w:jc w:val="center"/>
              <w:rPr>
                <w:rFonts w:cs="Times New Roman"/>
                <w:color w:val="auto"/>
                <w:szCs w:val="21"/>
                <w:highlight w:val="none"/>
              </w:rPr>
            </w:pPr>
            <w:r>
              <w:rPr>
                <w:rFonts w:cs="Times New Roman"/>
                <w:color w:val="auto"/>
                <w:szCs w:val="21"/>
                <w:highlight w:val="none"/>
              </w:rPr>
              <w:t>1</w:t>
            </w:r>
          </w:p>
        </w:tc>
        <w:tc>
          <w:tcPr>
            <w:tcW w:w="4678" w:type="dxa"/>
            <w:tcBorders>
              <w:top w:val="nil"/>
              <w:left w:val="nil"/>
              <w:bottom w:val="single" w:color="auto" w:sz="4" w:space="0"/>
              <w:right w:val="single" w:color="auto" w:sz="4" w:space="0"/>
            </w:tcBorders>
            <w:vAlign w:val="center"/>
          </w:tcPr>
          <w:p>
            <w:pPr>
              <w:spacing w:before="93" w:after="93"/>
              <w:rPr>
                <w:rFonts w:cs="Times New Roman"/>
                <w:color w:val="auto"/>
                <w:szCs w:val="21"/>
                <w:highlight w:val="none"/>
                <w:lang w:eastAsia="zh-CN"/>
              </w:rPr>
            </w:pPr>
            <w:r>
              <w:rPr>
                <w:rFonts w:cs="Times New Roman"/>
                <w:color w:val="auto"/>
                <w:szCs w:val="21"/>
                <w:highlight w:val="none"/>
                <w:lang w:eastAsia="zh-CN"/>
              </w:rPr>
              <w:t>按照发包人及监理要求，应当参加监理例会的人员而擅自缺席的</w:t>
            </w:r>
          </w:p>
        </w:tc>
        <w:tc>
          <w:tcPr>
            <w:tcW w:w="1843" w:type="dxa"/>
            <w:tcBorders>
              <w:top w:val="nil"/>
              <w:left w:val="nil"/>
              <w:bottom w:val="single" w:color="auto" w:sz="4" w:space="0"/>
              <w:right w:val="single" w:color="auto" w:sz="4" w:space="0"/>
            </w:tcBorders>
            <w:vAlign w:val="center"/>
          </w:tcPr>
          <w:p>
            <w:pPr>
              <w:spacing w:before="93" w:after="93"/>
              <w:rPr>
                <w:rFonts w:cs="Times New Roman"/>
                <w:color w:val="auto"/>
                <w:szCs w:val="21"/>
                <w:highlight w:val="none"/>
              </w:rPr>
            </w:pPr>
            <w:r>
              <w:rPr>
                <w:rFonts w:cs="Times New Roman"/>
                <w:color w:val="auto"/>
                <w:szCs w:val="21"/>
                <w:highlight w:val="none"/>
              </w:rPr>
              <w:t>2000元/人次</w:t>
            </w:r>
          </w:p>
        </w:tc>
        <w:tc>
          <w:tcPr>
            <w:tcW w:w="2693" w:type="dxa"/>
            <w:tcBorders>
              <w:top w:val="nil"/>
              <w:left w:val="nil"/>
              <w:bottom w:val="single" w:color="auto" w:sz="4" w:space="0"/>
              <w:right w:val="single" w:color="auto" w:sz="4" w:space="0"/>
            </w:tcBorders>
            <w:vAlign w:val="center"/>
          </w:tcPr>
          <w:p>
            <w:pPr>
              <w:spacing w:before="93" w:after="93"/>
              <w:rPr>
                <w:rFonts w:cs="Times New Roman"/>
                <w:color w:val="auto"/>
                <w:szCs w:val="21"/>
                <w:highlight w:val="none"/>
                <w:lang w:eastAsia="zh-CN"/>
              </w:rPr>
            </w:pPr>
            <w:r>
              <w:rPr>
                <w:rFonts w:cs="Times New Roman"/>
                <w:color w:val="auto"/>
                <w:szCs w:val="21"/>
                <w:highlight w:val="none"/>
                <w:lang w:eastAsia="zh-CN"/>
              </w:rPr>
              <w:t>以会议签到表及发包人确认为依据</w:t>
            </w:r>
          </w:p>
        </w:tc>
      </w:tr>
      <w:tr>
        <w:tblPrEx>
          <w:tblCellMar>
            <w:top w:w="0" w:type="dxa"/>
            <w:left w:w="0" w:type="dxa"/>
            <w:bottom w:w="0" w:type="dxa"/>
            <w:right w:w="0" w:type="dxa"/>
          </w:tblCellMar>
        </w:tblPrEx>
        <w:trPr>
          <w:trHeight w:val="300" w:hRule="atLeast"/>
        </w:trPr>
        <w:tc>
          <w:tcPr>
            <w:tcW w:w="709" w:type="dxa"/>
            <w:tcBorders>
              <w:top w:val="nil"/>
              <w:left w:val="single" w:color="auto" w:sz="4" w:space="0"/>
              <w:bottom w:val="single" w:color="auto" w:sz="4" w:space="0"/>
              <w:right w:val="single" w:color="auto" w:sz="4" w:space="0"/>
            </w:tcBorders>
            <w:vAlign w:val="center"/>
          </w:tcPr>
          <w:p>
            <w:pPr>
              <w:spacing w:before="93" w:after="93"/>
              <w:jc w:val="center"/>
              <w:rPr>
                <w:rFonts w:cs="Times New Roman"/>
                <w:color w:val="auto"/>
                <w:szCs w:val="21"/>
                <w:highlight w:val="none"/>
              </w:rPr>
            </w:pPr>
            <w:r>
              <w:rPr>
                <w:rFonts w:cs="Times New Roman"/>
                <w:color w:val="auto"/>
                <w:szCs w:val="21"/>
                <w:highlight w:val="none"/>
              </w:rPr>
              <w:t>2</w:t>
            </w:r>
          </w:p>
        </w:tc>
        <w:tc>
          <w:tcPr>
            <w:tcW w:w="4678" w:type="dxa"/>
            <w:tcBorders>
              <w:top w:val="nil"/>
              <w:left w:val="nil"/>
              <w:bottom w:val="single" w:color="auto" w:sz="4" w:space="0"/>
              <w:right w:val="single" w:color="auto" w:sz="4" w:space="0"/>
            </w:tcBorders>
          </w:tcPr>
          <w:p>
            <w:pPr>
              <w:rPr>
                <w:rFonts w:cs="Times New Roman"/>
                <w:color w:val="auto"/>
                <w:szCs w:val="21"/>
                <w:highlight w:val="none"/>
                <w:lang w:eastAsia="zh-CN"/>
              </w:rPr>
            </w:pPr>
            <w:r>
              <w:rPr>
                <w:rFonts w:cs="Times New Roman"/>
                <w:color w:val="auto"/>
                <w:szCs w:val="21"/>
                <w:highlight w:val="none"/>
                <w:lang w:eastAsia="zh-CN"/>
              </w:rPr>
              <w:t>主要管理人员无故不参加监理/发包人组织的各项会议</w:t>
            </w:r>
          </w:p>
        </w:tc>
        <w:tc>
          <w:tcPr>
            <w:tcW w:w="1843" w:type="dxa"/>
            <w:tcBorders>
              <w:top w:val="nil"/>
              <w:left w:val="nil"/>
              <w:bottom w:val="single" w:color="auto" w:sz="4" w:space="0"/>
              <w:right w:val="single" w:color="auto" w:sz="4" w:space="0"/>
            </w:tcBorders>
          </w:tcPr>
          <w:p>
            <w:pPr>
              <w:rPr>
                <w:rFonts w:cs="Times New Roman"/>
                <w:color w:val="auto"/>
                <w:szCs w:val="21"/>
                <w:highlight w:val="none"/>
              </w:rPr>
            </w:pPr>
            <w:r>
              <w:rPr>
                <w:rFonts w:cs="Times New Roman"/>
                <w:color w:val="auto"/>
                <w:szCs w:val="21"/>
                <w:highlight w:val="none"/>
              </w:rPr>
              <w:t>1000元/人. 次</w:t>
            </w:r>
          </w:p>
        </w:tc>
        <w:tc>
          <w:tcPr>
            <w:tcW w:w="2693" w:type="dxa"/>
            <w:tcBorders>
              <w:top w:val="nil"/>
              <w:left w:val="nil"/>
              <w:bottom w:val="single" w:color="auto" w:sz="4" w:space="0"/>
              <w:right w:val="single" w:color="auto" w:sz="4" w:space="0"/>
            </w:tcBorders>
          </w:tcPr>
          <w:p>
            <w:pPr>
              <w:rPr>
                <w:rFonts w:cs="Times New Roman"/>
                <w:color w:val="auto"/>
                <w:szCs w:val="21"/>
                <w:highlight w:val="none"/>
                <w:lang w:eastAsia="zh-CN"/>
              </w:rPr>
            </w:pPr>
            <w:r>
              <w:rPr>
                <w:rFonts w:cs="Times New Roman"/>
                <w:color w:val="auto"/>
                <w:szCs w:val="21"/>
                <w:highlight w:val="none"/>
                <w:lang w:eastAsia="zh-CN"/>
              </w:rPr>
              <w:t>以会议签到表及发包人确认为依据</w:t>
            </w:r>
          </w:p>
        </w:tc>
      </w:tr>
      <w:tr>
        <w:tblPrEx>
          <w:tblCellMar>
            <w:top w:w="0" w:type="dxa"/>
            <w:left w:w="0" w:type="dxa"/>
            <w:bottom w:w="0" w:type="dxa"/>
            <w:right w:w="0" w:type="dxa"/>
          </w:tblCellMar>
        </w:tblPrEx>
        <w:trPr>
          <w:trHeight w:val="285" w:hRule="atLeast"/>
        </w:trPr>
        <w:tc>
          <w:tcPr>
            <w:tcW w:w="709" w:type="dxa"/>
            <w:tcBorders>
              <w:top w:val="nil"/>
              <w:left w:val="single" w:color="auto" w:sz="4" w:space="0"/>
              <w:bottom w:val="single" w:color="auto" w:sz="4" w:space="0"/>
              <w:right w:val="single" w:color="auto" w:sz="4" w:space="0"/>
            </w:tcBorders>
            <w:vAlign w:val="center"/>
          </w:tcPr>
          <w:p>
            <w:pPr>
              <w:spacing w:before="93" w:after="93"/>
              <w:jc w:val="center"/>
              <w:rPr>
                <w:rFonts w:cs="Times New Roman"/>
                <w:color w:val="auto"/>
                <w:szCs w:val="21"/>
                <w:highlight w:val="none"/>
              </w:rPr>
            </w:pPr>
            <w:r>
              <w:rPr>
                <w:rFonts w:cs="Times New Roman"/>
                <w:color w:val="auto"/>
                <w:szCs w:val="21"/>
                <w:highlight w:val="none"/>
              </w:rPr>
              <w:t>3</w:t>
            </w:r>
          </w:p>
        </w:tc>
        <w:tc>
          <w:tcPr>
            <w:tcW w:w="4678" w:type="dxa"/>
            <w:tcBorders>
              <w:top w:val="nil"/>
              <w:left w:val="nil"/>
              <w:bottom w:val="single" w:color="auto" w:sz="4" w:space="0"/>
              <w:right w:val="single" w:color="auto" w:sz="4" w:space="0"/>
            </w:tcBorders>
            <w:vAlign w:val="center"/>
          </w:tcPr>
          <w:p>
            <w:pPr>
              <w:spacing w:before="93" w:after="93"/>
              <w:rPr>
                <w:rFonts w:cs="Times New Roman"/>
                <w:color w:val="auto"/>
                <w:szCs w:val="21"/>
                <w:highlight w:val="none"/>
                <w:lang w:eastAsia="zh-CN"/>
              </w:rPr>
            </w:pPr>
            <w:r>
              <w:rPr>
                <w:rFonts w:cs="Times New Roman"/>
                <w:color w:val="auto"/>
                <w:szCs w:val="21"/>
                <w:highlight w:val="none"/>
                <w:lang w:eastAsia="zh-CN"/>
              </w:rPr>
              <w:t>未经许可更换会议出席者</w:t>
            </w:r>
          </w:p>
        </w:tc>
        <w:tc>
          <w:tcPr>
            <w:tcW w:w="1843" w:type="dxa"/>
            <w:tcBorders>
              <w:top w:val="nil"/>
              <w:left w:val="nil"/>
              <w:bottom w:val="single" w:color="auto" w:sz="4" w:space="0"/>
              <w:right w:val="single" w:color="auto" w:sz="4" w:space="0"/>
            </w:tcBorders>
            <w:vAlign w:val="center"/>
          </w:tcPr>
          <w:p>
            <w:pPr>
              <w:spacing w:before="93" w:after="93"/>
              <w:rPr>
                <w:rFonts w:cs="Times New Roman"/>
                <w:color w:val="auto"/>
                <w:szCs w:val="21"/>
                <w:highlight w:val="none"/>
              </w:rPr>
            </w:pPr>
            <w:r>
              <w:rPr>
                <w:rFonts w:cs="Times New Roman"/>
                <w:color w:val="auto"/>
                <w:szCs w:val="21"/>
                <w:highlight w:val="none"/>
              </w:rPr>
              <w:t>500元/人. 次</w:t>
            </w:r>
          </w:p>
        </w:tc>
        <w:tc>
          <w:tcPr>
            <w:tcW w:w="2693" w:type="dxa"/>
            <w:tcBorders>
              <w:top w:val="nil"/>
              <w:left w:val="nil"/>
              <w:bottom w:val="single" w:color="auto" w:sz="4" w:space="0"/>
              <w:right w:val="single" w:color="auto" w:sz="4" w:space="0"/>
            </w:tcBorders>
          </w:tcPr>
          <w:p>
            <w:pPr>
              <w:rPr>
                <w:rFonts w:cs="Times New Roman"/>
                <w:color w:val="auto"/>
                <w:szCs w:val="21"/>
                <w:highlight w:val="none"/>
                <w:lang w:eastAsia="zh-CN"/>
              </w:rPr>
            </w:pPr>
            <w:r>
              <w:rPr>
                <w:rFonts w:cs="Times New Roman"/>
                <w:color w:val="auto"/>
                <w:szCs w:val="21"/>
                <w:highlight w:val="none"/>
                <w:lang w:eastAsia="zh-CN"/>
              </w:rPr>
              <w:t>以会议签到表及发包人确认为依据</w:t>
            </w:r>
          </w:p>
        </w:tc>
      </w:tr>
      <w:tr>
        <w:tblPrEx>
          <w:tblCellMar>
            <w:top w:w="0" w:type="dxa"/>
            <w:left w:w="0" w:type="dxa"/>
            <w:bottom w:w="0" w:type="dxa"/>
            <w:right w:w="0" w:type="dxa"/>
          </w:tblCellMar>
        </w:tblPrEx>
        <w:trPr>
          <w:trHeight w:val="285" w:hRule="atLeast"/>
        </w:trPr>
        <w:tc>
          <w:tcPr>
            <w:tcW w:w="709" w:type="dxa"/>
            <w:tcBorders>
              <w:top w:val="single" w:color="auto" w:sz="4" w:space="0"/>
              <w:left w:val="single" w:color="auto" w:sz="4" w:space="0"/>
              <w:bottom w:val="single" w:color="auto" w:sz="4" w:space="0"/>
              <w:right w:val="single" w:color="auto" w:sz="4" w:space="0"/>
            </w:tcBorders>
            <w:vAlign w:val="center"/>
          </w:tcPr>
          <w:p>
            <w:pPr>
              <w:spacing w:before="93" w:after="93"/>
              <w:jc w:val="center"/>
              <w:rPr>
                <w:rFonts w:cs="Times New Roman"/>
                <w:color w:val="auto"/>
                <w:szCs w:val="21"/>
                <w:highlight w:val="none"/>
              </w:rPr>
            </w:pPr>
            <w:r>
              <w:rPr>
                <w:rFonts w:cs="Times New Roman"/>
                <w:color w:val="auto"/>
                <w:szCs w:val="21"/>
                <w:highlight w:val="none"/>
              </w:rPr>
              <w:t>4</w:t>
            </w:r>
          </w:p>
        </w:tc>
        <w:tc>
          <w:tcPr>
            <w:tcW w:w="4678" w:type="dxa"/>
            <w:tcBorders>
              <w:top w:val="single" w:color="auto" w:sz="4" w:space="0"/>
              <w:left w:val="nil"/>
              <w:bottom w:val="single" w:color="auto" w:sz="4" w:space="0"/>
              <w:right w:val="single" w:color="auto" w:sz="4" w:space="0"/>
            </w:tcBorders>
            <w:vAlign w:val="center"/>
          </w:tcPr>
          <w:p>
            <w:pPr>
              <w:spacing w:before="93" w:after="93"/>
              <w:rPr>
                <w:rFonts w:cs="Times New Roman"/>
                <w:color w:val="auto"/>
                <w:szCs w:val="21"/>
                <w:highlight w:val="none"/>
              </w:rPr>
            </w:pPr>
            <w:r>
              <w:rPr>
                <w:rFonts w:cs="Times New Roman"/>
                <w:color w:val="auto"/>
                <w:szCs w:val="21"/>
                <w:highlight w:val="none"/>
              </w:rPr>
              <w:t>开会迟到</w:t>
            </w:r>
          </w:p>
        </w:tc>
        <w:tc>
          <w:tcPr>
            <w:tcW w:w="1843" w:type="dxa"/>
            <w:tcBorders>
              <w:top w:val="single" w:color="auto" w:sz="4" w:space="0"/>
              <w:left w:val="nil"/>
              <w:bottom w:val="single" w:color="auto" w:sz="4" w:space="0"/>
              <w:right w:val="single" w:color="auto" w:sz="4" w:space="0"/>
            </w:tcBorders>
            <w:vAlign w:val="center"/>
          </w:tcPr>
          <w:p>
            <w:pPr>
              <w:spacing w:before="93" w:after="93"/>
              <w:rPr>
                <w:rFonts w:cs="Times New Roman"/>
                <w:color w:val="auto"/>
                <w:szCs w:val="21"/>
                <w:highlight w:val="none"/>
              </w:rPr>
            </w:pPr>
            <w:r>
              <w:rPr>
                <w:rFonts w:cs="Times New Roman"/>
                <w:color w:val="auto"/>
                <w:szCs w:val="21"/>
                <w:highlight w:val="none"/>
              </w:rPr>
              <w:t>100元/人. 次</w:t>
            </w:r>
          </w:p>
        </w:tc>
        <w:tc>
          <w:tcPr>
            <w:tcW w:w="2693" w:type="dxa"/>
            <w:tcBorders>
              <w:top w:val="single" w:color="auto" w:sz="4" w:space="0"/>
              <w:left w:val="nil"/>
              <w:bottom w:val="single" w:color="auto" w:sz="4" w:space="0"/>
              <w:right w:val="single" w:color="auto" w:sz="4" w:space="0"/>
            </w:tcBorders>
            <w:vAlign w:val="center"/>
          </w:tcPr>
          <w:p>
            <w:pPr>
              <w:spacing w:before="93" w:after="93"/>
              <w:rPr>
                <w:rFonts w:cs="Times New Roman"/>
                <w:color w:val="auto"/>
                <w:szCs w:val="21"/>
                <w:highlight w:val="none"/>
                <w:lang w:eastAsia="zh-CN"/>
              </w:rPr>
            </w:pPr>
            <w:r>
              <w:rPr>
                <w:rFonts w:cs="Times New Roman"/>
                <w:color w:val="auto"/>
                <w:szCs w:val="21"/>
                <w:highlight w:val="none"/>
                <w:lang w:eastAsia="zh-CN"/>
              </w:rPr>
              <w:t>15分钟内，超过15分钟按未参加会议处理</w:t>
            </w:r>
          </w:p>
        </w:tc>
      </w:tr>
      <w:tr>
        <w:tblPrEx>
          <w:tblCellMar>
            <w:top w:w="0" w:type="dxa"/>
            <w:left w:w="0" w:type="dxa"/>
            <w:bottom w:w="0" w:type="dxa"/>
            <w:right w:w="0" w:type="dxa"/>
          </w:tblCellMar>
        </w:tblPrEx>
        <w:trPr>
          <w:trHeight w:val="285" w:hRule="atLeast"/>
        </w:trPr>
        <w:tc>
          <w:tcPr>
            <w:tcW w:w="709" w:type="dxa"/>
            <w:tcBorders>
              <w:top w:val="nil"/>
              <w:left w:val="single" w:color="auto" w:sz="4" w:space="0"/>
              <w:bottom w:val="single" w:color="auto" w:sz="4" w:space="0"/>
              <w:right w:val="single" w:color="auto" w:sz="4" w:space="0"/>
            </w:tcBorders>
            <w:vAlign w:val="center"/>
          </w:tcPr>
          <w:p>
            <w:pPr>
              <w:spacing w:before="93" w:after="93"/>
              <w:jc w:val="center"/>
              <w:rPr>
                <w:rFonts w:cs="Times New Roman"/>
                <w:color w:val="auto"/>
                <w:szCs w:val="21"/>
                <w:highlight w:val="none"/>
              </w:rPr>
            </w:pPr>
            <w:r>
              <w:rPr>
                <w:rFonts w:cs="Times New Roman"/>
                <w:color w:val="auto"/>
                <w:szCs w:val="21"/>
                <w:highlight w:val="none"/>
              </w:rPr>
              <w:t>5</w:t>
            </w:r>
          </w:p>
        </w:tc>
        <w:tc>
          <w:tcPr>
            <w:tcW w:w="4678" w:type="dxa"/>
            <w:tcBorders>
              <w:top w:val="nil"/>
              <w:left w:val="nil"/>
              <w:bottom w:val="single" w:color="auto" w:sz="4" w:space="0"/>
              <w:right w:val="single" w:color="auto" w:sz="4" w:space="0"/>
            </w:tcBorders>
            <w:vAlign w:val="center"/>
          </w:tcPr>
          <w:p>
            <w:pPr>
              <w:spacing w:before="93" w:after="93"/>
              <w:rPr>
                <w:rFonts w:cs="Times New Roman"/>
                <w:color w:val="auto"/>
                <w:szCs w:val="21"/>
                <w:highlight w:val="none"/>
                <w:lang w:eastAsia="zh-CN"/>
              </w:rPr>
            </w:pPr>
            <w:r>
              <w:rPr>
                <w:rFonts w:cs="Times New Roman"/>
                <w:color w:val="auto"/>
                <w:szCs w:val="21"/>
                <w:highlight w:val="none"/>
                <w:lang w:eastAsia="zh-CN"/>
              </w:rPr>
              <w:t>开会期间未经许可接听电话且影响会议进程</w:t>
            </w:r>
          </w:p>
        </w:tc>
        <w:tc>
          <w:tcPr>
            <w:tcW w:w="1843" w:type="dxa"/>
            <w:tcBorders>
              <w:top w:val="nil"/>
              <w:left w:val="nil"/>
              <w:bottom w:val="single" w:color="auto" w:sz="4" w:space="0"/>
              <w:right w:val="single" w:color="auto" w:sz="4" w:space="0"/>
            </w:tcBorders>
            <w:vAlign w:val="center"/>
          </w:tcPr>
          <w:p>
            <w:pPr>
              <w:spacing w:before="93" w:after="93"/>
              <w:rPr>
                <w:rFonts w:cs="Times New Roman"/>
                <w:color w:val="auto"/>
                <w:szCs w:val="21"/>
                <w:highlight w:val="none"/>
              </w:rPr>
            </w:pPr>
            <w:r>
              <w:rPr>
                <w:rFonts w:cs="Times New Roman"/>
                <w:color w:val="auto"/>
                <w:szCs w:val="21"/>
                <w:highlight w:val="none"/>
              </w:rPr>
              <w:t>100元/人. 次</w:t>
            </w:r>
          </w:p>
        </w:tc>
        <w:tc>
          <w:tcPr>
            <w:tcW w:w="2693" w:type="dxa"/>
            <w:tcBorders>
              <w:top w:val="nil"/>
              <w:left w:val="nil"/>
              <w:bottom w:val="single" w:color="auto" w:sz="4" w:space="0"/>
              <w:right w:val="single" w:color="auto" w:sz="4" w:space="0"/>
            </w:tcBorders>
            <w:vAlign w:val="center"/>
          </w:tcPr>
          <w:p>
            <w:pPr>
              <w:spacing w:before="93" w:after="93"/>
              <w:rPr>
                <w:rFonts w:cs="Times New Roman"/>
                <w:color w:val="auto"/>
                <w:szCs w:val="21"/>
                <w:highlight w:val="none"/>
              </w:rPr>
            </w:pPr>
            <w:r>
              <w:rPr>
                <w:rFonts w:cs="Times New Roman"/>
                <w:color w:val="auto"/>
                <w:szCs w:val="21"/>
                <w:highlight w:val="none"/>
              </w:rPr>
              <w:t>实际发生</w:t>
            </w:r>
          </w:p>
        </w:tc>
      </w:tr>
      <w:tr>
        <w:tblPrEx>
          <w:tblCellMar>
            <w:top w:w="0" w:type="dxa"/>
            <w:left w:w="0" w:type="dxa"/>
            <w:bottom w:w="0" w:type="dxa"/>
            <w:right w:w="0" w:type="dxa"/>
          </w:tblCellMar>
        </w:tblPrEx>
        <w:trPr>
          <w:trHeight w:val="285" w:hRule="atLeast"/>
        </w:trPr>
        <w:tc>
          <w:tcPr>
            <w:tcW w:w="709" w:type="dxa"/>
            <w:tcBorders>
              <w:top w:val="nil"/>
              <w:left w:val="single" w:color="auto" w:sz="4" w:space="0"/>
              <w:bottom w:val="single" w:color="auto" w:sz="4" w:space="0"/>
              <w:right w:val="single" w:color="auto" w:sz="4" w:space="0"/>
            </w:tcBorders>
            <w:vAlign w:val="center"/>
          </w:tcPr>
          <w:p>
            <w:pPr>
              <w:spacing w:before="93" w:after="93"/>
              <w:jc w:val="center"/>
              <w:rPr>
                <w:rFonts w:cs="Times New Roman"/>
                <w:color w:val="auto"/>
                <w:szCs w:val="21"/>
                <w:highlight w:val="none"/>
              </w:rPr>
            </w:pPr>
            <w:r>
              <w:rPr>
                <w:rFonts w:cs="Times New Roman"/>
                <w:color w:val="auto"/>
                <w:szCs w:val="21"/>
                <w:highlight w:val="none"/>
              </w:rPr>
              <w:t>6</w:t>
            </w:r>
          </w:p>
        </w:tc>
        <w:tc>
          <w:tcPr>
            <w:tcW w:w="4678" w:type="dxa"/>
            <w:tcBorders>
              <w:top w:val="nil"/>
              <w:left w:val="nil"/>
              <w:bottom w:val="single" w:color="auto" w:sz="4" w:space="0"/>
              <w:right w:val="single" w:color="auto" w:sz="4" w:space="0"/>
            </w:tcBorders>
            <w:vAlign w:val="center"/>
          </w:tcPr>
          <w:p>
            <w:pPr>
              <w:spacing w:before="93" w:after="93"/>
              <w:rPr>
                <w:rFonts w:cs="Times New Roman"/>
                <w:color w:val="auto"/>
                <w:szCs w:val="21"/>
                <w:highlight w:val="none"/>
                <w:lang w:eastAsia="zh-CN"/>
              </w:rPr>
            </w:pPr>
            <w:r>
              <w:rPr>
                <w:rFonts w:cs="Times New Roman"/>
                <w:color w:val="auto"/>
                <w:szCs w:val="21"/>
                <w:highlight w:val="none"/>
                <w:lang w:eastAsia="zh-CN"/>
              </w:rPr>
              <w:t>未组织工人参加定期的全体安全交底</w:t>
            </w:r>
          </w:p>
        </w:tc>
        <w:tc>
          <w:tcPr>
            <w:tcW w:w="1843" w:type="dxa"/>
            <w:tcBorders>
              <w:top w:val="nil"/>
              <w:left w:val="nil"/>
              <w:bottom w:val="single" w:color="auto" w:sz="4" w:space="0"/>
              <w:right w:val="single" w:color="auto" w:sz="4" w:space="0"/>
            </w:tcBorders>
            <w:vAlign w:val="center"/>
          </w:tcPr>
          <w:p>
            <w:pPr>
              <w:spacing w:before="93" w:after="93"/>
              <w:rPr>
                <w:rFonts w:cs="Times New Roman"/>
                <w:color w:val="auto"/>
                <w:szCs w:val="21"/>
                <w:highlight w:val="none"/>
              </w:rPr>
            </w:pPr>
            <w:r>
              <w:rPr>
                <w:rFonts w:cs="Times New Roman"/>
                <w:color w:val="auto"/>
                <w:szCs w:val="21"/>
                <w:highlight w:val="none"/>
              </w:rPr>
              <w:t>1000元/次</w:t>
            </w:r>
          </w:p>
        </w:tc>
        <w:tc>
          <w:tcPr>
            <w:tcW w:w="2693" w:type="dxa"/>
            <w:tcBorders>
              <w:top w:val="nil"/>
              <w:left w:val="nil"/>
              <w:bottom w:val="single" w:color="auto" w:sz="4" w:space="0"/>
              <w:right w:val="single" w:color="auto" w:sz="4" w:space="0"/>
            </w:tcBorders>
            <w:vAlign w:val="center"/>
          </w:tcPr>
          <w:p>
            <w:pPr>
              <w:spacing w:before="93" w:after="93"/>
              <w:rPr>
                <w:rFonts w:cs="Times New Roman"/>
                <w:color w:val="auto"/>
                <w:szCs w:val="21"/>
                <w:highlight w:val="none"/>
              </w:rPr>
            </w:pPr>
            <w:r>
              <w:rPr>
                <w:rFonts w:cs="Times New Roman"/>
                <w:color w:val="auto"/>
                <w:szCs w:val="21"/>
                <w:highlight w:val="none"/>
              </w:rPr>
              <w:t>抽查</w:t>
            </w:r>
          </w:p>
        </w:tc>
      </w:tr>
    </w:tbl>
    <w:p>
      <w:pPr>
        <w:widowControl/>
        <w:rPr>
          <w:b/>
          <w:color w:val="auto"/>
          <w:highlight w:val="none"/>
        </w:rPr>
      </w:pPr>
    </w:p>
    <w:p>
      <w:pPr>
        <w:rPr>
          <w:rFonts w:ascii="Times New Roman" w:hAnsi="Times New Roman" w:cs="Times New Roman"/>
          <w:color w:val="auto"/>
          <w:highlight w:val="none"/>
          <w:u w:val="single"/>
          <w:lang w:eastAsia="zh-CN"/>
        </w:rPr>
      </w:pPr>
    </w:p>
    <w:p>
      <w:pPr>
        <w:rPr>
          <w:rFonts w:ascii="Times New Roman" w:hAnsi="Times New Roman" w:cs="Times New Roman"/>
          <w:color w:val="auto"/>
          <w:highlight w:val="none"/>
          <w:u w:val="single"/>
          <w:lang w:eastAsia="zh-CN"/>
        </w:rPr>
      </w:pPr>
    </w:p>
    <w:p>
      <w:pPr>
        <w:rPr>
          <w:rFonts w:ascii="Times New Roman" w:hAnsi="Times New Roman" w:cs="Times New Roman"/>
          <w:color w:val="auto"/>
          <w:highlight w:val="none"/>
          <w:u w:val="single"/>
          <w:lang w:eastAsia="zh-CN"/>
        </w:rPr>
      </w:pPr>
    </w:p>
    <w:p>
      <w:pPr>
        <w:rPr>
          <w:rFonts w:ascii="Times New Roman" w:hAnsi="Times New Roman" w:cs="Times New Roman"/>
          <w:color w:val="auto"/>
          <w:highlight w:val="none"/>
          <w:u w:val="single"/>
          <w:lang w:eastAsia="zh-CN"/>
        </w:rPr>
      </w:pPr>
    </w:p>
    <w:p>
      <w:pPr>
        <w:rPr>
          <w:rFonts w:ascii="Times New Roman" w:hAnsi="Times New Roman" w:cs="Times New Roman"/>
          <w:color w:val="auto"/>
          <w:highlight w:val="none"/>
          <w:u w:val="single"/>
          <w:lang w:eastAsia="zh-CN"/>
        </w:rPr>
      </w:pPr>
    </w:p>
    <w:p>
      <w:pPr>
        <w:rPr>
          <w:rFonts w:ascii="Times New Roman" w:hAnsi="Times New Roman" w:cs="Times New Roman"/>
          <w:color w:val="auto"/>
          <w:highlight w:val="none"/>
          <w:u w:val="single"/>
          <w:lang w:eastAsia="zh-CN"/>
        </w:rPr>
      </w:pPr>
    </w:p>
    <w:p>
      <w:pPr>
        <w:pStyle w:val="3"/>
        <w:rPr>
          <w:color w:val="auto"/>
          <w:highlight w:val="none"/>
        </w:rPr>
      </w:pPr>
      <w:bookmarkStart w:id="93" w:name="_Toc122371875"/>
      <w:r>
        <w:rPr>
          <w:rFonts w:hint="eastAsia"/>
          <w:color w:val="auto"/>
          <w:highlight w:val="none"/>
        </w:rPr>
        <w:t>附件</w:t>
      </w:r>
      <w:bookmarkEnd w:id="93"/>
    </w:p>
    <w:p>
      <w:pPr>
        <w:ind w:firstLine="581"/>
        <w:rPr>
          <w:color w:val="auto"/>
          <w:highlight w:val="none"/>
          <w:lang w:eastAsia="zh-CN"/>
        </w:rPr>
      </w:pPr>
    </w:p>
    <w:p>
      <w:pPr>
        <w:spacing w:before="167" w:line="360" w:lineRule="auto"/>
        <w:ind w:firstLine="480" w:firstLineChars="200"/>
        <w:rPr>
          <w:bCs/>
          <w:color w:val="auto"/>
          <w:szCs w:val="21"/>
          <w:highlight w:val="none"/>
          <w:lang w:eastAsia="zh-CN"/>
        </w:rPr>
      </w:pPr>
      <w:bookmarkStart w:id="94" w:name="_Hlk122389590"/>
      <w:r>
        <w:rPr>
          <w:rFonts w:hint="eastAsia"/>
          <w:bCs/>
          <w:color w:val="auto"/>
          <w:szCs w:val="21"/>
          <w:highlight w:val="none"/>
          <w:lang w:eastAsia="zh-CN"/>
        </w:rPr>
        <w:t>所有政府部门及华润置地项目管控文件均适用于项目，管控文件之间如有相冲突的，按高标准执行，包括但不限于以下附件：</w:t>
      </w:r>
    </w:p>
    <w:p>
      <w:pPr>
        <w:pStyle w:val="4"/>
        <w:rPr>
          <w:color w:val="auto"/>
          <w:highlight w:val="none"/>
        </w:rPr>
      </w:pPr>
      <w:bookmarkStart w:id="95" w:name="_Toc122371876"/>
      <w:r>
        <w:rPr>
          <w:rFonts w:hint="eastAsia"/>
          <w:color w:val="auto"/>
          <w:highlight w:val="none"/>
        </w:rPr>
        <w:t>项目基本信息</w:t>
      </w:r>
      <w:bookmarkEnd w:id="95"/>
    </w:p>
    <w:p>
      <w:pPr>
        <w:pStyle w:val="242"/>
        <w:numPr>
          <w:ilvl w:val="0"/>
          <w:numId w:val="212"/>
        </w:numPr>
        <w:snapToGrid w:val="0"/>
        <w:spacing w:before="120" w:beforeLines="50" w:after="120" w:afterLines="50" w:line="240" w:lineRule="auto"/>
        <w:ind w:leftChars="0" w:right="0"/>
        <w:rPr>
          <w:rFonts w:ascii="宋体" w:hAnsi="宋体" w:eastAsia="宋体"/>
          <w:color w:val="auto"/>
          <w:sz w:val="24"/>
          <w:highlight w:val="none"/>
        </w:rPr>
      </w:pPr>
      <w:r>
        <w:rPr>
          <w:rFonts w:hint="eastAsia" w:ascii="宋体" w:hAnsi="宋体" w:eastAsia="宋体"/>
          <w:color w:val="auto"/>
          <w:sz w:val="24"/>
          <w:highlight w:val="none"/>
        </w:rPr>
        <w:t>附件</w:t>
      </w:r>
      <w:r>
        <w:rPr>
          <w:rFonts w:ascii="宋体" w:hAnsi="宋体" w:eastAsia="宋体"/>
          <w:color w:val="auto"/>
          <w:sz w:val="24"/>
          <w:highlight w:val="none"/>
        </w:rPr>
        <w:t>A-1</w:t>
      </w:r>
      <w:r>
        <w:rPr>
          <w:rFonts w:hint="eastAsia" w:ascii="宋体" w:hAnsi="宋体" w:eastAsia="宋体"/>
          <w:color w:val="auto"/>
          <w:sz w:val="24"/>
          <w:highlight w:val="none"/>
        </w:rPr>
        <w:t>：场地规划图、总平面图、项目效果图等</w:t>
      </w:r>
    </w:p>
    <w:p>
      <w:pPr>
        <w:pStyle w:val="4"/>
        <w:rPr>
          <w:color w:val="auto"/>
          <w:highlight w:val="none"/>
        </w:rPr>
      </w:pPr>
      <w:bookmarkStart w:id="96" w:name="_Toc122371877"/>
      <w:r>
        <w:rPr>
          <w:rFonts w:hint="eastAsia"/>
          <w:color w:val="auto"/>
          <w:highlight w:val="none"/>
        </w:rPr>
        <w:t>华润置地总部</w:t>
      </w:r>
      <w:r>
        <w:rPr>
          <w:color w:val="auto"/>
          <w:highlight w:val="none"/>
        </w:rPr>
        <w:t>/</w:t>
      </w:r>
      <w:r>
        <w:rPr>
          <w:rFonts w:hint="eastAsia"/>
          <w:color w:val="auto"/>
          <w:highlight w:val="none"/>
        </w:rPr>
        <w:t>华南大区文件</w:t>
      </w:r>
      <w:bookmarkEnd w:id="96"/>
    </w:p>
    <w:p>
      <w:pPr>
        <w:pStyle w:val="242"/>
        <w:numPr>
          <w:ilvl w:val="0"/>
          <w:numId w:val="212"/>
        </w:numPr>
        <w:snapToGrid w:val="0"/>
        <w:spacing w:before="120" w:beforeLines="50" w:after="120" w:afterLines="50" w:line="240" w:lineRule="auto"/>
        <w:ind w:leftChars="0" w:right="0"/>
        <w:rPr>
          <w:rFonts w:ascii="宋体" w:hAnsi="宋体" w:eastAsia="宋体"/>
          <w:color w:val="auto"/>
          <w:sz w:val="24"/>
          <w:highlight w:val="none"/>
        </w:rPr>
      </w:pPr>
      <w:r>
        <w:rPr>
          <w:rFonts w:hint="eastAsia" w:ascii="宋体" w:hAnsi="宋体" w:eastAsia="宋体"/>
          <w:color w:val="auto"/>
          <w:sz w:val="24"/>
          <w:highlight w:val="none"/>
        </w:rPr>
        <w:t>附件</w:t>
      </w:r>
      <w:r>
        <w:rPr>
          <w:rFonts w:ascii="宋体" w:hAnsi="宋体" w:eastAsia="宋体"/>
          <w:color w:val="auto"/>
          <w:sz w:val="24"/>
          <w:highlight w:val="none"/>
        </w:rPr>
        <w:t>B-1</w:t>
      </w:r>
      <w:r>
        <w:rPr>
          <w:rFonts w:hint="eastAsia" w:ascii="宋体" w:hAnsi="宋体" w:eastAsia="宋体"/>
          <w:color w:val="auto"/>
          <w:sz w:val="24"/>
          <w:highlight w:val="none"/>
        </w:rPr>
        <w:t>：华润置地工程高品质标准</w:t>
      </w:r>
      <w:r>
        <w:rPr>
          <w:rFonts w:ascii="宋体" w:hAnsi="宋体" w:eastAsia="宋体"/>
          <w:color w:val="auto"/>
          <w:sz w:val="24"/>
          <w:highlight w:val="none"/>
        </w:rPr>
        <w:t>V2.0</w:t>
      </w:r>
      <w:r>
        <w:rPr>
          <w:rFonts w:hint="eastAsia" w:ascii="宋体" w:hAnsi="宋体" w:eastAsia="宋体"/>
          <w:color w:val="auto"/>
          <w:sz w:val="24"/>
          <w:highlight w:val="none"/>
        </w:rPr>
        <w:t>及局部修订</w:t>
      </w:r>
    </w:p>
    <w:p>
      <w:pPr>
        <w:pStyle w:val="242"/>
        <w:numPr>
          <w:ilvl w:val="0"/>
          <w:numId w:val="212"/>
        </w:numPr>
        <w:snapToGrid w:val="0"/>
        <w:spacing w:before="120" w:beforeLines="50" w:after="120" w:afterLines="50" w:line="240" w:lineRule="auto"/>
        <w:ind w:leftChars="0" w:right="0"/>
        <w:rPr>
          <w:rFonts w:ascii="宋体" w:hAnsi="宋体" w:eastAsia="宋体"/>
          <w:color w:val="auto"/>
          <w:sz w:val="24"/>
          <w:highlight w:val="none"/>
        </w:rPr>
      </w:pPr>
      <w:r>
        <w:rPr>
          <w:rFonts w:hint="eastAsia" w:ascii="宋体" w:hAnsi="宋体" w:eastAsia="宋体"/>
          <w:color w:val="auto"/>
          <w:sz w:val="24"/>
          <w:highlight w:val="none"/>
        </w:rPr>
        <w:t>附件</w:t>
      </w:r>
      <w:r>
        <w:rPr>
          <w:rFonts w:ascii="宋体" w:hAnsi="宋体" w:eastAsia="宋体"/>
          <w:color w:val="auto"/>
          <w:sz w:val="24"/>
          <w:highlight w:val="none"/>
        </w:rPr>
        <w:t>B-2</w:t>
      </w:r>
      <w:r>
        <w:rPr>
          <w:rFonts w:hint="eastAsia" w:ascii="宋体" w:hAnsi="宋体" w:eastAsia="宋体"/>
          <w:color w:val="auto"/>
          <w:sz w:val="24"/>
          <w:highlight w:val="none"/>
        </w:rPr>
        <w:t>：关键岗位承诺函</w:t>
      </w:r>
    </w:p>
    <w:p>
      <w:pPr>
        <w:pStyle w:val="4"/>
        <w:rPr>
          <w:color w:val="auto"/>
          <w:highlight w:val="none"/>
        </w:rPr>
      </w:pPr>
      <w:bookmarkStart w:id="97" w:name="_Toc122371878"/>
      <w:r>
        <w:rPr>
          <w:rFonts w:hint="eastAsia"/>
          <w:color w:val="auto"/>
          <w:highlight w:val="none"/>
        </w:rPr>
        <w:t>城市建设运营事业部</w:t>
      </w:r>
      <w:r>
        <w:rPr>
          <w:color w:val="auto"/>
          <w:highlight w:val="none"/>
        </w:rPr>
        <w:t>/</w:t>
      </w:r>
      <w:r>
        <w:rPr>
          <w:rFonts w:hint="eastAsia"/>
          <w:color w:val="auto"/>
          <w:highlight w:val="none"/>
        </w:rPr>
        <w:t>项目文件</w:t>
      </w:r>
      <w:bookmarkEnd w:id="97"/>
    </w:p>
    <w:p>
      <w:pPr>
        <w:pStyle w:val="242"/>
        <w:numPr>
          <w:ilvl w:val="0"/>
          <w:numId w:val="212"/>
        </w:numPr>
        <w:snapToGrid w:val="0"/>
        <w:spacing w:before="120" w:beforeLines="50" w:after="120" w:afterLines="50" w:line="240" w:lineRule="auto"/>
        <w:ind w:leftChars="0" w:right="0"/>
        <w:rPr>
          <w:rFonts w:ascii="宋体" w:hAnsi="宋体" w:eastAsia="宋体"/>
          <w:color w:val="auto"/>
          <w:sz w:val="24"/>
          <w:highlight w:val="none"/>
        </w:rPr>
      </w:pPr>
      <w:bookmarkStart w:id="98" w:name="_Toc527125510"/>
      <w:bookmarkStart w:id="99" w:name="_Toc522191350"/>
      <w:r>
        <w:rPr>
          <w:rFonts w:hint="eastAsia" w:ascii="宋体" w:hAnsi="宋体" w:eastAsia="宋体"/>
          <w:color w:val="auto"/>
          <w:sz w:val="24"/>
          <w:highlight w:val="none"/>
        </w:rPr>
        <w:t>附件C-</w:t>
      </w:r>
      <w:r>
        <w:rPr>
          <w:rFonts w:ascii="宋体" w:hAnsi="宋体" w:eastAsia="宋体"/>
          <w:color w:val="auto"/>
          <w:sz w:val="24"/>
          <w:highlight w:val="none"/>
        </w:rPr>
        <w:t>2</w:t>
      </w:r>
      <w:r>
        <w:rPr>
          <w:rFonts w:hint="eastAsia" w:ascii="宋体" w:hAnsi="宋体" w:eastAsia="宋体"/>
          <w:color w:val="auto"/>
          <w:sz w:val="24"/>
          <w:highlight w:val="none"/>
        </w:rPr>
        <w:t>：华润代建项目工程进度计划管理作业指引</w:t>
      </w:r>
    </w:p>
    <w:p>
      <w:pPr>
        <w:pStyle w:val="242"/>
        <w:numPr>
          <w:ilvl w:val="0"/>
          <w:numId w:val="212"/>
        </w:numPr>
        <w:snapToGrid w:val="0"/>
        <w:spacing w:before="120" w:beforeLines="50" w:after="120" w:afterLines="50" w:line="240" w:lineRule="auto"/>
        <w:ind w:leftChars="0" w:right="0"/>
        <w:rPr>
          <w:rFonts w:ascii="宋体" w:hAnsi="宋体" w:eastAsia="宋体"/>
          <w:color w:val="auto"/>
          <w:sz w:val="24"/>
          <w:highlight w:val="none"/>
        </w:rPr>
      </w:pPr>
      <w:bookmarkStart w:id="100" w:name="_Toc490036500"/>
      <w:r>
        <w:rPr>
          <w:rFonts w:hint="eastAsia" w:ascii="宋体" w:hAnsi="宋体" w:eastAsia="宋体"/>
          <w:color w:val="auto"/>
          <w:sz w:val="24"/>
          <w:highlight w:val="none"/>
        </w:rPr>
        <w:t>附件C-</w:t>
      </w:r>
      <w:r>
        <w:rPr>
          <w:rFonts w:ascii="宋体" w:hAnsi="宋体" w:eastAsia="宋体"/>
          <w:color w:val="auto"/>
          <w:sz w:val="24"/>
          <w:highlight w:val="none"/>
        </w:rPr>
        <w:t>3</w:t>
      </w:r>
      <w:r>
        <w:rPr>
          <w:rFonts w:hint="eastAsia" w:ascii="宋体" w:hAnsi="宋体" w:eastAsia="宋体"/>
          <w:color w:val="auto"/>
          <w:sz w:val="24"/>
          <w:highlight w:val="none"/>
        </w:rPr>
        <w:t>：</w:t>
      </w:r>
      <w:bookmarkEnd w:id="100"/>
      <w:r>
        <w:rPr>
          <w:rFonts w:hint="eastAsia" w:ascii="宋体" w:hAnsi="宋体" w:eastAsia="宋体"/>
          <w:color w:val="auto"/>
          <w:sz w:val="24"/>
          <w:highlight w:val="none"/>
        </w:rPr>
        <w:t>华润代建项目承包商管理作业指引</w:t>
      </w:r>
    </w:p>
    <w:p>
      <w:pPr>
        <w:pStyle w:val="242"/>
        <w:numPr>
          <w:ilvl w:val="0"/>
          <w:numId w:val="212"/>
        </w:numPr>
        <w:snapToGrid w:val="0"/>
        <w:spacing w:before="120" w:beforeLines="50" w:after="120" w:afterLines="50" w:line="240" w:lineRule="auto"/>
        <w:ind w:leftChars="0" w:right="0"/>
        <w:rPr>
          <w:rFonts w:ascii="宋体" w:hAnsi="宋体" w:eastAsia="宋体"/>
          <w:color w:val="auto"/>
          <w:sz w:val="24"/>
          <w:highlight w:val="none"/>
        </w:rPr>
      </w:pPr>
      <w:r>
        <w:rPr>
          <w:rFonts w:hint="eastAsia" w:ascii="宋体" w:hAnsi="宋体" w:eastAsia="宋体"/>
          <w:color w:val="auto"/>
          <w:sz w:val="24"/>
          <w:highlight w:val="none"/>
        </w:rPr>
        <w:t>附件C-</w:t>
      </w:r>
      <w:r>
        <w:rPr>
          <w:rFonts w:ascii="宋体" w:hAnsi="宋体" w:eastAsia="宋体"/>
          <w:color w:val="auto"/>
          <w:sz w:val="24"/>
          <w:highlight w:val="none"/>
        </w:rPr>
        <w:t>4</w:t>
      </w:r>
      <w:r>
        <w:rPr>
          <w:rFonts w:hint="eastAsia" w:ascii="宋体" w:hAnsi="宋体" w:eastAsia="宋体"/>
          <w:color w:val="auto"/>
          <w:sz w:val="24"/>
          <w:highlight w:val="none"/>
        </w:rPr>
        <w:t>：华润代建项目项目监理管理指引</w:t>
      </w:r>
    </w:p>
    <w:p>
      <w:pPr>
        <w:pStyle w:val="242"/>
        <w:numPr>
          <w:ilvl w:val="0"/>
          <w:numId w:val="212"/>
        </w:numPr>
        <w:snapToGrid w:val="0"/>
        <w:spacing w:before="120" w:beforeLines="50" w:after="120" w:afterLines="50" w:line="240" w:lineRule="auto"/>
        <w:ind w:leftChars="0" w:right="0"/>
        <w:rPr>
          <w:rFonts w:ascii="宋体" w:hAnsi="宋体" w:eastAsia="宋体"/>
          <w:color w:val="auto"/>
          <w:sz w:val="24"/>
          <w:highlight w:val="none"/>
        </w:rPr>
      </w:pPr>
      <w:bookmarkStart w:id="101" w:name="_Toc520245210"/>
      <w:bookmarkEnd w:id="101"/>
      <w:bookmarkStart w:id="102" w:name="_Toc520245837"/>
      <w:bookmarkEnd w:id="102"/>
      <w:bookmarkStart w:id="103" w:name="_Toc490036508"/>
      <w:r>
        <w:rPr>
          <w:rFonts w:hint="eastAsia" w:ascii="宋体" w:hAnsi="宋体" w:eastAsia="宋体"/>
          <w:color w:val="auto"/>
          <w:sz w:val="24"/>
          <w:highlight w:val="none"/>
        </w:rPr>
        <w:t>附件C-</w:t>
      </w:r>
      <w:r>
        <w:rPr>
          <w:rFonts w:ascii="宋体" w:hAnsi="宋体" w:eastAsia="宋体"/>
          <w:color w:val="auto"/>
          <w:sz w:val="24"/>
          <w:highlight w:val="none"/>
        </w:rPr>
        <w:t>5</w:t>
      </w:r>
      <w:r>
        <w:rPr>
          <w:rFonts w:hint="eastAsia" w:ascii="宋体" w:hAnsi="宋体" w:eastAsia="宋体"/>
          <w:color w:val="auto"/>
          <w:sz w:val="24"/>
          <w:highlight w:val="none"/>
        </w:rPr>
        <w:t>：</w:t>
      </w:r>
      <w:bookmarkEnd w:id="103"/>
      <w:r>
        <w:rPr>
          <w:rFonts w:hint="eastAsia" w:ascii="宋体" w:hAnsi="宋体" w:eastAsia="宋体"/>
          <w:color w:val="auto"/>
          <w:sz w:val="24"/>
          <w:highlight w:val="none"/>
        </w:rPr>
        <w:t>华润代建项目工程交底管理指引</w:t>
      </w:r>
    </w:p>
    <w:p>
      <w:pPr>
        <w:pStyle w:val="242"/>
        <w:numPr>
          <w:ilvl w:val="0"/>
          <w:numId w:val="212"/>
        </w:numPr>
        <w:snapToGrid w:val="0"/>
        <w:spacing w:before="120" w:beforeLines="50" w:after="120" w:afterLines="50" w:line="240" w:lineRule="auto"/>
        <w:ind w:leftChars="0" w:right="0"/>
        <w:rPr>
          <w:rFonts w:ascii="宋体" w:hAnsi="宋体" w:eastAsia="宋体"/>
          <w:color w:val="auto"/>
          <w:sz w:val="24"/>
          <w:highlight w:val="none"/>
        </w:rPr>
      </w:pPr>
      <w:r>
        <w:rPr>
          <w:rFonts w:hint="eastAsia" w:ascii="宋体" w:hAnsi="宋体" w:eastAsia="宋体"/>
          <w:color w:val="auto"/>
          <w:sz w:val="24"/>
          <w:highlight w:val="none"/>
        </w:rPr>
        <w:t>附件C-</w:t>
      </w:r>
      <w:r>
        <w:rPr>
          <w:rFonts w:ascii="宋体" w:hAnsi="宋体" w:eastAsia="宋体"/>
          <w:color w:val="auto"/>
          <w:sz w:val="24"/>
          <w:highlight w:val="none"/>
        </w:rPr>
        <w:t>6</w:t>
      </w:r>
      <w:r>
        <w:rPr>
          <w:rFonts w:hint="eastAsia" w:ascii="宋体" w:hAnsi="宋体" w:eastAsia="宋体"/>
          <w:color w:val="auto"/>
          <w:sz w:val="24"/>
          <w:highlight w:val="none"/>
        </w:rPr>
        <w:t>：华润代建项目工程质量检查管理作业指引</w:t>
      </w:r>
    </w:p>
    <w:p>
      <w:pPr>
        <w:pStyle w:val="242"/>
        <w:numPr>
          <w:ilvl w:val="0"/>
          <w:numId w:val="212"/>
        </w:numPr>
        <w:snapToGrid w:val="0"/>
        <w:spacing w:before="120" w:beforeLines="50" w:after="120" w:afterLines="50" w:line="240" w:lineRule="auto"/>
        <w:ind w:leftChars="0" w:right="0"/>
        <w:rPr>
          <w:rFonts w:ascii="宋体" w:hAnsi="宋体" w:eastAsia="宋体"/>
          <w:color w:val="auto"/>
          <w:sz w:val="24"/>
          <w:highlight w:val="none"/>
        </w:rPr>
      </w:pPr>
      <w:r>
        <w:rPr>
          <w:rFonts w:hint="eastAsia" w:ascii="宋体" w:hAnsi="宋体" w:eastAsia="宋体"/>
          <w:color w:val="auto"/>
          <w:sz w:val="24"/>
          <w:highlight w:val="none"/>
        </w:rPr>
        <w:t>附件C-</w:t>
      </w:r>
      <w:r>
        <w:rPr>
          <w:rFonts w:ascii="宋体" w:hAnsi="宋体" w:eastAsia="宋体"/>
          <w:color w:val="auto"/>
          <w:sz w:val="24"/>
          <w:highlight w:val="none"/>
        </w:rPr>
        <w:t>7</w:t>
      </w:r>
      <w:r>
        <w:rPr>
          <w:rFonts w:hint="eastAsia" w:ascii="宋体" w:hAnsi="宋体" w:eastAsia="宋体"/>
          <w:color w:val="auto"/>
          <w:sz w:val="24"/>
          <w:highlight w:val="none"/>
        </w:rPr>
        <w:t>：华润代建项目材料设备管理指引</w:t>
      </w:r>
    </w:p>
    <w:p>
      <w:pPr>
        <w:pStyle w:val="242"/>
        <w:numPr>
          <w:ilvl w:val="0"/>
          <w:numId w:val="212"/>
        </w:numPr>
        <w:snapToGrid w:val="0"/>
        <w:spacing w:before="120" w:beforeLines="50" w:after="120" w:afterLines="50" w:line="240" w:lineRule="auto"/>
        <w:ind w:leftChars="0" w:right="0"/>
        <w:rPr>
          <w:rFonts w:ascii="宋体" w:hAnsi="宋体" w:eastAsia="宋体"/>
          <w:color w:val="auto"/>
          <w:sz w:val="24"/>
          <w:highlight w:val="none"/>
        </w:rPr>
      </w:pPr>
      <w:r>
        <w:rPr>
          <w:rFonts w:hint="eastAsia" w:ascii="宋体" w:hAnsi="宋体" w:eastAsia="宋体"/>
          <w:color w:val="auto"/>
          <w:sz w:val="24"/>
          <w:highlight w:val="none"/>
        </w:rPr>
        <w:t>附件C-</w:t>
      </w:r>
      <w:r>
        <w:rPr>
          <w:rFonts w:ascii="宋体" w:hAnsi="宋体" w:eastAsia="宋体"/>
          <w:color w:val="auto"/>
          <w:sz w:val="24"/>
          <w:highlight w:val="none"/>
        </w:rPr>
        <w:t>8</w:t>
      </w:r>
      <w:r>
        <w:rPr>
          <w:rFonts w:hint="eastAsia" w:ascii="宋体" w:hAnsi="宋体" w:eastAsia="宋体"/>
          <w:color w:val="auto"/>
          <w:sz w:val="24"/>
          <w:highlight w:val="none"/>
        </w:rPr>
        <w:t>：</w:t>
      </w:r>
      <w:r>
        <w:rPr>
          <w:rFonts w:hint="eastAsia" w:ascii="宋体" w:hAnsi="宋体" w:eastAsia="宋体"/>
          <w:color w:val="auto"/>
          <w:sz w:val="24"/>
          <w:szCs w:val="24"/>
          <w:highlight w:val="none"/>
        </w:rPr>
        <w:t>华润代建项目工程施工样板引路管理作业指引</w:t>
      </w:r>
    </w:p>
    <w:p>
      <w:pPr>
        <w:pStyle w:val="242"/>
        <w:numPr>
          <w:ilvl w:val="0"/>
          <w:numId w:val="212"/>
        </w:numPr>
        <w:snapToGrid w:val="0"/>
        <w:spacing w:before="120" w:beforeLines="50" w:after="120" w:afterLines="50" w:line="240" w:lineRule="auto"/>
        <w:ind w:leftChars="0" w:right="0"/>
        <w:rPr>
          <w:rFonts w:ascii="宋体" w:hAnsi="宋体" w:eastAsia="宋体"/>
          <w:color w:val="auto"/>
          <w:sz w:val="24"/>
          <w:highlight w:val="none"/>
        </w:rPr>
      </w:pPr>
      <w:r>
        <w:rPr>
          <w:rFonts w:hint="eastAsia" w:ascii="宋体" w:hAnsi="宋体" w:eastAsia="宋体"/>
          <w:color w:val="auto"/>
          <w:sz w:val="24"/>
          <w:highlight w:val="none"/>
        </w:rPr>
        <w:t>附件C-</w:t>
      </w:r>
      <w:r>
        <w:rPr>
          <w:rFonts w:ascii="宋体" w:hAnsi="宋体" w:eastAsia="宋体"/>
          <w:color w:val="auto"/>
          <w:sz w:val="24"/>
          <w:highlight w:val="none"/>
        </w:rPr>
        <w:t>9</w:t>
      </w:r>
      <w:r>
        <w:rPr>
          <w:rFonts w:hint="eastAsia" w:ascii="宋体" w:hAnsi="宋体" w:eastAsia="宋体"/>
          <w:color w:val="auto"/>
          <w:sz w:val="24"/>
          <w:highlight w:val="none"/>
        </w:rPr>
        <w:t>：华润代建项目工作面移交管理指引</w:t>
      </w:r>
    </w:p>
    <w:p>
      <w:pPr>
        <w:pStyle w:val="242"/>
        <w:numPr>
          <w:ilvl w:val="0"/>
          <w:numId w:val="212"/>
        </w:numPr>
        <w:snapToGrid w:val="0"/>
        <w:spacing w:before="120" w:beforeLines="50" w:after="120" w:afterLines="50" w:line="240" w:lineRule="auto"/>
        <w:ind w:leftChars="0" w:right="0"/>
        <w:rPr>
          <w:rFonts w:ascii="宋体" w:hAnsi="宋体" w:eastAsia="宋体"/>
          <w:color w:val="auto"/>
          <w:sz w:val="24"/>
          <w:highlight w:val="none"/>
        </w:rPr>
      </w:pPr>
      <w:r>
        <w:rPr>
          <w:rFonts w:hint="eastAsia" w:ascii="宋体" w:hAnsi="宋体" w:eastAsia="宋体"/>
          <w:color w:val="auto"/>
          <w:sz w:val="24"/>
          <w:highlight w:val="none"/>
        </w:rPr>
        <w:t>附件C-</w:t>
      </w:r>
      <w:r>
        <w:rPr>
          <w:rFonts w:ascii="宋体" w:hAnsi="宋体" w:eastAsia="宋体"/>
          <w:color w:val="auto"/>
          <w:sz w:val="24"/>
          <w:highlight w:val="none"/>
        </w:rPr>
        <w:t>10</w:t>
      </w:r>
      <w:r>
        <w:rPr>
          <w:rFonts w:hint="eastAsia" w:ascii="宋体" w:hAnsi="宋体" w:eastAsia="宋体"/>
          <w:color w:val="auto"/>
          <w:sz w:val="24"/>
          <w:highlight w:val="none"/>
        </w:rPr>
        <w:t>：华润代建项目不合格产品管理作业指引</w:t>
      </w:r>
    </w:p>
    <w:p>
      <w:pPr>
        <w:pStyle w:val="242"/>
        <w:numPr>
          <w:ilvl w:val="0"/>
          <w:numId w:val="212"/>
        </w:numPr>
        <w:snapToGrid w:val="0"/>
        <w:spacing w:before="120" w:beforeLines="50" w:after="120" w:afterLines="50" w:line="240" w:lineRule="auto"/>
        <w:ind w:leftChars="0" w:right="0"/>
        <w:rPr>
          <w:rFonts w:ascii="宋体" w:hAnsi="宋体" w:eastAsia="宋体"/>
          <w:color w:val="auto"/>
          <w:sz w:val="24"/>
          <w:highlight w:val="none"/>
        </w:rPr>
      </w:pPr>
      <w:r>
        <w:rPr>
          <w:rFonts w:hint="eastAsia" w:ascii="宋体" w:hAnsi="宋体" w:eastAsia="宋体"/>
          <w:color w:val="auto"/>
          <w:sz w:val="24"/>
          <w:highlight w:val="none"/>
        </w:rPr>
        <w:t>附件C-</w:t>
      </w:r>
      <w:r>
        <w:rPr>
          <w:rFonts w:ascii="宋体" w:hAnsi="宋体" w:eastAsia="宋体"/>
          <w:color w:val="auto"/>
          <w:sz w:val="24"/>
          <w:highlight w:val="none"/>
        </w:rPr>
        <w:t>11</w:t>
      </w:r>
      <w:r>
        <w:rPr>
          <w:rFonts w:hint="eastAsia" w:ascii="宋体" w:hAnsi="宋体" w:eastAsia="宋体"/>
          <w:color w:val="auto"/>
          <w:sz w:val="24"/>
          <w:highlight w:val="none"/>
        </w:rPr>
        <w:t>：华润代建项目工程成品保护管理作业指引</w:t>
      </w:r>
    </w:p>
    <w:p>
      <w:pPr>
        <w:pStyle w:val="242"/>
        <w:numPr>
          <w:ilvl w:val="0"/>
          <w:numId w:val="212"/>
        </w:numPr>
        <w:snapToGrid w:val="0"/>
        <w:spacing w:before="120" w:beforeLines="50" w:after="120" w:afterLines="50" w:line="240" w:lineRule="auto"/>
        <w:ind w:leftChars="0" w:right="0"/>
        <w:rPr>
          <w:rFonts w:ascii="宋体" w:hAnsi="宋体" w:eastAsia="宋体"/>
          <w:color w:val="auto"/>
          <w:sz w:val="24"/>
          <w:highlight w:val="none"/>
        </w:rPr>
      </w:pPr>
      <w:r>
        <w:rPr>
          <w:rFonts w:hint="eastAsia" w:ascii="宋体" w:hAnsi="宋体" w:eastAsia="宋体"/>
          <w:color w:val="auto"/>
          <w:sz w:val="24"/>
          <w:highlight w:val="none"/>
        </w:rPr>
        <w:t>附件</w:t>
      </w:r>
      <w:r>
        <w:rPr>
          <w:rFonts w:ascii="宋体" w:hAnsi="宋体" w:eastAsia="宋体"/>
          <w:color w:val="auto"/>
          <w:sz w:val="24"/>
          <w:highlight w:val="none"/>
        </w:rPr>
        <w:t>C-12</w:t>
      </w:r>
      <w:r>
        <w:rPr>
          <w:rFonts w:hint="eastAsia" w:ascii="宋体" w:hAnsi="宋体" w:eastAsia="宋体"/>
          <w:color w:val="auto"/>
          <w:sz w:val="24"/>
          <w:highlight w:val="none"/>
        </w:rPr>
        <w:t>：</w:t>
      </w:r>
      <w:r>
        <w:rPr>
          <w:rFonts w:ascii="宋体" w:hAnsi="宋体" w:eastAsia="宋体"/>
          <w:color w:val="auto"/>
          <w:sz w:val="24"/>
          <w:highlight w:val="none"/>
        </w:rPr>
        <w:t>城市建设运营事业部EHS管理体系</w:t>
      </w:r>
    </w:p>
    <w:p>
      <w:pPr>
        <w:pStyle w:val="242"/>
        <w:numPr>
          <w:ilvl w:val="0"/>
          <w:numId w:val="212"/>
        </w:numPr>
        <w:snapToGrid w:val="0"/>
        <w:spacing w:before="120" w:beforeLines="50" w:after="120" w:afterLines="50" w:line="240" w:lineRule="auto"/>
        <w:ind w:leftChars="0" w:right="0"/>
        <w:rPr>
          <w:rFonts w:ascii="宋体" w:hAnsi="宋体" w:eastAsia="宋体"/>
          <w:color w:val="auto"/>
          <w:sz w:val="24"/>
          <w:highlight w:val="none"/>
        </w:rPr>
      </w:pPr>
      <w:r>
        <w:rPr>
          <w:rFonts w:hint="eastAsia" w:ascii="宋体" w:hAnsi="宋体" w:eastAsia="宋体"/>
          <w:color w:val="auto"/>
          <w:sz w:val="24"/>
          <w:highlight w:val="none"/>
        </w:rPr>
        <w:t>附件C-13、竣工档案整理与接收要求</w:t>
      </w:r>
    </w:p>
    <w:p>
      <w:pPr>
        <w:pStyle w:val="242"/>
        <w:numPr>
          <w:ilvl w:val="0"/>
          <w:numId w:val="212"/>
        </w:numPr>
        <w:snapToGrid w:val="0"/>
        <w:spacing w:before="120" w:beforeLines="50" w:after="120" w:afterLines="50" w:line="240" w:lineRule="auto"/>
        <w:ind w:leftChars="0" w:right="0"/>
        <w:rPr>
          <w:rFonts w:ascii="宋体" w:hAnsi="宋体" w:eastAsia="宋体"/>
          <w:color w:val="auto"/>
          <w:sz w:val="24"/>
          <w:highlight w:val="none"/>
        </w:rPr>
      </w:pPr>
      <w:r>
        <w:rPr>
          <w:rFonts w:hint="eastAsia" w:ascii="宋体" w:hAnsi="宋体" w:eastAsia="宋体"/>
          <w:color w:val="auto"/>
          <w:sz w:val="24"/>
          <w:highlight w:val="none"/>
        </w:rPr>
        <w:t>附件C-14、工程保洁要求</w:t>
      </w:r>
    </w:p>
    <w:bookmarkEnd w:id="98"/>
    <w:bookmarkEnd w:id="99"/>
    <w:p>
      <w:pPr>
        <w:pStyle w:val="4"/>
        <w:rPr>
          <w:color w:val="auto"/>
          <w:highlight w:val="none"/>
        </w:rPr>
      </w:pPr>
      <w:bookmarkStart w:id="104" w:name="_Toc83649457"/>
      <w:r>
        <w:rPr>
          <w:rFonts w:hint="eastAsia"/>
          <w:color w:val="auto"/>
          <w:highlight w:val="none"/>
        </w:rPr>
        <w:t>其他文件</w:t>
      </w:r>
      <w:bookmarkEnd w:id="104"/>
    </w:p>
    <w:p>
      <w:pPr>
        <w:pStyle w:val="242"/>
        <w:snapToGrid w:val="0"/>
        <w:spacing w:before="120" w:beforeLines="50" w:after="120" w:afterLines="50" w:line="240" w:lineRule="auto"/>
        <w:ind w:leftChars="0" w:right="0"/>
        <w:rPr>
          <w:rFonts w:ascii="宋体" w:hAnsi="宋体" w:eastAsia="宋体"/>
          <w:color w:val="auto"/>
          <w:sz w:val="24"/>
          <w:highlight w:val="none"/>
        </w:rPr>
      </w:pPr>
      <w:r>
        <w:rPr>
          <w:rFonts w:hint="eastAsia" w:ascii="宋体" w:hAnsi="宋体" w:eastAsia="宋体"/>
          <w:color w:val="auto"/>
          <w:sz w:val="24"/>
          <w:highlight w:val="none"/>
        </w:rPr>
        <w:t>1）附件D-1、法律、法规、规范、标准目录</w:t>
      </w:r>
    </w:p>
    <w:bookmarkEnd w:id="94"/>
    <w:p>
      <w:pPr>
        <w:autoSpaceDE/>
        <w:autoSpaceDN/>
        <w:snapToGrid w:val="0"/>
        <w:spacing w:before="120" w:beforeLines="50" w:after="120" w:afterLines="50"/>
        <w:jc w:val="both"/>
        <w:rPr>
          <w:rFonts w:cs="仿宋"/>
          <w:color w:val="auto"/>
          <w:spacing w:val="-1"/>
          <w:szCs w:val="28"/>
          <w:highlight w:val="none"/>
          <w:lang w:eastAsia="zh-CN"/>
        </w:rPr>
      </w:pPr>
    </w:p>
    <w:sectPr>
      <w:headerReference r:id="rId6" w:type="default"/>
      <w:pgSz w:w="11910" w:h="16840"/>
      <w:pgMar w:top="2020" w:right="900" w:bottom="1540" w:left="1060" w:header="1828" w:footer="1297" w:gutter="0"/>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ˎ̥">
    <w:altName w:val="Times New Roman"/>
    <w:panose1 w:val="00000000000000000000"/>
    <w:charset w:val="00"/>
    <w:family w:val="roman"/>
    <w:pitch w:val="default"/>
    <w:sig w:usb0="00000000" w:usb1="00000000" w:usb2="00000000" w:usb3="00000000" w:csb0="00000000" w:csb1="00000000"/>
  </w:font>
  <w:font w:name="等线">
    <w:panose1 w:val="02010600030101010101"/>
    <w:charset w:val="86"/>
    <w:family w:val="auto"/>
    <w:pitch w:val="default"/>
    <w:sig w:usb0="A00002BF" w:usb1="38CF7CFA" w:usb2="00000016" w:usb3="00000000" w:csb0="0004000F" w:csb1="00000000"/>
  </w:font>
  <w:font w:name="Tahoma">
    <w:panose1 w:val="020B0604030504040204"/>
    <w:charset w:val="00"/>
    <w:family w:val="swiss"/>
    <w:pitch w:val="default"/>
    <w:sig w:usb0="E1002EFF" w:usb1="C000605B" w:usb2="00000029" w:usb3="00000000" w:csb0="200101FF" w:csb1="20280000"/>
  </w:font>
  <w:font w:name="微软雅黑">
    <w:panose1 w:val="020B0503020204020204"/>
    <w:charset w:val="86"/>
    <w:family w:val="swiss"/>
    <w:pitch w:val="default"/>
    <w:sig w:usb0="80000287" w:usb1="2ACF3C50" w:usb2="00000016" w:usb3="00000000" w:csb0="0004001F" w:csb1="00000000"/>
  </w:font>
  <w:font w:name="仿宋">
    <w:panose1 w:val="02010609060101010101"/>
    <w:charset w:val="86"/>
    <w:family w:val="modern"/>
    <w:pitch w:val="default"/>
    <w:sig w:usb0="800002BF" w:usb1="38CF7CFA" w:usb2="00000016" w:usb3="00000000" w:csb0="00040001" w:csb1="00000000"/>
  </w:font>
  <w:font w:name="PMingLiU">
    <w:altName w:val="Microsoft JhengHei UI"/>
    <w:panose1 w:val="02010601000101010101"/>
    <w:charset w:val="88"/>
    <w:family w:val="roman"/>
    <w:pitch w:val="default"/>
    <w:sig w:usb0="00000000" w:usb1="00000000" w:usb2="00000016" w:usb3="00000000" w:csb0="00100001" w:csb1="00000000"/>
  </w:font>
  <w:font w:name="华文细黑">
    <w:panose1 w:val="02010600040101010101"/>
    <w:charset w:val="86"/>
    <w:family w:val="auto"/>
    <w:pitch w:val="default"/>
    <w:sig w:usb0="00000287" w:usb1="080F0000" w:usb2="00000000" w:usb3="00000000" w:csb0="0004009F" w:csb1="DFD70000"/>
  </w:font>
  <w:font w:name="Cambria Math">
    <w:panose1 w:val="02040503050406030204"/>
    <w:charset w:val="00"/>
    <w:family w:val="roman"/>
    <w:pitch w:val="default"/>
    <w:sig w:usb0="E00006FF" w:usb1="420024FF" w:usb2="02000000" w:usb3="00000000" w:csb0="2000019F" w:csb1="00000000"/>
  </w:font>
  <w:font w:name="华文楷体">
    <w:panose1 w:val="02010600040101010101"/>
    <w:charset w:val="86"/>
    <w:family w:val="auto"/>
    <w:pitch w:val="default"/>
    <w:sig w:usb0="00000287" w:usb1="080F0000" w:usb2="00000000" w:usb3="00000000" w:csb0="0004009F" w:csb1="DFD70000"/>
  </w:font>
  <w:font w:name="ËÎÌå">
    <w:altName w:val="Arial"/>
    <w:panose1 w:val="00000000000000000000"/>
    <w:charset w:val="00"/>
    <w:family w:val="auto"/>
    <w:pitch w:val="default"/>
    <w:sig w:usb0="00000000" w:usb1="00000000" w:usb2="00000000" w:usb3="00000000" w:csb0="00000001" w:csb1="00000000"/>
  </w:font>
  <w:font w:name="Microsoft JhengHei UI">
    <w:panose1 w:val="020B0604030504040204"/>
    <w:charset w:val="88"/>
    <w:family w:val="auto"/>
    <w:pitch w:val="default"/>
    <w:sig w:usb0="000002A7" w:usb1="28CF4400" w:usb2="00000016" w:usb3="00000000" w:csb0="00100009"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00" w:lineRule="auto"/>
      </w:pPr>
      <w:r>
        <w:separator/>
      </w:r>
    </w:p>
  </w:footnote>
  <w:footnote w:type="continuationSeparator" w:id="1">
    <w:p>
      <w:pPr>
        <w:spacing w:line="30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4"/>
      <w:ind w:firstLine="48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4"/>
      <w:ind w:firstLine="48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15E286F"/>
    <w:multiLevelType w:val="singleLevel"/>
    <w:tmpl w:val="815E286F"/>
    <w:lvl w:ilvl="0" w:tentative="0">
      <w:start w:val="1"/>
      <w:numFmt w:val="decimal"/>
      <w:lvlText w:val="%1)"/>
      <w:lvlJc w:val="left"/>
      <w:pPr>
        <w:ind w:left="425" w:hanging="425"/>
      </w:pPr>
      <w:rPr>
        <w:rFonts w:hint="default"/>
      </w:rPr>
    </w:lvl>
  </w:abstractNum>
  <w:abstractNum w:abstractNumId="1">
    <w:nsid w:val="8C13AF0F"/>
    <w:multiLevelType w:val="singleLevel"/>
    <w:tmpl w:val="8C13AF0F"/>
    <w:lvl w:ilvl="0" w:tentative="0">
      <w:start w:val="1"/>
      <w:numFmt w:val="decimal"/>
      <w:lvlText w:val="%1)"/>
      <w:lvlJc w:val="left"/>
      <w:pPr>
        <w:ind w:left="425" w:hanging="425"/>
      </w:pPr>
      <w:rPr>
        <w:rFonts w:hint="default"/>
      </w:rPr>
    </w:lvl>
  </w:abstractNum>
  <w:abstractNum w:abstractNumId="2">
    <w:nsid w:val="9FDBD5FB"/>
    <w:multiLevelType w:val="multilevel"/>
    <w:tmpl w:val="9FDBD5FB"/>
    <w:lvl w:ilvl="0" w:tentative="0">
      <w:start w:val="1"/>
      <w:numFmt w:val="decimal"/>
      <w:lvlText w:val="%1、"/>
      <w:lvlJc w:val="left"/>
      <w:pPr>
        <w:ind w:left="360" w:hanging="36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
    <w:nsid w:val="B0153C24"/>
    <w:multiLevelType w:val="singleLevel"/>
    <w:tmpl w:val="B0153C24"/>
    <w:lvl w:ilvl="0" w:tentative="0">
      <w:start w:val="1"/>
      <w:numFmt w:val="decimal"/>
      <w:suff w:val="nothing"/>
      <w:lvlText w:val="%1）"/>
      <w:lvlJc w:val="left"/>
    </w:lvl>
  </w:abstractNum>
  <w:abstractNum w:abstractNumId="4">
    <w:nsid w:val="B1EE5E41"/>
    <w:multiLevelType w:val="singleLevel"/>
    <w:tmpl w:val="B1EE5E41"/>
    <w:lvl w:ilvl="0" w:tentative="0">
      <w:start w:val="1"/>
      <w:numFmt w:val="decimal"/>
      <w:lvlText w:val="%1)"/>
      <w:lvlJc w:val="left"/>
      <w:pPr>
        <w:ind w:left="425" w:hanging="425"/>
      </w:pPr>
      <w:rPr>
        <w:rFonts w:hint="default"/>
      </w:rPr>
    </w:lvl>
  </w:abstractNum>
  <w:abstractNum w:abstractNumId="5">
    <w:nsid w:val="B1FF8443"/>
    <w:multiLevelType w:val="multilevel"/>
    <w:tmpl w:val="B1FF8443"/>
    <w:lvl w:ilvl="0" w:tentative="0">
      <w:start w:val="1"/>
      <w:numFmt w:val="decimal"/>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6">
    <w:nsid w:val="B71B57DA"/>
    <w:multiLevelType w:val="singleLevel"/>
    <w:tmpl w:val="B71B57DA"/>
    <w:lvl w:ilvl="0" w:tentative="0">
      <w:start w:val="1"/>
      <w:numFmt w:val="decimal"/>
      <w:lvlText w:val="%1)"/>
      <w:lvlJc w:val="left"/>
      <w:pPr>
        <w:ind w:left="425" w:hanging="425"/>
      </w:pPr>
      <w:rPr>
        <w:rFonts w:hint="default"/>
      </w:rPr>
    </w:lvl>
  </w:abstractNum>
  <w:abstractNum w:abstractNumId="7">
    <w:nsid w:val="B7649D92"/>
    <w:multiLevelType w:val="multilevel"/>
    <w:tmpl w:val="B7649D92"/>
    <w:lvl w:ilvl="0" w:tentative="0">
      <w:start w:val="1"/>
      <w:numFmt w:val="decimal"/>
      <w:suff w:val="nothing"/>
      <w:lvlText w:val="%1、"/>
      <w:lvlJc w:val="left"/>
      <w:pPr>
        <w:ind w:left="0" w:firstLine="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8">
    <w:nsid w:val="BFC934C2"/>
    <w:multiLevelType w:val="singleLevel"/>
    <w:tmpl w:val="BFC934C2"/>
    <w:lvl w:ilvl="0" w:tentative="0">
      <w:start w:val="1"/>
      <w:numFmt w:val="decimal"/>
      <w:lvlText w:val="%1)"/>
      <w:lvlJc w:val="left"/>
      <w:pPr>
        <w:ind w:left="425" w:hanging="425"/>
      </w:pPr>
      <w:rPr>
        <w:rFonts w:hint="default"/>
      </w:rPr>
    </w:lvl>
  </w:abstractNum>
  <w:abstractNum w:abstractNumId="9">
    <w:nsid w:val="D6DD5CF9"/>
    <w:multiLevelType w:val="singleLevel"/>
    <w:tmpl w:val="D6DD5CF9"/>
    <w:lvl w:ilvl="0" w:tentative="0">
      <w:start w:val="1"/>
      <w:numFmt w:val="decimal"/>
      <w:lvlText w:val="%1)"/>
      <w:lvlJc w:val="left"/>
      <w:pPr>
        <w:ind w:left="425" w:hanging="425"/>
      </w:pPr>
      <w:rPr>
        <w:rFonts w:hint="default"/>
      </w:rPr>
    </w:lvl>
  </w:abstractNum>
  <w:abstractNum w:abstractNumId="10">
    <w:nsid w:val="DFFEED9F"/>
    <w:multiLevelType w:val="multilevel"/>
    <w:tmpl w:val="DFFEED9F"/>
    <w:lvl w:ilvl="0" w:tentative="0">
      <w:start w:val="1"/>
      <w:numFmt w:val="decimal"/>
      <w:lvlText w:val="%1、"/>
      <w:lvlJc w:val="left"/>
      <w:pPr>
        <w:ind w:left="360" w:hanging="360"/>
      </w:pPr>
      <w:rPr>
        <w:rFonts w:hint="default" w:ascii="Times New Roman" w:hAnsi="Times New Roman" w:cs="Times New Roman"/>
      </w:rPr>
    </w:lvl>
    <w:lvl w:ilvl="1" w:tentative="0">
      <w:start w:val="1"/>
      <w:numFmt w:val="lowerLetter"/>
      <w:lvlText w:val="%2)"/>
      <w:lvlJc w:val="left"/>
      <w:pPr>
        <w:ind w:left="840" w:hanging="420"/>
      </w:pPr>
      <w:rPr>
        <w:rFonts w:hint="default" w:ascii="Times New Roman" w:hAnsi="Times New Roman" w:cs="Times New Roman"/>
      </w:rPr>
    </w:lvl>
    <w:lvl w:ilvl="2" w:tentative="0">
      <w:start w:val="1"/>
      <w:numFmt w:val="lowerRoman"/>
      <w:lvlText w:val="%3."/>
      <w:lvlJc w:val="right"/>
      <w:pPr>
        <w:ind w:left="1260" w:hanging="420"/>
      </w:pPr>
      <w:rPr>
        <w:rFonts w:hint="default" w:ascii="Times New Roman" w:hAnsi="Times New Roman" w:cs="Times New Roman"/>
      </w:rPr>
    </w:lvl>
    <w:lvl w:ilvl="3" w:tentative="0">
      <w:start w:val="1"/>
      <w:numFmt w:val="decimal"/>
      <w:lvlText w:val="%4."/>
      <w:lvlJc w:val="left"/>
      <w:pPr>
        <w:ind w:left="1680" w:hanging="420"/>
      </w:pPr>
      <w:rPr>
        <w:rFonts w:hint="default" w:ascii="Times New Roman" w:hAnsi="Times New Roman" w:cs="Times New Roman"/>
      </w:rPr>
    </w:lvl>
    <w:lvl w:ilvl="4" w:tentative="0">
      <w:start w:val="1"/>
      <w:numFmt w:val="lowerLetter"/>
      <w:lvlText w:val="%5)"/>
      <w:lvlJc w:val="left"/>
      <w:pPr>
        <w:ind w:left="2100" w:hanging="420"/>
      </w:pPr>
      <w:rPr>
        <w:rFonts w:hint="default" w:ascii="Times New Roman" w:hAnsi="Times New Roman" w:cs="Times New Roman"/>
      </w:rPr>
    </w:lvl>
    <w:lvl w:ilvl="5" w:tentative="0">
      <w:start w:val="1"/>
      <w:numFmt w:val="lowerRoman"/>
      <w:lvlText w:val="%6."/>
      <w:lvlJc w:val="right"/>
      <w:pPr>
        <w:ind w:left="2520" w:hanging="420"/>
      </w:pPr>
      <w:rPr>
        <w:rFonts w:hint="default" w:ascii="Times New Roman" w:hAnsi="Times New Roman" w:cs="Times New Roman"/>
      </w:rPr>
    </w:lvl>
    <w:lvl w:ilvl="6" w:tentative="0">
      <w:start w:val="1"/>
      <w:numFmt w:val="decimal"/>
      <w:lvlText w:val="%7."/>
      <w:lvlJc w:val="left"/>
      <w:pPr>
        <w:ind w:left="2940" w:hanging="420"/>
      </w:pPr>
      <w:rPr>
        <w:rFonts w:hint="default" w:ascii="Times New Roman" w:hAnsi="Times New Roman" w:cs="Times New Roman"/>
      </w:rPr>
    </w:lvl>
    <w:lvl w:ilvl="7" w:tentative="0">
      <w:start w:val="1"/>
      <w:numFmt w:val="lowerLetter"/>
      <w:lvlText w:val="%8)"/>
      <w:lvlJc w:val="left"/>
      <w:pPr>
        <w:ind w:left="3360" w:hanging="420"/>
      </w:pPr>
      <w:rPr>
        <w:rFonts w:hint="default" w:ascii="Times New Roman" w:hAnsi="Times New Roman" w:cs="Times New Roman"/>
      </w:rPr>
    </w:lvl>
    <w:lvl w:ilvl="8" w:tentative="0">
      <w:start w:val="1"/>
      <w:numFmt w:val="lowerRoman"/>
      <w:lvlText w:val="%9."/>
      <w:lvlJc w:val="right"/>
      <w:pPr>
        <w:ind w:left="3780" w:hanging="420"/>
      </w:pPr>
      <w:rPr>
        <w:rFonts w:hint="default" w:ascii="Times New Roman" w:hAnsi="Times New Roman" w:cs="Times New Roman"/>
      </w:rPr>
    </w:lvl>
  </w:abstractNum>
  <w:abstractNum w:abstractNumId="11">
    <w:nsid w:val="EA9CB2D4"/>
    <w:multiLevelType w:val="singleLevel"/>
    <w:tmpl w:val="EA9CB2D4"/>
    <w:lvl w:ilvl="0" w:tentative="0">
      <w:start w:val="1"/>
      <w:numFmt w:val="decimal"/>
      <w:lvlText w:val="%1)"/>
      <w:lvlJc w:val="left"/>
      <w:pPr>
        <w:ind w:left="425" w:hanging="425"/>
      </w:pPr>
      <w:rPr>
        <w:rFonts w:hint="default"/>
      </w:rPr>
    </w:lvl>
  </w:abstractNum>
  <w:abstractNum w:abstractNumId="12">
    <w:nsid w:val="FFEE5986"/>
    <w:multiLevelType w:val="multilevel"/>
    <w:tmpl w:val="FFEE5986"/>
    <w:lvl w:ilvl="0" w:tentative="0">
      <w:start w:val="1"/>
      <w:numFmt w:val="decimal"/>
      <w:lvlText w:val="%1、"/>
      <w:lvlJc w:val="left"/>
      <w:pPr>
        <w:ind w:left="360" w:hanging="36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3">
    <w:nsid w:val="FFFE1EB8"/>
    <w:multiLevelType w:val="singleLevel"/>
    <w:tmpl w:val="FFFE1EB8"/>
    <w:lvl w:ilvl="0" w:tentative="0">
      <w:start w:val="4"/>
      <w:numFmt w:val="decimal"/>
      <w:suff w:val="nothing"/>
      <w:lvlText w:val="%1、"/>
      <w:lvlJc w:val="left"/>
    </w:lvl>
  </w:abstractNum>
  <w:abstractNum w:abstractNumId="14">
    <w:nsid w:val="0000000E"/>
    <w:multiLevelType w:val="multilevel"/>
    <w:tmpl w:val="0000000E"/>
    <w:lvl w:ilvl="0" w:tentative="0">
      <w:start w:val="1"/>
      <w:numFmt w:val="decimal"/>
      <w:lvlText w:val="%1、"/>
      <w:lvlJc w:val="left"/>
      <w:pPr>
        <w:tabs>
          <w:tab w:val="left" w:pos="360"/>
        </w:tabs>
        <w:ind w:left="360" w:hanging="360"/>
      </w:pPr>
      <w:rPr>
        <w:rFonts w:hint="default"/>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5">
    <w:nsid w:val="06104A7E"/>
    <w:multiLevelType w:val="multilevel"/>
    <w:tmpl w:val="06104A7E"/>
    <w:lvl w:ilvl="0" w:tentative="0">
      <w:start w:val="1"/>
      <w:numFmt w:val="upperLetter"/>
      <w:lvlText w:val="%1、"/>
      <w:lvlJc w:val="left"/>
      <w:pPr>
        <w:ind w:left="942" w:hanging="375"/>
      </w:pPr>
      <w:rPr>
        <w:rFonts w:hint="default"/>
      </w:rPr>
    </w:lvl>
    <w:lvl w:ilvl="1" w:tentative="0">
      <w:start w:val="1"/>
      <w:numFmt w:val="lowerLetter"/>
      <w:lvlText w:val="%2)"/>
      <w:lvlJc w:val="left"/>
      <w:pPr>
        <w:ind w:left="1265" w:hanging="420"/>
      </w:pPr>
    </w:lvl>
    <w:lvl w:ilvl="2" w:tentative="0">
      <w:start w:val="1"/>
      <w:numFmt w:val="lowerRoman"/>
      <w:lvlText w:val="%3."/>
      <w:lvlJc w:val="right"/>
      <w:pPr>
        <w:ind w:left="1685" w:hanging="420"/>
      </w:pPr>
    </w:lvl>
    <w:lvl w:ilvl="3" w:tentative="0">
      <w:start w:val="1"/>
      <w:numFmt w:val="decimal"/>
      <w:lvlText w:val="%4."/>
      <w:lvlJc w:val="left"/>
      <w:pPr>
        <w:ind w:left="2105" w:hanging="420"/>
      </w:pPr>
    </w:lvl>
    <w:lvl w:ilvl="4" w:tentative="0">
      <w:start w:val="1"/>
      <w:numFmt w:val="lowerLetter"/>
      <w:lvlText w:val="%5)"/>
      <w:lvlJc w:val="left"/>
      <w:pPr>
        <w:ind w:left="2525" w:hanging="420"/>
      </w:pPr>
    </w:lvl>
    <w:lvl w:ilvl="5" w:tentative="0">
      <w:start w:val="1"/>
      <w:numFmt w:val="lowerRoman"/>
      <w:lvlText w:val="%6."/>
      <w:lvlJc w:val="right"/>
      <w:pPr>
        <w:ind w:left="2945" w:hanging="420"/>
      </w:pPr>
    </w:lvl>
    <w:lvl w:ilvl="6" w:tentative="0">
      <w:start w:val="1"/>
      <w:numFmt w:val="decimal"/>
      <w:lvlText w:val="%7."/>
      <w:lvlJc w:val="left"/>
      <w:pPr>
        <w:ind w:left="3365" w:hanging="420"/>
      </w:pPr>
    </w:lvl>
    <w:lvl w:ilvl="7" w:tentative="0">
      <w:start w:val="1"/>
      <w:numFmt w:val="lowerLetter"/>
      <w:lvlText w:val="%8)"/>
      <w:lvlJc w:val="left"/>
      <w:pPr>
        <w:ind w:left="3785" w:hanging="420"/>
      </w:pPr>
    </w:lvl>
    <w:lvl w:ilvl="8" w:tentative="0">
      <w:start w:val="1"/>
      <w:numFmt w:val="lowerRoman"/>
      <w:lvlText w:val="%9."/>
      <w:lvlJc w:val="right"/>
      <w:pPr>
        <w:ind w:left="4205" w:hanging="420"/>
      </w:pPr>
    </w:lvl>
  </w:abstractNum>
  <w:abstractNum w:abstractNumId="16">
    <w:nsid w:val="06AF8D27"/>
    <w:multiLevelType w:val="singleLevel"/>
    <w:tmpl w:val="06AF8D27"/>
    <w:lvl w:ilvl="0" w:tentative="0">
      <w:start w:val="1"/>
      <w:numFmt w:val="decimal"/>
      <w:lvlText w:val="%1)"/>
      <w:lvlJc w:val="left"/>
      <w:pPr>
        <w:ind w:left="425" w:hanging="425"/>
      </w:pPr>
      <w:rPr>
        <w:rFonts w:hint="default"/>
      </w:rPr>
    </w:lvl>
  </w:abstractNum>
  <w:abstractNum w:abstractNumId="17">
    <w:nsid w:val="07F61F0C"/>
    <w:multiLevelType w:val="multilevel"/>
    <w:tmpl w:val="07F61F0C"/>
    <w:lvl w:ilvl="0" w:tentative="0">
      <w:start w:val="1"/>
      <w:numFmt w:val="decimal"/>
      <w:lvlText w:val="%1）"/>
      <w:lvlJc w:val="left"/>
      <w:pPr>
        <w:ind w:left="1080" w:hanging="360"/>
      </w:pPr>
      <w:rPr>
        <w:rFonts w:hint="default"/>
      </w:rPr>
    </w:lvl>
    <w:lvl w:ilvl="1" w:tentative="0">
      <w:start w:val="1"/>
      <w:numFmt w:val="lowerLetter"/>
      <w:lvlText w:val="%2)"/>
      <w:lvlJc w:val="left"/>
      <w:pPr>
        <w:ind w:left="1560" w:hanging="420"/>
      </w:pPr>
    </w:lvl>
    <w:lvl w:ilvl="2" w:tentative="0">
      <w:start w:val="1"/>
      <w:numFmt w:val="lowerRoman"/>
      <w:lvlText w:val="%3."/>
      <w:lvlJc w:val="right"/>
      <w:pPr>
        <w:ind w:left="1980" w:hanging="420"/>
      </w:pPr>
    </w:lvl>
    <w:lvl w:ilvl="3" w:tentative="0">
      <w:start w:val="1"/>
      <w:numFmt w:val="decimal"/>
      <w:lvlText w:val="%4."/>
      <w:lvlJc w:val="left"/>
      <w:pPr>
        <w:ind w:left="2400" w:hanging="420"/>
      </w:pPr>
    </w:lvl>
    <w:lvl w:ilvl="4" w:tentative="0">
      <w:start w:val="1"/>
      <w:numFmt w:val="lowerLetter"/>
      <w:lvlText w:val="%5)"/>
      <w:lvlJc w:val="left"/>
      <w:pPr>
        <w:ind w:left="2820" w:hanging="420"/>
      </w:pPr>
    </w:lvl>
    <w:lvl w:ilvl="5" w:tentative="0">
      <w:start w:val="1"/>
      <w:numFmt w:val="lowerRoman"/>
      <w:lvlText w:val="%6."/>
      <w:lvlJc w:val="right"/>
      <w:pPr>
        <w:ind w:left="3240" w:hanging="420"/>
      </w:pPr>
    </w:lvl>
    <w:lvl w:ilvl="6" w:tentative="0">
      <w:start w:val="1"/>
      <w:numFmt w:val="decimal"/>
      <w:lvlText w:val="%7."/>
      <w:lvlJc w:val="left"/>
      <w:pPr>
        <w:ind w:left="3660" w:hanging="420"/>
      </w:pPr>
    </w:lvl>
    <w:lvl w:ilvl="7" w:tentative="0">
      <w:start w:val="1"/>
      <w:numFmt w:val="lowerLetter"/>
      <w:lvlText w:val="%8)"/>
      <w:lvlJc w:val="left"/>
      <w:pPr>
        <w:ind w:left="4080" w:hanging="420"/>
      </w:pPr>
    </w:lvl>
    <w:lvl w:ilvl="8" w:tentative="0">
      <w:start w:val="1"/>
      <w:numFmt w:val="lowerRoman"/>
      <w:lvlText w:val="%9."/>
      <w:lvlJc w:val="right"/>
      <w:pPr>
        <w:ind w:left="4500" w:hanging="420"/>
      </w:pPr>
    </w:lvl>
  </w:abstractNum>
  <w:abstractNum w:abstractNumId="18">
    <w:nsid w:val="0DF23D09"/>
    <w:multiLevelType w:val="multilevel"/>
    <w:tmpl w:val="0DF23D09"/>
    <w:lvl w:ilvl="0" w:tentative="0">
      <w:start w:val="1"/>
      <w:numFmt w:val="upperLetter"/>
      <w:lvlText w:val="%1、"/>
      <w:lvlJc w:val="left"/>
      <w:pPr>
        <w:ind w:left="942" w:hanging="375"/>
      </w:pPr>
      <w:rPr>
        <w:rFonts w:hint="default"/>
      </w:rPr>
    </w:lvl>
    <w:lvl w:ilvl="1" w:tentative="0">
      <w:start w:val="1"/>
      <w:numFmt w:val="lowerLetter"/>
      <w:lvlText w:val="%2)"/>
      <w:lvlJc w:val="left"/>
      <w:pPr>
        <w:ind w:left="1265" w:hanging="420"/>
      </w:pPr>
    </w:lvl>
    <w:lvl w:ilvl="2" w:tentative="0">
      <w:start w:val="1"/>
      <w:numFmt w:val="lowerRoman"/>
      <w:lvlText w:val="%3."/>
      <w:lvlJc w:val="right"/>
      <w:pPr>
        <w:ind w:left="1685" w:hanging="420"/>
      </w:pPr>
    </w:lvl>
    <w:lvl w:ilvl="3" w:tentative="0">
      <w:start w:val="1"/>
      <w:numFmt w:val="decimal"/>
      <w:lvlText w:val="%4."/>
      <w:lvlJc w:val="left"/>
      <w:pPr>
        <w:ind w:left="2105" w:hanging="420"/>
      </w:pPr>
    </w:lvl>
    <w:lvl w:ilvl="4" w:tentative="0">
      <w:start w:val="1"/>
      <w:numFmt w:val="lowerLetter"/>
      <w:lvlText w:val="%5)"/>
      <w:lvlJc w:val="left"/>
      <w:pPr>
        <w:ind w:left="2525" w:hanging="420"/>
      </w:pPr>
    </w:lvl>
    <w:lvl w:ilvl="5" w:tentative="0">
      <w:start w:val="1"/>
      <w:numFmt w:val="lowerRoman"/>
      <w:lvlText w:val="%6."/>
      <w:lvlJc w:val="right"/>
      <w:pPr>
        <w:ind w:left="2945" w:hanging="420"/>
      </w:pPr>
    </w:lvl>
    <w:lvl w:ilvl="6" w:tentative="0">
      <w:start w:val="1"/>
      <w:numFmt w:val="decimal"/>
      <w:lvlText w:val="%7."/>
      <w:lvlJc w:val="left"/>
      <w:pPr>
        <w:ind w:left="3365" w:hanging="420"/>
      </w:pPr>
    </w:lvl>
    <w:lvl w:ilvl="7" w:tentative="0">
      <w:start w:val="1"/>
      <w:numFmt w:val="lowerLetter"/>
      <w:lvlText w:val="%8)"/>
      <w:lvlJc w:val="left"/>
      <w:pPr>
        <w:ind w:left="3785" w:hanging="420"/>
      </w:pPr>
    </w:lvl>
    <w:lvl w:ilvl="8" w:tentative="0">
      <w:start w:val="1"/>
      <w:numFmt w:val="lowerRoman"/>
      <w:lvlText w:val="%9."/>
      <w:lvlJc w:val="right"/>
      <w:pPr>
        <w:ind w:left="4205" w:hanging="420"/>
      </w:pPr>
    </w:lvl>
  </w:abstractNum>
  <w:abstractNum w:abstractNumId="19">
    <w:nsid w:val="11191135"/>
    <w:multiLevelType w:val="singleLevel"/>
    <w:tmpl w:val="11191135"/>
    <w:lvl w:ilvl="0" w:tentative="0">
      <w:start w:val="1"/>
      <w:numFmt w:val="decimal"/>
      <w:lvlText w:val="(%1)"/>
      <w:lvlJc w:val="left"/>
      <w:pPr>
        <w:ind w:left="425" w:hanging="425"/>
      </w:pPr>
      <w:rPr>
        <w:rFonts w:hint="default"/>
      </w:rPr>
    </w:lvl>
  </w:abstractNum>
  <w:abstractNum w:abstractNumId="20">
    <w:nsid w:val="11AC1C8A"/>
    <w:multiLevelType w:val="multilevel"/>
    <w:tmpl w:val="11AC1C8A"/>
    <w:lvl w:ilvl="0" w:tentative="0">
      <w:start w:val="1"/>
      <w:numFmt w:val="upperLetter"/>
      <w:lvlText w:val="%1、"/>
      <w:lvlJc w:val="left"/>
      <w:pPr>
        <w:ind w:left="942" w:hanging="375"/>
      </w:pPr>
      <w:rPr>
        <w:rFonts w:hint="default"/>
        <w:b w:val="0"/>
      </w:rPr>
    </w:lvl>
    <w:lvl w:ilvl="1" w:tentative="0">
      <w:start w:val="1"/>
      <w:numFmt w:val="lowerLetter"/>
      <w:lvlText w:val="%2)"/>
      <w:lvlJc w:val="left"/>
      <w:pPr>
        <w:ind w:left="1265" w:hanging="420"/>
      </w:pPr>
    </w:lvl>
    <w:lvl w:ilvl="2" w:tentative="0">
      <w:start w:val="1"/>
      <w:numFmt w:val="lowerRoman"/>
      <w:lvlText w:val="%3."/>
      <w:lvlJc w:val="right"/>
      <w:pPr>
        <w:ind w:left="1685" w:hanging="420"/>
      </w:pPr>
    </w:lvl>
    <w:lvl w:ilvl="3" w:tentative="0">
      <w:start w:val="1"/>
      <w:numFmt w:val="decimal"/>
      <w:lvlText w:val="%4."/>
      <w:lvlJc w:val="left"/>
      <w:pPr>
        <w:ind w:left="2105" w:hanging="420"/>
      </w:pPr>
    </w:lvl>
    <w:lvl w:ilvl="4" w:tentative="0">
      <w:start w:val="1"/>
      <w:numFmt w:val="lowerLetter"/>
      <w:lvlText w:val="%5)"/>
      <w:lvlJc w:val="left"/>
      <w:pPr>
        <w:ind w:left="2525" w:hanging="420"/>
      </w:pPr>
    </w:lvl>
    <w:lvl w:ilvl="5" w:tentative="0">
      <w:start w:val="1"/>
      <w:numFmt w:val="lowerRoman"/>
      <w:lvlText w:val="%6."/>
      <w:lvlJc w:val="right"/>
      <w:pPr>
        <w:ind w:left="2945" w:hanging="420"/>
      </w:pPr>
    </w:lvl>
    <w:lvl w:ilvl="6" w:tentative="0">
      <w:start w:val="1"/>
      <w:numFmt w:val="decimal"/>
      <w:lvlText w:val="%7."/>
      <w:lvlJc w:val="left"/>
      <w:pPr>
        <w:ind w:left="3365" w:hanging="420"/>
      </w:pPr>
    </w:lvl>
    <w:lvl w:ilvl="7" w:tentative="0">
      <w:start w:val="1"/>
      <w:numFmt w:val="lowerLetter"/>
      <w:lvlText w:val="%8)"/>
      <w:lvlJc w:val="left"/>
      <w:pPr>
        <w:ind w:left="3785" w:hanging="420"/>
      </w:pPr>
    </w:lvl>
    <w:lvl w:ilvl="8" w:tentative="0">
      <w:start w:val="1"/>
      <w:numFmt w:val="lowerRoman"/>
      <w:lvlText w:val="%9."/>
      <w:lvlJc w:val="right"/>
      <w:pPr>
        <w:ind w:left="4205" w:hanging="420"/>
      </w:pPr>
    </w:lvl>
  </w:abstractNum>
  <w:abstractNum w:abstractNumId="21">
    <w:nsid w:val="129E6CD1"/>
    <w:multiLevelType w:val="multilevel"/>
    <w:tmpl w:val="129E6CD1"/>
    <w:lvl w:ilvl="0" w:tentative="0">
      <w:start w:val="1"/>
      <w:numFmt w:val="upperLetter"/>
      <w:lvlText w:val="%1、"/>
      <w:lvlJc w:val="left"/>
      <w:pPr>
        <w:ind w:left="942" w:hanging="375"/>
      </w:pPr>
      <w:rPr>
        <w:rFonts w:hint="default"/>
      </w:rPr>
    </w:lvl>
    <w:lvl w:ilvl="1" w:tentative="0">
      <w:start w:val="1"/>
      <w:numFmt w:val="lowerLetter"/>
      <w:lvlText w:val="%2)"/>
      <w:lvlJc w:val="left"/>
      <w:pPr>
        <w:ind w:left="1265" w:hanging="420"/>
      </w:pPr>
    </w:lvl>
    <w:lvl w:ilvl="2" w:tentative="0">
      <w:start w:val="1"/>
      <w:numFmt w:val="lowerRoman"/>
      <w:lvlText w:val="%3."/>
      <w:lvlJc w:val="right"/>
      <w:pPr>
        <w:ind w:left="1685" w:hanging="420"/>
      </w:pPr>
    </w:lvl>
    <w:lvl w:ilvl="3" w:tentative="0">
      <w:start w:val="1"/>
      <w:numFmt w:val="decimal"/>
      <w:lvlText w:val="%4."/>
      <w:lvlJc w:val="left"/>
      <w:pPr>
        <w:ind w:left="2105" w:hanging="420"/>
      </w:pPr>
    </w:lvl>
    <w:lvl w:ilvl="4" w:tentative="0">
      <w:start w:val="1"/>
      <w:numFmt w:val="lowerLetter"/>
      <w:lvlText w:val="%5)"/>
      <w:lvlJc w:val="left"/>
      <w:pPr>
        <w:ind w:left="2525" w:hanging="420"/>
      </w:pPr>
    </w:lvl>
    <w:lvl w:ilvl="5" w:tentative="0">
      <w:start w:val="1"/>
      <w:numFmt w:val="lowerRoman"/>
      <w:lvlText w:val="%6."/>
      <w:lvlJc w:val="right"/>
      <w:pPr>
        <w:ind w:left="2945" w:hanging="420"/>
      </w:pPr>
    </w:lvl>
    <w:lvl w:ilvl="6" w:tentative="0">
      <w:start w:val="1"/>
      <w:numFmt w:val="decimal"/>
      <w:lvlText w:val="%7."/>
      <w:lvlJc w:val="left"/>
      <w:pPr>
        <w:ind w:left="3365" w:hanging="420"/>
      </w:pPr>
    </w:lvl>
    <w:lvl w:ilvl="7" w:tentative="0">
      <w:start w:val="1"/>
      <w:numFmt w:val="lowerLetter"/>
      <w:lvlText w:val="%8)"/>
      <w:lvlJc w:val="left"/>
      <w:pPr>
        <w:ind w:left="3785" w:hanging="420"/>
      </w:pPr>
    </w:lvl>
    <w:lvl w:ilvl="8" w:tentative="0">
      <w:start w:val="1"/>
      <w:numFmt w:val="lowerRoman"/>
      <w:lvlText w:val="%9."/>
      <w:lvlJc w:val="right"/>
      <w:pPr>
        <w:ind w:left="4205" w:hanging="420"/>
      </w:pPr>
    </w:lvl>
  </w:abstractNum>
  <w:abstractNum w:abstractNumId="22">
    <w:nsid w:val="17C35501"/>
    <w:multiLevelType w:val="multilevel"/>
    <w:tmpl w:val="17C35501"/>
    <w:lvl w:ilvl="0" w:tentative="0">
      <w:start w:val="1"/>
      <w:numFmt w:val="decimal"/>
      <w:pStyle w:val="8"/>
      <w:lvlText w:val="%1)"/>
      <w:lvlJc w:val="left"/>
      <w:pPr>
        <w:ind w:left="1464" w:hanging="420"/>
      </w:pPr>
    </w:lvl>
    <w:lvl w:ilvl="1" w:tentative="0">
      <w:start w:val="1"/>
      <w:numFmt w:val="lowerLetter"/>
      <w:lvlText w:val="%2)"/>
      <w:lvlJc w:val="left"/>
      <w:pPr>
        <w:ind w:left="1884" w:hanging="420"/>
      </w:pPr>
    </w:lvl>
    <w:lvl w:ilvl="2" w:tentative="0">
      <w:start w:val="1"/>
      <w:numFmt w:val="lowerRoman"/>
      <w:lvlText w:val="%3."/>
      <w:lvlJc w:val="right"/>
      <w:pPr>
        <w:ind w:left="2304" w:hanging="420"/>
      </w:pPr>
    </w:lvl>
    <w:lvl w:ilvl="3" w:tentative="0">
      <w:start w:val="1"/>
      <w:numFmt w:val="decimal"/>
      <w:lvlText w:val="%4."/>
      <w:lvlJc w:val="left"/>
      <w:pPr>
        <w:ind w:left="2724" w:hanging="420"/>
      </w:pPr>
    </w:lvl>
    <w:lvl w:ilvl="4" w:tentative="0">
      <w:start w:val="1"/>
      <w:numFmt w:val="lowerLetter"/>
      <w:lvlText w:val="%5)"/>
      <w:lvlJc w:val="left"/>
      <w:pPr>
        <w:ind w:left="3144" w:hanging="420"/>
      </w:pPr>
    </w:lvl>
    <w:lvl w:ilvl="5" w:tentative="0">
      <w:start w:val="1"/>
      <w:numFmt w:val="lowerRoman"/>
      <w:lvlText w:val="%6."/>
      <w:lvlJc w:val="right"/>
      <w:pPr>
        <w:ind w:left="3564" w:hanging="420"/>
      </w:pPr>
    </w:lvl>
    <w:lvl w:ilvl="6" w:tentative="0">
      <w:start w:val="1"/>
      <w:numFmt w:val="decimal"/>
      <w:lvlText w:val="%7."/>
      <w:lvlJc w:val="left"/>
      <w:pPr>
        <w:ind w:left="3984" w:hanging="420"/>
      </w:pPr>
    </w:lvl>
    <w:lvl w:ilvl="7" w:tentative="0">
      <w:start w:val="1"/>
      <w:numFmt w:val="lowerLetter"/>
      <w:lvlText w:val="%8)"/>
      <w:lvlJc w:val="left"/>
      <w:pPr>
        <w:ind w:left="4404" w:hanging="420"/>
      </w:pPr>
    </w:lvl>
    <w:lvl w:ilvl="8" w:tentative="0">
      <w:start w:val="1"/>
      <w:numFmt w:val="lowerRoman"/>
      <w:lvlText w:val="%9."/>
      <w:lvlJc w:val="right"/>
      <w:pPr>
        <w:ind w:left="4824" w:hanging="420"/>
      </w:pPr>
    </w:lvl>
  </w:abstractNum>
  <w:abstractNum w:abstractNumId="23">
    <w:nsid w:val="17FF4C6D"/>
    <w:multiLevelType w:val="multilevel"/>
    <w:tmpl w:val="17FF4C6D"/>
    <w:lvl w:ilvl="0" w:tentative="0">
      <w:start w:val="1"/>
      <w:numFmt w:val="decimal"/>
      <w:lvlText w:val="%1）"/>
      <w:lvlJc w:val="left"/>
      <w:pPr>
        <w:ind w:left="420" w:hanging="4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4">
    <w:nsid w:val="1A3C137C"/>
    <w:multiLevelType w:val="multilevel"/>
    <w:tmpl w:val="1A3C137C"/>
    <w:lvl w:ilvl="0" w:tentative="0">
      <w:start w:val="1"/>
      <w:numFmt w:val="decimal"/>
      <w:lvlText w:val="%1)"/>
      <w:lvlJc w:val="left"/>
      <w:pPr>
        <w:ind w:left="862" w:hanging="420"/>
      </w:pPr>
    </w:lvl>
    <w:lvl w:ilvl="1" w:tentative="0">
      <w:start w:val="1"/>
      <w:numFmt w:val="lowerLetter"/>
      <w:lvlText w:val="%2)"/>
      <w:lvlJc w:val="left"/>
      <w:pPr>
        <w:ind w:left="1282" w:hanging="420"/>
      </w:pPr>
    </w:lvl>
    <w:lvl w:ilvl="2" w:tentative="0">
      <w:start w:val="1"/>
      <w:numFmt w:val="lowerRoman"/>
      <w:lvlText w:val="%3."/>
      <w:lvlJc w:val="right"/>
      <w:pPr>
        <w:ind w:left="1702" w:hanging="420"/>
      </w:pPr>
    </w:lvl>
    <w:lvl w:ilvl="3" w:tentative="0">
      <w:start w:val="1"/>
      <w:numFmt w:val="decimal"/>
      <w:lvlText w:val="%4."/>
      <w:lvlJc w:val="left"/>
      <w:pPr>
        <w:ind w:left="2122" w:hanging="420"/>
      </w:pPr>
    </w:lvl>
    <w:lvl w:ilvl="4" w:tentative="0">
      <w:start w:val="1"/>
      <w:numFmt w:val="lowerLetter"/>
      <w:lvlText w:val="%5)"/>
      <w:lvlJc w:val="left"/>
      <w:pPr>
        <w:ind w:left="2542" w:hanging="420"/>
      </w:pPr>
    </w:lvl>
    <w:lvl w:ilvl="5" w:tentative="0">
      <w:start w:val="1"/>
      <w:numFmt w:val="lowerRoman"/>
      <w:lvlText w:val="%6."/>
      <w:lvlJc w:val="right"/>
      <w:pPr>
        <w:ind w:left="2962" w:hanging="420"/>
      </w:pPr>
    </w:lvl>
    <w:lvl w:ilvl="6" w:tentative="0">
      <w:start w:val="1"/>
      <w:numFmt w:val="decimal"/>
      <w:lvlText w:val="%7."/>
      <w:lvlJc w:val="left"/>
      <w:pPr>
        <w:ind w:left="3382" w:hanging="420"/>
      </w:pPr>
    </w:lvl>
    <w:lvl w:ilvl="7" w:tentative="0">
      <w:start w:val="1"/>
      <w:numFmt w:val="lowerLetter"/>
      <w:lvlText w:val="%8)"/>
      <w:lvlJc w:val="left"/>
      <w:pPr>
        <w:ind w:left="3802" w:hanging="420"/>
      </w:pPr>
    </w:lvl>
    <w:lvl w:ilvl="8" w:tentative="0">
      <w:start w:val="1"/>
      <w:numFmt w:val="lowerRoman"/>
      <w:lvlText w:val="%9."/>
      <w:lvlJc w:val="right"/>
      <w:pPr>
        <w:ind w:left="4222" w:hanging="420"/>
      </w:pPr>
    </w:lvl>
  </w:abstractNum>
  <w:abstractNum w:abstractNumId="25">
    <w:nsid w:val="1B8FA021"/>
    <w:multiLevelType w:val="singleLevel"/>
    <w:tmpl w:val="1B8FA021"/>
    <w:lvl w:ilvl="0" w:tentative="0">
      <w:start w:val="1"/>
      <w:numFmt w:val="decimal"/>
      <w:suff w:val="nothing"/>
      <w:lvlText w:val="%1）"/>
      <w:lvlJc w:val="left"/>
    </w:lvl>
  </w:abstractNum>
  <w:abstractNum w:abstractNumId="26">
    <w:nsid w:val="1DEF0E57"/>
    <w:multiLevelType w:val="multilevel"/>
    <w:tmpl w:val="1DEF0E57"/>
    <w:lvl w:ilvl="0" w:tentative="0">
      <w:start w:val="1"/>
      <w:numFmt w:val="decimal"/>
      <w:lvlText w:val="（%1）"/>
      <w:lvlJc w:val="left"/>
      <w:pPr>
        <w:ind w:left="420" w:hanging="420"/>
      </w:pPr>
      <w:rPr>
        <w:rFonts w:hint="default"/>
      </w:rPr>
    </w:lvl>
    <w:lvl w:ilvl="1" w:tentative="0">
      <w:start w:val="3"/>
      <w:numFmt w:val="decimalEnclosedCircle"/>
      <w:lvlText w:val="%2"/>
      <w:lvlJc w:val="left"/>
      <w:pPr>
        <w:ind w:left="780" w:hanging="360"/>
      </w:pPr>
      <w:rPr>
        <w:rFonts w:hint="default"/>
      </w:rPr>
    </w:lvl>
    <w:lvl w:ilvl="2" w:tentative="0">
      <w:start w:val="5"/>
      <w:numFmt w:val="decimalEnclosedCircle"/>
      <w:lvlText w:val="%3"/>
      <w:lvlJc w:val="left"/>
      <w:pPr>
        <w:ind w:left="1200" w:hanging="360"/>
      </w:pPr>
      <w:rPr>
        <w:rFonts w:hint="default"/>
      </w:r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7">
    <w:nsid w:val="1F041EE2"/>
    <w:multiLevelType w:val="multilevel"/>
    <w:tmpl w:val="1F041EE2"/>
    <w:lvl w:ilvl="0" w:tentative="0">
      <w:start w:val="1"/>
      <w:numFmt w:val="decimal"/>
      <w:lvlText w:val="%1）"/>
      <w:lvlJc w:val="left"/>
      <w:pPr>
        <w:ind w:left="420" w:hanging="4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8">
    <w:nsid w:val="1F831FCE"/>
    <w:multiLevelType w:val="multilevel"/>
    <w:tmpl w:val="1F831FCE"/>
    <w:lvl w:ilvl="0" w:tentative="0">
      <w:start w:val="1"/>
      <w:numFmt w:val="lowerLetter"/>
      <w:lvlText w:val="（%1）"/>
      <w:lvlJc w:val="left"/>
      <w:pPr>
        <w:ind w:left="1662" w:hanging="720"/>
      </w:pPr>
      <w:rPr>
        <w:rFonts w:hint="default"/>
      </w:rPr>
    </w:lvl>
    <w:lvl w:ilvl="1" w:tentative="0">
      <w:start w:val="1"/>
      <w:numFmt w:val="lowerLetter"/>
      <w:lvlText w:val="%2)"/>
      <w:lvlJc w:val="left"/>
      <w:pPr>
        <w:ind w:left="1782" w:hanging="420"/>
      </w:pPr>
    </w:lvl>
    <w:lvl w:ilvl="2" w:tentative="0">
      <w:start w:val="1"/>
      <w:numFmt w:val="lowerRoman"/>
      <w:lvlText w:val="%3."/>
      <w:lvlJc w:val="right"/>
      <w:pPr>
        <w:ind w:left="2202" w:hanging="420"/>
      </w:pPr>
    </w:lvl>
    <w:lvl w:ilvl="3" w:tentative="0">
      <w:start w:val="1"/>
      <w:numFmt w:val="decimal"/>
      <w:lvlText w:val="%4."/>
      <w:lvlJc w:val="left"/>
      <w:pPr>
        <w:ind w:left="2622" w:hanging="420"/>
      </w:pPr>
    </w:lvl>
    <w:lvl w:ilvl="4" w:tentative="0">
      <w:start w:val="1"/>
      <w:numFmt w:val="lowerLetter"/>
      <w:lvlText w:val="%5)"/>
      <w:lvlJc w:val="left"/>
      <w:pPr>
        <w:ind w:left="3042" w:hanging="420"/>
      </w:pPr>
    </w:lvl>
    <w:lvl w:ilvl="5" w:tentative="0">
      <w:start w:val="1"/>
      <w:numFmt w:val="lowerRoman"/>
      <w:lvlText w:val="%6."/>
      <w:lvlJc w:val="right"/>
      <w:pPr>
        <w:ind w:left="3462" w:hanging="420"/>
      </w:pPr>
    </w:lvl>
    <w:lvl w:ilvl="6" w:tentative="0">
      <w:start w:val="1"/>
      <w:numFmt w:val="decimal"/>
      <w:lvlText w:val="%7."/>
      <w:lvlJc w:val="left"/>
      <w:pPr>
        <w:ind w:left="3882" w:hanging="420"/>
      </w:pPr>
    </w:lvl>
    <w:lvl w:ilvl="7" w:tentative="0">
      <w:start w:val="1"/>
      <w:numFmt w:val="lowerLetter"/>
      <w:lvlText w:val="%8)"/>
      <w:lvlJc w:val="left"/>
      <w:pPr>
        <w:ind w:left="4302" w:hanging="420"/>
      </w:pPr>
    </w:lvl>
    <w:lvl w:ilvl="8" w:tentative="0">
      <w:start w:val="1"/>
      <w:numFmt w:val="lowerRoman"/>
      <w:lvlText w:val="%9."/>
      <w:lvlJc w:val="right"/>
      <w:pPr>
        <w:ind w:left="4722" w:hanging="420"/>
      </w:pPr>
    </w:lvl>
  </w:abstractNum>
  <w:abstractNum w:abstractNumId="29">
    <w:nsid w:val="2099A8CD"/>
    <w:multiLevelType w:val="singleLevel"/>
    <w:tmpl w:val="2099A8CD"/>
    <w:lvl w:ilvl="0" w:tentative="0">
      <w:start w:val="1"/>
      <w:numFmt w:val="decimal"/>
      <w:lvlText w:val="%1."/>
      <w:lvlJc w:val="left"/>
      <w:pPr>
        <w:ind w:left="425" w:hanging="425"/>
      </w:pPr>
      <w:rPr>
        <w:rFonts w:hint="default"/>
      </w:rPr>
    </w:lvl>
  </w:abstractNum>
  <w:abstractNum w:abstractNumId="30">
    <w:nsid w:val="22A8502B"/>
    <w:multiLevelType w:val="multilevel"/>
    <w:tmpl w:val="22A8502B"/>
    <w:lvl w:ilvl="0" w:tentative="0">
      <w:start w:val="1"/>
      <w:numFmt w:val="upperLetter"/>
      <w:lvlText w:val="%1、"/>
      <w:lvlJc w:val="left"/>
      <w:pPr>
        <w:ind w:left="942" w:hanging="375"/>
      </w:pPr>
      <w:rPr>
        <w:rFonts w:hint="default"/>
      </w:rPr>
    </w:lvl>
    <w:lvl w:ilvl="1" w:tentative="0">
      <w:start w:val="1"/>
      <w:numFmt w:val="lowerLetter"/>
      <w:lvlText w:val="%2)"/>
      <w:lvlJc w:val="left"/>
      <w:pPr>
        <w:ind w:left="1265" w:hanging="420"/>
      </w:pPr>
    </w:lvl>
    <w:lvl w:ilvl="2" w:tentative="0">
      <w:start w:val="1"/>
      <w:numFmt w:val="lowerRoman"/>
      <w:lvlText w:val="%3."/>
      <w:lvlJc w:val="right"/>
      <w:pPr>
        <w:ind w:left="1685" w:hanging="420"/>
      </w:pPr>
    </w:lvl>
    <w:lvl w:ilvl="3" w:tentative="0">
      <w:start w:val="1"/>
      <w:numFmt w:val="decimal"/>
      <w:lvlText w:val="%4."/>
      <w:lvlJc w:val="left"/>
      <w:pPr>
        <w:ind w:left="2105" w:hanging="420"/>
      </w:pPr>
    </w:lvl>
    <w:lvl w:ilvl="4" w:tentative="0">
      <w:start w:val="1"/>
      <w:numFmt w:val="lowerLetter"/>
      <w:lvlText w:val="%5)"/>
      <w:lvlJc w:val="left"/>
      <w:pPr>
        <w:ind w:left="2525" w:hanging="420"/>
      </w:pPr>
    </w:lvl>
    <w:lvl w:ilvl="5" w:tentative="0">
      <w:start w:val="1"/>
      <w:numFmt w:val="lowerRoman"/>
      <w:lvlText w:val="%6."/>
      <w:lvlJc w:val="right"/>
      <w:pPr>
        <w:ind w:left="2945" w:hanging="420"/>
      </w:pPr>
    </w:lvl>
    <w:lvl w:ilvl="6" w:tentative="0">
      <w:start w:val="1"/>
      <w:numFmt w:val="decimal"/>
      <w:lvlText w:val="%7."/>
      <w:lvlJc w:val="left"/>
      <w:pPr>
        <w:ind w:left="3365" w:hanging="420"/>
      </w:pPr>
    </w:lvl>
    <w:lvl w:ilvl="7" w:tentative="0">
      <w:start w:val="1"/>
      <w:numFmt w:val="lowerLetter"/>
      <w:lvlText w:val="%8)"/>
      <w:lvlJc w:val="left"/>
      <w:pPr>
        <w:ind w:left="3785" w:hanging="420"/>
      </w:pPr>
    </w:lvl>
    <w:lvl w:ilvl="8" w:tentative="0">
      <w:start w:val="1"/>
      <w:numFmt w:val="lowerRoman"/>
      <w:lvlText w:val="%9."/>
      <w:lvlJc w:val="right"/>
      <w:pPr>
        <w:ind w:left="4205" w:hanging="420"/>
      </w:pPr>
    </w:lvl>
  </w:abstractNum>
  <w:abstractNum w:abstractNumId="31">
    <w:nsid w:val="25944ABD"/>
    <w:multiLevelType w:val="multilevel"/>
    <w:tmpl w:val="25944ABD"/>
    <w:lvl w:ilvl="0" w:tentative="0">
      <w:start w:val="1"/>
      <w:numFmt w:val="lowerLetter"/>
      <w:lvlText w:val="（%1）"/>
      <w:lvlJc w:val="left"/>
      <w:pPr>
        <w:ind w:left="1570" w:hanging="720"/>
      </w:pPr>
      <w:rPr>
        <w:rFonts w:hint="default"/>
      </w:rPr>
    </w:lvl>
    <w:lvl w:ilvl="1" w:tentative="0">
      <w:start w:val="1"/>
      <w:numFmt w:val="lowerLetter"/>
      <w:lvlText w:val="%2)"/>
      <w:lvlJc w:val="left"/>
      <w:pPr>
        <w:ind w:left="1690" w:hanging="420"/>
      </w:pPr>
    </w:lvl>
    <w:lvl w:ilvl="2" w:tentative="0">
      <w:start w:val="1"/>
      <w:numFmt w:val="lowerRoman"/>
      <w:lvlText w:val="%3."/>
      <w:lvlJc w:val="right"/>
      <w:pPr>
        <w:ind w:left="2110" w:hanging="420"/>
      </w:pPr>
    </w:lvl>
    <w:lvl w:ilvl="3" w:tentative="0">
      <w:start w:val="1"/>
      <w:numFmt w:val="decimal"/>
      <w:lvlText w:val="%4."/>
      <w:lvlJc w:val="left"/>
      <w:pPr>
        <w:ind w:left="2530" w:hanging="420"/>
      </w:pPr>
    </w:lvl>
    <w:lvl w:ilvl="4" w:tentative="0">
      <w:start w:val="1"/>
      <w:numFmt w:val="lowerLetter"/>
      <w:lvlText w:val="%5)"/>
      <w:lvlJc w:val="left"/>
      <w:pPr>
        <w:ind w:left="2950" w:hanging="420"/>
      </w:pPr>
    </w:lvl>
    <w:lvl w:ilvl="5" w:tentative="0">
      <w:start w:val="1"/>
      <w:numFmt w:val="lowerRoman"/>
      <w:lvlText w:val="%6."/>
      <w:lvlJc w:val="right"/>
      <w:pPr>
        <w:ind w:left="3370" w:hanging="420"/>
      </w:pPr>
    </w:lvl>
    <w:lvl w:ilvl="6" w:tentative="0">
      <w:start w:val="1"/>
      <w:numFmt w:val="decimal"/>
      <w:lvlText w:val="%7."/>
      <w:lvlJc w:val="left"/>
      <w:pPr>
        <w:ind w:left="3790" w:hanging="420"/>
      </w:pPr>
    </w:lvl>
    <w:lvl w:ilvl="7" w:tentative="0">
      <w:start w:val="1"/>
      <w:numFmt w:val="lowerLetter"/>
      <w:lvlText w:val="%8)"/>
      <w:lvlJc w:val="left"/>
      <w:pPr>
        <w:ind w:left="4210" w:hanging="420"/>
      </w:pPr>
    </w:lvl>
    <w:lvl w:ilvl="8" w:tentative="0">
      <w:start w:val="1"/>
      <w:numFmt w:val="lowerRoman"/>
      <w:lvlText w:val="%9."/>
      <w:lvlJc w:val="right"/>
      <w:pPr>
        <w:ind w:left="4630" w:hanging="420"/>
      </w:pPr>
    </w:lvl>
  </w:abstractNum>
  <w:abstractNum w:abstractNumId="32">
    <w:nsid w:val="337A17B2"/>
    <w:multiLevelType w:val="multilevel"/>
    <w:tmpl w:val="337A17B2"/>
    <w:lvl w:ilvl="0" w:tentative="0">
      <w:start w:val="1"/>
      <w:numFmt w:val="decimal"/>
      <w:lvlText w:val="（%1）"/>
      <w:lvlJc w:val="left"/>
      <w:pPr>
        <w:ind w:left="420" w:hanging="420"/>
      </w:pPr>
      <w:rPr>
        <w:rFonts w:hint="default"/>
      </w:rPr>
    </w:lvl>
    <w:lvl w:ilvl="1" w:tentative="0">
      <w:start w:val="1"/>
      <w:numFmt w:val="decimal"/>
      <w:lvlText w:val="（%2）"/>
      <w:lvlJc w:val="left"/>
      <w:pPr>
        <w:ind w:left="1140" w:hanging="720"/>
      </w:pPr>
      <w:rPr>
        <w:rFonts w:hint="default"/>
      </w:rPr>
    </w:lvl>
    <w:lvl w:ilvl="2" w:tentative="0">
      <w:start w:val="2"/>
      <w:numFmt w:val="decimalEnclosedCircle"/>
      <w:lvlText w:val="%3"/>
      <w:lvlJc w:val="left"/>
      <w:pPr>
        <w:ind w:left="1200" w:hanging="360"/>
      </w:pPr>
      <w:rPr>
        <w:rFonts w:hint="default"/>
      </w:r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3">
    <w:nsid w:val="352A3AA2"/>
    <w:multiLevelType w:val="singleLevel"/>
    <w:tmpl w:val="352A3AA2"/>
    <w:lvl w:ilvl="0" w:tentative="0">
      <w:start w:val="1"/>
      <w:numFmt w:val="decimal"/>
      <w:lvlText w:val="%1)"/>
      <w:lvlJc w:val="left"/>
      <w:pPr>
        <w:ind w:left="425" w:hanging="425"/>
      </w:pPr>
      <w:rPr>
        <w:rFonts w:hint="default"/>
      </w:rPr>
    </w:lvl>
  </w:abstractNum>
  <w:abstractNum w:abstractNumId="34">
    <w:nsid w:val="37DB7C04"/>
    <w:multiLevelType w:val="multilevel"/>
    <w:tmpl w:val="37DB7C04"/>
    <w:lvl w:ilvl="0" w:tentative="0">
      <w:start w:val="1"/>
      <w:numFmt w:val="decimal"/>
      <w:lvlText w:val="%1）"/>
      <w:lvlJc w:val="left"/>
      <w:pPr>
        <w:ind w:left="4672" w:hanging="4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5">
    <w:nsid w:val="3DEB2E27"/>
    <w:multiLevelType w:val="multilevel"/>
    <w:tmpl w:val="3DEB2E27"/>
    <w:lvl w:ilvl="0" w:tentative="0">
      <w:start w:val="1"/>
      <w:numFmt w:val="upperLetter"/>
      <w:lvlText w:val="%1、"/>
      <w:lvlJc w:val="left"/>
      <w:pPr>
        <w:ind w:left="942" w:hanging="375"/>
      </w:pPr>
      <w:rPr>
        <w:rFonts w:hint="default"/>
      </w:rPr>
    </w:lvl>
    <w:lvl w:ilvl="1" w:tentative="0">
      <w:start w:val="1"/>
      <w:numFmt w:val="lowerLetter"/>
      <w:lvlText w:val="%2)"/>
      <w:lvlJc w:val="left"/>
      <w:pPr>
        <w:ind w:left="1265" w:hanging="420"/>
      </w:pPr>
    </w:lvl>
    <w:lvl w:ilvl="2" w:tentative="0">
      <w:start w:val="1"/>
      <w:numFmt w:val="lowerRoman"/>
      <w:lvlText w:val="%3."/>
      <w:lvlJc w:val="right"/>
      <w:pPr>
        <w:ind w:left="1685" w:hanging="420"/>
      </w:pPr>
    </w:lvl>
    <w:lvl w:ilvl="3" w:tentative="0">
      <w:start w:val="1"/>
      <w:numFmt w:val="decimal"/>
      <w:lvlText w:val="%4."/>
      <w:lvlJc w:val="left"/>
      <w:pPr>
        <w:ind w:left="2105" w:hanging="420"/>
      </w:pPr>
    </w:lvl>
    <w:lvl w:ilvl="4" w:tentative="0">
      <w:start w:val="1"/>
      <w:numFmt w:val="lowerLetter"/>
      <w:lvlText w:val="%5)"/>
      <w:lvlJc w:val="left"/>
      <w:pPr>
        <w:ind w:left="2525" w:hanging="420"/>
      </w:pPr>
    </w:lvl>
    <w:lvl w:ilvl="5" w:tentative="0">
      <w:start w:val="1"/>
      <w:numFmt w:val="lowerRoman"/>
      <w:lvlText w:val="%6."/>
      <w:lvlJc w:val="right"/>
      <w:pPr>
        <w:ind w:left="2945" w:hanging="420"/>
      </w:pPr>
    </w:lvl>
    <w:lvl w:ilvl="6" w:tentative="0">
      <w:start w:val="1"/>
      <w:numFmt w:val="decimal"/>
      <w:lvlText w:val="%7."/>
      <w:lvlJc w:val="left"/>
      <w:pPr>
        <w:ind w:left="3365" w:hanging="420"/>
      </w:pPr>
    </w:lvl>
    <w:lvl w:ilvl="7" w:tentative="0">
      <w:start w:val="1"/>
      <w:numFmt w:val="lowerLetter"/>
      <w:lvlText w:val="%8)"/>
      <w:lvlJc w:val="left"/>
      <w:pPr>
        <w:ind w:left="3785" w:hanging="420"/>
      </w:pPr>
    </w:lvl>
    <w:lvl w:ilvl="8" w:tentative="0">
      <w:start w:val="1"/>
      <w:numFmt w:val="lowerRoman"/>
      <w:lvlText w:val="%9."/>
      <w:lvlJc w:val="right"/>
      <w:pPr>
        <w:ind w:left="4205" w:hanging="420"/>
      </w:pPr>
    </w:lvl>
  </w:abstractNum>
  <w:abstractNum w:abstractNumId="36">
    <w:nsid w:val="3F4E55EF"/>
    <w:multiLevelType w:val="multilevel"/>
    <w:tmpl w:val="3F4E55EF"/>
    <w:lvl w:ilvl="0" w:tentative="0">
      <w:start w:val="1"/>
      <w:numFmt w:val="upperLetter"/>
      <w:lvlText w:val="%1、"/>
      <w:lvlJc w:val="left"/>
      <w:pPr>
        <w:ind w:left="942" w:hanging="375"/>
      </w:pPr>
      <w:rPr>
        <w:rFonts w:hint="default"/>
        <w:b w:val="0"/>
      </w:rPr>
    </w:lvl>
    <w:lvl w:ilvl="1" w:tentative="0">
      <w:start w:val="1"/>
      <w:numFmt w:val="lowerLetter"/>
      <w:lvlText w:val="%2)"/>
      <w:lvlJc w:val="left"/>
      <w:pPr>
        <w:ind w:left="1265" w:hanging="420"/>
      </w:pPr>
    </w:lvl>
    <w:lvl w:ilvl="2" w:tentative="0">
      <w:start w:val="1"/>
      <w:numFmt w:val="lowerRoman"/>
      <w:lvlText w:val="%3."/>
      <w:lvlJc w:val="right"/>
      <w:pPr>
        <w:ind w:left="1685" w:hanging="420"/>
      </w:pPr>
    </w:lvl>
    <w:lvl w:ilvl="3" w:tentative="0">
      <w:start w:val="1"/>
      <w:numFmt w:val="decimal"/>
      <w:lvlText w:val="%4."/>
      <w:lvlJc w:val="left"/>
      <w:pPr>
        <w:ind w:left="2105" w:hanging="420"/>
      </w:pPr>
    </w:lvl>
    <w:lvl w:ilvl="4" w:tentative="0">
      <w:start w:val="1"/>
      <w:numFmt w:val="lowerLetter"/>
      <w:lvlText w:val="%5)"/>
      <w:lvlJc w:val="left"/>
      <w:pPr>
        <w:ind w:left="2525" w:hanging="420"/>
      </w:pPr>
    </w:lvl>
    <w:lvl w:ilvl="5" w:tentative="0">
      <w:start w:val="1"/>
      <w:numFmt w:val="lowerRoman"/>
      <w:lvlText w:val="%6."/>
      <w:lvlJc w:val="right"/>
      <w:pPr>
        <w:ind w:left="2945" w:hanging="420"/>
      </w:pPr>
    </w:lvl>
    <w:lvl w:ilvl="6" w:tentative="0">
      <w:start w:val="1"/>
      <w:numFmt w:val="decimal"/>
      <w:lvlText w:val="%7."/>
      <w:lvlJc w:val="left"/>
      <w:pPr>
        <w:ind w:left="3365" w:hanging="420"/>
      </w:pPr>
    </w:lvl>
    <w:lvl w:ilvl="7" w:tentative="0">
      <w:start w:val="1"/>
      <w:numFmt w:val="lowerLetter"/>
      <w:lvlText w:val="%8)"/>
      <w:lvlJc w:val="left"/>
      <w:pPr>
        <w:ind w:left="3785" w:hanging="420"/>
      </w:pPr>
    </w:lvl>
    <w:lvl w:ilvl="8" w:tentative="0">
      <w:start w:val="1"/>
      <w:numFmt w:val="lowerRoman"/>
      <w:lvlText w:val="%9."/>
      <w:lvlJc w:val="right"/>
      <w:pPr>
        <w:ind w:left="4205" w:hanging="420"/>
      </w:pPr>
    </w:lvl>
  </w:abstractNum>
  <w:abstractNum w:abstractNumId="37">
    <w:nsid w:val="3FA9A638"/>
    <w:multiLevelType w:val="multilevel"/>
    <w:tmpl w:val="3FA9A638"/>
    <w:lvl w:ilvl="0" w:tentative="0">
      <w:start w:val="1"/>
      <w:numFmt w:val="decimal"/>
      <w:lvlText w:val="%1)"/>
      <w:lvlJc w:val="left"/>
      <w:pPr>
        <w:ind w:left="1464" w:hanging="420"/>
      </w:pPr>
    </w:lvl>
    <w:lvl w:ilvl="1" w:tentative="0">
      <w:start w:val="1"/>
      <w:numFmt w:val="lowerLetter"/>
      <w:pStyle w:val="9"/>
      <w:lvlText w:val="%2)"/>
      <w:lvlJc w:val="left"/>
      <w:pPr>
        <w:ind w:left="1884" w:hanging="420"/>
      </w:pPr>
    </w:lvl>
    <w:lvl w:ilvl="2" w:tentative="0">
      <w:start w:val="1"/>
      <w:numFmt w:val="lowerRoman"/>
      <w:pStyle w:val="10"/>
      <w:lvlText w:val="%3."/>
      <w:lvlJc w:val="right"/>
      <w:pPr>
        <w:ind w:left="2304" w:hanging="420"/>
      </w:pPr>
    </w:lvl>
    <w:lvl w:ilvl="3" w:tentative="0">
      <w:start w:val="1"/>
      <w:numFmt w:val="decimal"/>
      <w:lvlText w:val="%4."/>
      <w:lvlJc w:val="left"/>
      <w:pPr>
        <w:ind w:left="2724" w:hanging="420"/>
      </w:pPr>
    </w:lvl>
    <w:lvl w:ilvl="4" w:tentative="0">
      <w:start w:val="1"/>
      <w:numFmt w:val="lowerLetter"/>
      <w:lvlText w:val="%5)"/>
      <w:lvlJc w:val="left"/>
      <w:pPr>
        <w:ind w:left="3144" w:hanging="420"/>
      </w:pPr>
    </w:lvl>
    <w:lvl w:ilvl="5" w:tentative="0">
      <w:start w:val="1"/>
      <w:numFmt w:val="lowerRoman"/>
      <w:lvlText w:val="%6."/>
      <w:lvlJc w:val="right"/>
      <w:pPr>
        <w:ind w:left="3564" w:hanging="420"/>
      </w:pPr>
    </w:lvl>
    <w:lvl w:ilvl="6" w:tentative="0">
      <w:start w:val="1"/>
      <w:numFmt w:val="decimal"/>
      <w:lvlText w:val="%7."/>
      <w:lvlJc w:val="left"/>
      <w:pPr>
        <w:ind w:left="3984" w:hanging="420"/>
      </w:pPr>
    </w:lvl>
    <w:lvl w:ilvl="7" w:tentative="0">
      <w:start w:val="1"/>
      <w:numFmt w:val="lowerLetter"/>
      <w:lvlText w:val="%8)"/>
      <w:lvlJc w:val="left"/>
      <w:pPr>
        <w:ind w:left="4404" w:hanging="420"/>
      </w:pPr>
    </w:lvl>
    <w:lvl w:ilvl="8" w:tentative="0">
      <w:start w:val="1"/>
      <w:numFmt w:val="lowerRoman"/>
      <w:lvlText w:val="%9."/>
      <w:lvlJc w:val="right"/>
      <w:pPr>
        <w:ind w:left="4824" w:hanging="420"/>
      </w:pPr>
    </w:lvl>
  </w:abstractNum>
  <w:abstractNum w:abstractNumId="38">
    <w:nsid w:val="416A463D"/>
    <w:multiLevelType w:val="multilevel"/>
    <w:tmpl w:val="416A463D"/>
    <w:lvl w:ilvl="0" w:tentative="0">
      <w:start w:val="7"/>
      <w:numFmt w:val="decimal"/>
      <w:lvlText w:val="%1）"/>
      <w:lvlJc w:val="left"/>
      <w:pPr>
        <w:ind w:left="108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decimal"/>
      <w:lvlText w:val="（%6）"/>
      <w:lvlJc w:val="left"/>
      <w:pPr>
        <w:ind w:left="2520" w:hanging="420"/>
      </w:pPr>
      <w:rPr>
        <w:rFonts w:hint="eastAsia"/>
      </w:r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9">
    <w:nsid w:val="418E386D"/>
    <w:multiLevelType w:val="multilevel"/>
    <w:tmpl w:val="418E386D"/>
    <w:lvl w:ilvl="0" w:tentative="0">
      <w:start w:val="1"/>
      <w:numFmt w:val="decimal"/>
      <w:lvlText w:val="第%1章 "/>
      <w:lvlJc w:val="left"/>
      <w:pPr>
        <w:ind w:left="971" w:hanging="534"/>
      </w:pPr>
      <w:rPr>
        <w:rFonts w:hint="default"/>
      </w:rPr>
    </w:lvl>
    <w:lvl w:ilvl="1" w:tentative="0">
      <w:start w:val="1"/>
      <w:numFmt w:val="decimal"/>
      <w:lvlText w:val="%1.%2."/>
      <w:lvlJc w:val="left"/>
      <w:pPr>
        <w:ind w:left="1384" w:hanging="534"/>
      </w:pPr>
      <w:rPr>
        <w:rFonts w:hint="default" w:ascii="Times New Roman" w:hAnsi="Times New Roman" w:eastAsia="宋体" w:cs="Times New Roman"/>
        <w:w w:val="100"/>
        <w:sz w:val="30"/>
        <w:szCs w:val="30"/>
      </w:rPr>
    </w:lvl>
    <w:lvl w:ilvl="2" w:tentative="0">
      <w:start w:val="1"/>
      <w:numFmt w:val="decimal"/>
      <w:lvlText w:val="%1.%2.%3."/>
      <w:lvlJc w:val="left"/>
      <w:pPr>
        <w:ind w:left="1044" w:hanging="607"/>
      </w:pPr>
      <w:rPr>
        <w:rFonts w:hint="default" w:ascii="Times New Roman" w:hAnsi="Times New Roman" w:eastAsia="宋体" w:cs="Times New Roman"/>
        <w:w w:val="100"/>
        <w:sz w:val="24"/>
        <w:szCs w:val="24"/>
      </w:rPr>
    </w:lvl>
    <w:lvl w:ilvl="3" w:tentative="0">
      <w:start w:val="1"/>
      <w:numFmt w:val="decimal"/>
      <w:lvlText w:val="%4)"/>
      <w:lvlJc w:val="left"/>
      <w:pPr>
        <w:ind w:left="0" w:firstLine="726"/>
      </w:pPr>
      <w:rPr>
        <w:rFonts w:hint="default"/>
      </w:rPr>
    </w:lvl>
    <w:lvl w:ilvl="4" w:tentative="0">
      <w:start w:val="0"/>
      <w:numFmt w:val="bullet"/>
      <w:lvlText w:val="•"/>
      <w:lvlJc w:val="left"/>
      <w:pPr>
        <w:ind w:left="3888" w:hanging="607"/>
      </w:pPr>
      <w:rPr>
        <w:rFonts w:hint="default"/>
      </w:rPr>
    </w:lvl>
    <w:lvl w:ilvl="5" w:tentative="0">
      <w:start w:val="0"/>
      <w:numFmt w:val="bullet"/>
      <w:lvlText w:val="•"/>
      <w:lvlJc w:val="left"/>
      <w:pPr>
        <w:ind w:left="4838" w:hanging="607"/>
      </w:pPr>
      <w:rPr>
        <w:rFonts w:hint="default"/>
      </w:rPr>
    </w:lvl>
    <w:lvl w:ilvl="6" w:tentative="0">
      <w:start w:val="0"/>
      <w:numFmt w:val="bullet"/>
      <w:lvlText w:val="•"/>
      <w:lvlJc w:val="left"/>
      <w:pPr>
        <w:ind w:left="5787" w:hanging="607"/>
      </w:pPr>
      <w:rPr>
        <w:rFonts w:hint="default"/>
      </w:rPr>
    </w:lvl>
    <w:lvl w:ilvl="7" w:tentative="0">
      <w:start w:val="0"/>
      <w:numFmt w:val="bullet"/>
      <w:lvlText w:val="•"/>
      <w:lvlJc w:val="left"/>
      <w:pPr>
        <w:ind w:left="6737" w:hanging="607"/>
      </w:pPr>
      <w:rPr>
        <w:rFonts w:hint="default"/>
      </w:rPr>
    </w:lvl>
    <w:lvl w:ilvl="8" w:tentative="0">
      <w:start w:val="0"/>
      <w:numFmt w:val="bullet"/>
      <w:lvlText w:val="•"/>
      <w:lvlJc w:val="left"/>
      <w:pPr>
        <w:ind w:left="7686" w:hanging="607"/>
      </w:pPr>
      <w:rPr>
        <w:rFonts w:hint="default"/>
      </w:rPr>
    </w:lvl>
  </w:abstractNum>
  <w:abstractNum w:abstractNumId="40">
    <w:nsid w:val="4A7FBFB5"/>
    <w:multiLevelType w:val="singleLevel"/>
    <w:tmpl w:val="4A7FBFB5"/>
    <w:lvl w:ilvl="0" w:tentative="0">
      <w:start w:val="1"/>
      <w:numFmt w:val="decimal"/>
      <w:suff w:val="nothing"/>
      <w:lvlText w:val="%1）"/>
      <w:lvlJc w:val="left"/>
    </w:lvl>
  </w:abstractNum>
  <w:abstractNum w:abstractNumId="41">
    <w:nsid w:val="4AA615E9"/>
    <w:multiLevelType w:val="multilevel"/>
    <w:tmpl w:val="4AA615E9"/>
    <w:lvl w:ilvl="0" w:tentative="0">
      <w:start w:val="1"/>
      <w:numFmt w:val="upperLetter"/>
      <w:lvlText w:val="%1、"/>
      <w:lvlJc w:val="left"/>
      <w:pPr>
        <w:ind w:left="942" w:hanging="375"/>
      </w:pPr>
      <w:rPr>
        <w:rFonts w:hint="default"/>
      </w:rPr>
    </w:lvl>
    <w:lvl w:ilvl="1" w:tentative="0">
      <w:start w:val="1"/>
      <w:numFmt w:val="lowerLetter"/>
      <w:lvlText w:val="%2)"/>
      <w:lvlJc w:val="left"/>
      <w:pPr>
        <w:ind w:left="1265" w:hanging="420"/>
      </w:pPr>
    </w:lvl>
    <w:lvl w:ilvl="2" w:tentative="0">
      <w:start w:val="1"/>
      <w:numFmt w:val="lowerRoman"/>
      <w:lvlText w:val="%3."/>
      <w:lvlJc w:val="right"/>
      <w:pPr>
        <w:ind w:left="1685" w:hanging="420"/>
      </w:pPr>
    </w:lvl>
    <w:lvl w:ilvl="3" w:tentative="0">
      <w:start w:val="1"/>
      <w:numFmt w:val="decimal"/>
      <w:lvlText w:val="%4."/>
      <w:lvlJc w:val="left"/>
      <w:pPr>
        <w:ind w:left="2105" w:hanging="420"/>
      </w:pPr>
    </w:lvl>
    <w:lvl w:ilvl="4" w:tentative="0">
      <w:start w:val="1"/>
      <w:numFmt w:val="lowerLetter"/>
      <w:lvlText w:val="%5)"/>
      <w:lvlJc w:val="left"/>
      <w:pPr>
        <w:ind w:left="2525" w:hanging="420"/>
      </w:pPr>
    </w:lvl>
    <w:lvl w:ilvl="5" w:tentative="0">
      <w:start w:val="1"/>
      <w:numFmt w:val="lowerRoman"/>
      <w:lvlText w:val="%6."/>
      <w:lvlJc w:val="right"/>
      <w:pPr>
        <w:ind w:left="2945" w:hanging="420"/>
      </w:pPr>
    </w:lvl>
    <w:lvl w:ilvl="6" w:tentative="0">
      <w:start w:val="1"/>
      <w:numFmt w:val="decimal"/>
      <w:lvlText w:val="%7."/>
      <w:lvlJc w:val="left"/>
      <w:pPr>
        <w:ind w:left="3365" w:hanging="420"/>
      </w:pPr>
    </w:lvl>
    <w:lvl w:ilvl="7" w:tentative="0">
      <w:start w:val="1"/>
      <w:numFmt w:val="lowerLetter"/>
      <w:lvlText w:val="%8)"/>
      <w:lvlJc w:val="left"/>
      <w:pPr>
        <w:ind w:left="3785" w:hanging="420"/>
      </w:pPr>
    </w:lvl>
    <w:lvl w:ilvl="8" w:tentative="0">
      <w:start w:val="1"/>
      <w:numFmt w:val="lowerRoman"/>
      <w:lvlText w:val="%9."/>
      <w:lvlJc w:val="right"/>
      <w:pPr>
        <w:ind w:left="4205" w:hanging="420"/>
      </w:pPr>
    </w:lvl>
  </w:abstractNum>
  <w:abstractNum w:abstractNumId="42">
    <w:nsid w:val="4E537D8D"/>
    <w:multiLevelType w:val="multilevel"/>
    <w:tmpl w:val="4E537D8D"/>
    <w:lvl w:ilvl="0" w:tentative="0">
      <w:start w:val="1"/>
      <w:numFmt w:val="decimal"/>
      <w:lvlText w:val="%1）"/>
      <w:lvlJc w:val="left"/>
      <w:pPr>
        <w:ind w:left="1080" w:hanging="360"/>
      </w:pPr>
      <w:rPr>
        <w:rFonts w:hint="default"/>
      </w:rPr>
    </w:lvl>
    <w:lvl w:ilvl="1" w:tentative="0">
      <w:start w:val="1"/>
      <w:numFmt w:val="lowerLetter"/>
      <w:lvlText w:val="%2)"/>
      <w:lvlJc w:val="left"/>
      <w:pPr>
        <w:ind w:left="1560" w:hanging="420"/>
      </w:pPr>
    </w:lvl>
    <w:lvl w:ilvl="2" w:tentative="0">
      <w:start w:val="1"/>
      <w:numFmt w:val="lowerRoman"/>
      <w:lvlText w:val="%3."/>
      <w:lvlJc w:val="right"/>
      <w:pPr>
        <w:ind w:left="1980" w:hanging="420"/>
      </w:pPr>
    </w:lvl>
    <w:lvl w:ilvl="3" w:tentative="0">
      <w:start w:val="1"/>
      <w:numFmt w:val="decimal"/>
      <w:lvlText w:val="%4."/>
      <w:lvlJc w:val="left"/>
      <w:pPr>
        <w:ind w:left="2400" w:hanging="420"/>
      </w:pPr>
    </w:lvl>
    <w:lvl w:ilvl="4" w:tentative="0">
      <w:start w:val="1"/>
      <w:numFmt w:val="lowerLetter"/>
      <w:lvlText w:val="%5)"/>
      <w:lvlJc w:val="left"/>
      <w:pPr>
        <w:ind w:left="2820" w:hanging="420"/>
      </w:pPr>
    </w:lvl>
    <w:lvl w:ilvl="5" w:tentative="0">
      <w:start w:val="1"/>
      <w:numFmt w:val="lowerRoman"/>
      <w:lvlText w:val="%6."/>
      <w:lvlJc w:val="right"/>
      <w:pPr>
        <w:ind w:left="3240" w:hanging="420"/>
      </w:pPr>
    </w:lvl>
    <w:lvl w:ilvl="6" w:tentative="0">
      <w:start w:val="1"/>
      <w:numFmt w:val="decimal"/>
      <w:lvlText w:val="%7."/>
      <w:lvlJc w:val="left"/>
      <w:pPr>
        <w:ind w:left="3660" w:hanging="420"/>
      </w:pPr>
    </w:lvl>
    <w:lvl w:ilvl="7" w:tentative="0">
      <w:start w:val="1"/>
      <w:numFmt w:val="lowerLetter"/>
      <w:lvlText w:val="%8)"/>
      <w:lvlJc w:val="left"/>
      <w:pPr>
        <w:ind w:left="4080" w:hanging="420"/>
      </w:pPr>
    </w:lvl>
    <w:lvl w:ilvl="8" w:tentative="0">
      <w:start w:val="1"/>
      <w:numFmt w:val="lowerRoman"/>
      <w:lvlText w:val="%9."/>
      <w:lvlJc w:val="right"/>
      <w:pPr>
        <w:ind w:left="4500" w:hanging="420"/>
      </w:pPr>
    </w:lvl>
  </w:abstractNum>
  <w:abstractNum w:abstractNumId="43">
    <w:nsid w:val="507B5128"/>
    <w:multiLevelType w:val="multilevel"/>
    <w:tmpl w:val="507B5128"/>
    <w:lvl w:ilvl="0" w:tentative="0">
      <w:start w:val="1"/>
      <w:numFmt w:val="upperLetter"/>
      <w:lvlText w:val="%1、"/>
      <w:lvlJc w:val="left"/>
      <w:pPr>
        <w:ind w:left="942" w:hanging="375"/>
      </w:pPr>
      <w:rPr>
        <w:rFonts w:hint="default"/>
      </w:rPr>
    </w:lvl>
    <w:lvl w:ilvl="1" w:tentative="0">
      <w:start w:val="1"/>
      <w:numFmt w:val="lowerLetter"/>
      <w:lvlText w:val="%2)"/>
      <w:lvlJc w:val="left"/>
      <w:pPr>
        <w:ind w:left="1265" w:hanging="420"/>
      </w:pPr>
    </w:lvl>
    <w:lvl w:ilvl="2" w:tentative="0">
      <w:start w:val="1"/>
      <w:numFmt w:val="lowerRoman"/>
      <w:lvlText w:val="%3."/>
      <w:lvlJc w:val="right"/>
      <w:pPr>
        <w:ind w:left="1685" w:hanging="420"/>
      </w:pPr>
    </w:lvl>
    <w:lvl w:ilvl="3" w:tentative="0">
      <w:start w:val="1"/>
      <w:numFmt w:val="decimal"/>
      <w:lvlText w:val="%4."/>
      <w:lvlJc w:val="left"/>
      <w:pPr>
        <w:ind w:left="2105" w:hanging="420"/>
      </w:pPr>
    </w:lvl>
    <w:lvl w:ilvl="4" w:tentative="0">
      <w:start w:val="1"/>
      <w:numFmt w:val="lowerLetter"/>
      <w:lvlText w:val="%5)"/>
      <w:lvlJc w:val="left"/>
      <w:pPr>
        <w:ind w:left="2525" w:hanging="420"/>
      </w:pPr>
    </w:lvl>
    <w:lvl w:ilvl="5" w:tentative="0">
      <w:start w:val="1"/>
      <w:numFmt w:val="lowerRoman"/>
      <w:lvlText w:val="%6."/>
      <w:lvlJc w:val="right"/>
      <w:pPr>
        <w:ind w:left="2945" w:hanging="420"/>
      </w:pPr>
    </w:lvl>
    <w:lvl w:ilvl="6" w:tentative="0">
      <w:start w:val="1"/>
      <w:numFmt w:val="decimal"/>
      <w:lvlText w:val="%7."/>
      <w:lvlJc w:val="left"/>
      <w:pPr>
        <w:ind w:left="3365" w:hanging="420"/>
      </w:pPr>
    </w:lvl>
    <w:lvl w:ilvl="7" w:tentative="0">
      <w:start w:val="1"/>
      <w:numFmt w:val="lowerLetter"/>
      <w:lvlText w:val="%8)"/>
      <w:lvlJc w:val="left"/>
      <w:pPr>
        <w:ind w:left="3785" w:hanging="420"/>
      </w:pPr>
    </w:lvl>
    <w:lvl w:ilvl="8" w:tentative="0">
      <w:start w:val="1"/>
      <w:numFmt w:val="lowerRoman"/>
      <w:lvlText w:val="%9."/>
      <w:lvlJc w:val="right"/>
      <w:pPr>
        <w:ind w:left="4205" w:hanging="420"/>
      </w:pPr>
    </w:lvl>
  </w:abstractNum>
  <w:abstractNum w:abstractNumId="44">
    <w:nsid w:val="50E06DFD"/>
    <w:multiLevelType w:val="multilevel"/>
    <w:tmpl w:val="50E06DFD"/>
    <w:lvl w:ilvl="0" w:tentative="0">
      <w:start w:val="1"/>
      <w:numFmt w:val="upperLetter"/>
      <w:lvlText w:val="%1、"/>
      <w:lvlJc w:val="left"/>
      <w:pPr>
        <w:ind w:left="942" w:hanging="375"/>
      </w:pPr>
      <w:rPr>
        <w:rFonts w:hint="default"/>
      </w:rPr>
    </w:lvl>
    <w:lvl w:ilvl="1" w:tentative="0">
      <w:start w:val="1"/>
      <w:numFmt w:val="lowerLetter"/>
      <w:lvlText w:val="%2)"/>
      <w:lvlJc w:val="left"/>
      <w:pPr>
        <w:ind w:left="1265" w:hanging="420"/>
      </w:pPr>
    </w:lvl>
    <w:lvl w:ilvl="2" w:tentative="0">
      <w:start w:val="1"/>
      <w:numFmt w:val="lowerRoman"/>
      <w:lvlText w:val="%3."/>
      <w:lvlJc w:val="right"/>
      <w:pPr>
        <w:ind w:left="1685" w:hanging="420"/>
      </w:pPr>
    </w:lvl>
    <w:lvl w:ilvl="3" w:tentative="0">
      <w:start w:val="1"/>
      <w:numFmt w:val="decimal"/>
      <w:lvlText w:val="%4."/>
      <w:lvlJc w:val="left"/>
      <w:pPr>
        <w:ind w:left="2105" w:hanging="420"/>
      </w:pPr>
    </w:lvl>
    <w:lvl w:ilvl="4" w:tentative="0">
      <w:start w:val="1"/>
      <w:numFmt w:val="lowerLetter"/>
      <w:lvlText w:val="%5)"/>
      <w:lvlJc w:val="left"/>
      <w:pPr>
        <w:ind w:left="2525" w:hanging="420"/>
      </w:pPr>
    </w:lvl>
    <w:lvl w:ilvl="5" w:tentative="0">
      <w:start w:val="1"/>
      <w:numFmt w:val="lowerRoman"/>
      <w:lvlText w:val="%6."/>
      <w:lvlJc w:val="right"/>
      <w:pPr>
        <w:ind w:left="2945" w:hanging="420"/>
      </w:pPr>
    </w:lvl>
    <w:lvl w:ilvl="6" w:tentative="0">
      <w:start w:val="1"/>
      <w:numFmt w:val="decimal"/>
      <w:lvlText w:val="%7."/>
      <w:lvlJc w:val="left"/>
      <w:pPr>
        <w:ind w:left="3365" w:hanging="420"/>
      </w:pPr>
    </w:lvl>
    <w:lvl w:ilvl="7" w:tentative="0">
      <w:start w:val="1"/>
      <w:numFmt w:val="lowerLetter"/>
      <w:lvlText w:val="%8)"/>
      <w:lvlJc w:val="left"/>
      <w:pPr>
        <w:ind w:left="3785" w:hanging="420"/>
      </w:pPr>
    </w:lvl>
    <w:lvl w:ilvl="8" w:tentative="0">
      <w:start w:val="1"/>
      <w:numFmt w:val="lowerRoman"/>
      <w:lvlText w:val="%9."/>
      <w:lvlJc w:val="right"/>
      <w:pPr>
        <w:ind w:left="4205" w:hanging="420"/>
      </w:pPr>
    </w:lvl>
  </w:abstractNum>
  <w:abstractNum w:abstractNumId="45">
    <w:nsid w:val="53761D3C"/>
    <w:multiLevelType w:val="multilevel"/>
    <w:tmpl w:val="53761D3C"/>
    <w:lvl w:ilvl="0" w:tentative="0">
      <w:start w:val="1"/>
      <w:numFmt w:val="upperLetter"/>
      <w:lvlText w:val="%1、"/>
      <w:lvlJc w:val="left"/>
      <w:pPr>
        <w:ind w:left="942" w:hanging="375"/>
      </w:pPr>
      <w:rPr>
        <w:rFonts w:hint="default"/>
      </w:rPr>
    </w:lvl>
    <w:lvl w:ilvl="1" w:tentative="0">
      <w:start w:val="1"/>
      <w:numFmt w:val="lowerLetter"/>
      <w:lvlText w:val="%2)"/>
      <w:lvlJc w:val="left"/>
      <w:pPr>
        <w:ind w:left="1265" w:hanging="420"/>
      </w:pPr>
    </w:lvl>
    <w:lvl w:ilvl="2" w:tentative="0">
      <w:start w:val="1"/>
      <w:numFmt w:val="lowerRoman"/>
      <w:lvlText w:val="%3."/>
      <w:lvlJc w:val="right"/>
      <w:pPr>
        <w:ind w:left="1685" w:hanging="420"/>
      </w:pPr>
    </w:lvl>
    <w:lvl w:ilvl="3" w:tentative="0">
      <w:start w:val="1"/>
      <w:numFmt w:val="decimal"/>
      <w:lvlText w:val="%4."/>
      <w:lvlJc w:val="left"/>
      <w:pPr>
        <w:ind w:left="2105" w:hanging="420"/>
      </w:pPr>
    </w:lvl>
    <w:lvl w:ilvl="4" w:tentative="0">
      <w:start w:val="1"/>
      <w:numFmt w:val="lowerLetter"/>
      <w:lvlText w:val="%5)"/>
      <w:lvlJc w:val="left"/>
      <w:pPr>
        <w:ind w:left="2525" w:hanging="420"/>
      </w:pPr>
    </w:lvl>
    <w:lvl w:ilvl="5" w:tentative="0">
      <w:start w:val="1"/>
      <w:numFmt w:val="lowerRoman"/>
      <w:lvlText w:val="%6."/>
      <w:lvlJc w:val="right"/>
      <w:pPr>
        <w:ind w:left="2945" w:hanging="420"/>
      </w:pPr>
    </w:lvl>
    <w:lvl w:ilvl="6" w:tentative="0">
      <w:start w:val="1"/>
      <w:numFmt w:val="decimal"/>
      <w:lvlText w:val="%7."/>
      <w:lvlJc w:val="left"/>
      <w:pPr>
        <w:ind w:left="3365" w:hanging="420"/>
      </w:pPr>
    </w:lvl>
    <w:lvl w:ilvl="7" w:tentative="0">
      <w:start w:val="1"/>
      <w:numFmt w:val="lowerLetter"/>
      <w:lvlText w:val="%8)"/>
      <w:lvlJc w:val="left"/>
      <w:pPr>
        <w:ind w:left="3785" w:hanging="420"/>
      </w:pPr>
    </w:lvl>
    <w:lvl w:ilvl="8" w:tentative="0">
      <w:start w:val="1"/>
      <w:numFmt w:val="lowerRoman"/>
      <w:lvlText w:val="%9."/>
      <w:lvlJc w:val="right"/>
      <w:pPr>
        <w:ind w:left="4205" w:hanging="420"/>
      </w:pPr>
    </w:lvl>
  </w:abstractNum>
  <w:abstractNum w:abstractNumId="46">
    <w:nsid w:val="574C4899"/>
    <w:multiLevelType w:val="multilevel"/>
    <w:tmpl w:val="574C4899"/>
    <w:lvl w:ilvl="0" w:tentative="0">
      <w:start w:val="1"/>
      <w:numFmt w:val="lowerLetter"/>
      <w:lvlText w:val="（%1）"/>
      <w:lvlJc w:val="left"/>
      <w:pPr>
        <w:ind w:left="1712" w:hanging="720"/>
      </w:pPr>
      <w:rPr>
        <w:rFonts w:hint="default"/>
      </w:rPr>
    </w:lvl>
    <w:lvl w:ilvl="1" w:tentative="0">
      <w:start w:val="1"/>
      <w:numFmt w:val="lowerLetter"/>
      <w:lvlText w:val="%2)"/>
      <w:lvlJc w:val="left"/>
      <w:pPr>
        <w:ind w:left="1832" w:hanging="420"/>
      </w:pPr>
    </w:lvl>
    <w:lvl w:ilvl="2" w:tentative="0">
      <w:start w:val="1"/>
      <w:numFmt w:val="lowerRoman"/>
      <w:lvlText w:val="%3."/>
      <w:lvlJc w:val="right"/>
      <w:pPr>
        <w:ind w:left="2252" w:hanging="420"/>
      </w:pPr>
    </w:lvl>
    <w:lvl w:ilvl="3" w:tentative="0">
      <w:start w:val="1"/>
      <w:numFmt w:val="decimal"/>
      <w:lvlText w:val="%4."/>
      <w:lvlJc w:val="left"/>
      <w:pPr>
        <w:ind w:left="2672" w:hanging="420"/>
      </w:pPr>
    </w:lvl>
    <w:lvl w:ilvl="4" w:tentative="0">
      <w:start w:val="1"/>
      <w:numFmt w:val="lowerLetter"/>
      <w:lvlText w:val="%5)"/>
      <w:lvlJc w:val="left"/>
      <w:pPr>
        <w:ind w:left="3092" w:hanging="420"/>
      </w:pPr>
    </w:lvl>
    <w:lvl w:ilvl="5" w:tentative="0">
      <w:start w:val="1"/>
      <w:numFmt w:val="lowerRoman"/>
      <w:lvlText w:val="%6."/>
      <w:lvlJc w:val="right"/>
      <w:pPr>
        <w:ind w:left="3512" w:hanging="420"/>
      </w:pPr>
    </w:lvl>
    <w:lvl w:ilvl="6" w:tentative="0">
      <w:start w:val="1"/>
      <w:numFmt w:val="decimal"/>
      <w:lvlText w:val="%7."/>
      <w:lvlJc w:val="left"/>
      <w:pPr>
        <w:ind w:left="3932" w:hanging="420"/>
      </w:pPr>
    </w:lvl>
    <w:lvl w:ilvl="7" w:tentative="0">
      <w:start w:val="1"/>
      <w:numFmt w:val="lowerLetter"/>
      <w:lvlText w:val="%8)"/>
      <w:lvlJc w:val="left"/>
      <w:pPr>
        <w:ind w:left="4352" w:hanging="420"/>
      </w:pPr>
    </w:lvl>
    <w:lvl w:ilvl="8" w:tentative="0">
      <w:start w:val="1"/>
      <w:numFmt w:val="lowerRoman"/>
      <w:lvlText w:val="%9."/>
      <w:lvlJc w:val="right"/>
      <w:pPr>
        <w:ind w:left="4772" w:hanging="420"/>
      </w:pPr>
    </w:lvl>
  </w:abstractNum>
  <w:abstractNum w:abstractNumId="47">
    <w:nsid w:val="5C3649B6"/>
    <w:multiLevelType w:val="multilevel"/>
    <w:tmpl w:val="5C3649B6"/>
    <w:lvl w:ilvl="0" w:tentative="0">
      <w:start w:val="1"/>
      <w:numFmt w:val="upperLetter"/>
      <w:lvlText w:val="%1、"/>
      <w:lvlJc w:val="left"/>
      <w:pPr>
        <w:ind w:left="942" w:hanging="375"/>
      </w:pPr>
      <w:rPr>
        <w:rFonts w:hint="default"/>
      </w:rPr>
    </w:lvl>
    <w:lvl w:ilvl="1" w:tentative="0">
      <w:start w:val="1"/>
      <w:numFmt w:val="lowerLetter"/>
      <w:lvlText w:val="%2)"/>
      <w:lvlJc w:val="left"/>
      <w:pPr>
        <w:ind w:left="1265" w:hanging="420"/>
      </w:pPr>
    </w:lvl>
    <w:lvl w:ilvl="2" w:tentative="0">
      <w:start w:val="1"/>
      <w:numFmt w:val="lowerRoman"/>
      <w:lvlText w:val="%3."/>
      <w:lvlJc w:val="right"/>
      <w:pPr>
        <w:ind w:left="1685" w:hanging="420"/>
      </w:pPr>
    </w:lvl>
    <w:lvl w:ilvl="3" w:tentative="0">
      <w:start w:val="1"/>
      <w:numFmt w:val="decimal"/>
      <w:lvlText w:val="%4."/>
      <w:lvlJc w:val="left"/>
      <w:pPr>
        <w:ind w:left="2105" w:hanging="420"/>
      </w:pPr>
    </w:lvl>
    <w:lvl w:ilvl="4" w:tentative="0">
      <w:start w:val="1"/>
      <w:numFmt w:val="lowerLetter"/>
      <w:lvlText w:val="%5)"/>
      <w:lvlJc w:val="left"/>
      <w:pPr>
        <w:ind w:left="2525" w:hanging="420"/>
      </w:pPr>
    </w:lvl>
    <w:lvl w:ilvl="5" w:tentative="0">
      <w:start w:val="1"/>
      <w:numFmt w:val="lowerRoman"/>
      <w:lvlText w:val="%6."/>
      <w:lvlJc w:val="right"/>
      <w:pPr>
        <w:ind w:left="2945" w:hanging="420"/>
      </w:pPr>
    </w:lvl>
    <w:lvl w:ilvl="6" w:tentative="0">
      <w:start w:val="1"/>
      <w:numFmt w:val="decimal"/>
      <w:lvlText w:val="%7."/>
      <w:lvlJc w:val="left"/>
      <w:pPr>
        <w:ind w:left="3365" w:hanging="420"/>
      </w:pPr>
    </w:lvl>
    <w:lvl w:ilvl="7" w:tentative="0">
      <w:start w:val="1"/>
      <w:numFmt w:val="lowerLetter"/>
      <w:lvlText w:val="%8)"/>
      <w:lvlJc w:val="left"/>
      <w:pPr>
        <w:ind w:left="3785" w:hanging="420"/>
      </w:pPr>
    </w:lvl>
    <w:lvl w:ilvl="8" w:tentative="0">
      <w:start w:val="1"/>
      <w:numFmt w:val="lowerRoman"/>
      <w:lvlText w:val="%9."/>
      <w:lvlJc w:val="right"/>
      <w:pPr>
        <w:ind w:left="4205" w:hanging="420"/>
      </w:pPr>
    </w:lvl>
  </w:abstractNum>
  <w:abstractNum w:abstractNumId="48">
    <w:nsid w:val="63D4ED1A"/>
    <w:multiLevelType w:val="singleLevel"/>
    <w:tmpl w:val="63D4ED1A"/>
    <w:lvl w:ilvl="0" w:tentative="0">
      <w:start w:val="2"/>
      <w:numFmt w:val="chineseCounting"/>
      <w:pStyle w:val="244"/>
      <w:suff w:val="nothing"/>
      <w:lvlText w:val="%1、"/>
      <w:lvlJc w:val="left"/>
      <w:rPr>
        <w:rFonts w:hint="eastAsia"/>
      </w:rPr>
    </w:lvl>
  </w:abstractNum>
  <w:abstractNum w:abstractNumId="49">
    <w:nsid w:val="65815B1D"/>
    <w:multiLevelType w:val="multilevel"/>
    <w:tmpl w:val="65815B1D"/>
    <w:lvl w:ilvl="0" w:tentative="0">
      <w:start w:val="1"/>
      <w:numFmt w:val="decimal"/>
      <w:lvlText w:val="%1）"/>
      <w:lvlJc w:val="left"/>
      <w:pPr>
        <w:ind w:left="561" w:hanging="4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0">
    <w:nsid w:val="65B2FDE3"/>
    <w:multiLevelType w:val="singleLevel"/>
    <w:tmpl w:val="65B2FDE3"/>
    <w:lvl w:ilvl="0" w:tentative="0">
      <w:start w:val="1"/>
      <w:numFmt w:val="decimal"/>
      <w:lvlText w:val="%1)"/>
      <w:lvlJc w:val="left"/>
      <w:pPr>
        <w:ind w:left="425" w:hanging="425"/>
      </w:pPr>
      <w:rPr>
        <w:rFonts w:hint="default"/>
      </w:rPr>
    </w:lvl>
  </w:abstractNum>
  <w:abstractNum w:abstractNumId="51">
    <w:nsid w:val="66C116F8"/>
    <w:multiLevelType w:val="singleLevel"/>
    <w:tmpl w:val="66C116F8"/>
    <w:lvl w:ilvl="0" w:tentative="0">
      <w:start w:val="1"/>
      <w:numFmt w:val="decimal"/>
      <w:lvlText w:val="%1)"/>
      <w:lvlJc w:val="left"/>
      <w:pPr>
        <w:ind w:left="425" w:hanging="425"/>
      </w:pPr>
      <w:rPr>
        <w:rFonts w:hint="default"/>
      </w:rPr>
    </w:lvl>
  </w:abstractNum>
  <w:abstractNum w:abstractNumId="52">
    <w:nsid w:val="66CE4439"/>
    <w:multiLevelType w:val="multilevel"/>
    <w:tmpl w:val="66CE4439"/>
    <w:lvl w:ilvl="0" w:tentative="0">
      <w:start w:val="1"/>
      <w:numFmt w:val="upperLetter"/>
      <w:lvlText w:val="%1、"/>
      <w:lvlJc w:val="left"/>
      <w:pPr>
        <w:ind w:left="942" w:hanging="375"/>
      </w:pPr>
      <w:rPr>
        <w:rFonts w:hint="default"/>
        <w:b w:val="0"/>
      </w:rPr>
    </w:lvl>
    <w:lvl w:ilvl="1" w:tentative="0">
      <w:start w:val="1"/>
      <w:numFmt w:val="lowerLetter"/>
      <w:lvlText w:val="%2)"/>
      <w:lvlJc w:val="left"/>
      <w:pPr>
        <w:ind w:left="1265" w:hanging="420"/>
      </w:pPr>
    </w:lvl>
    <w:lvl w:ilvl="2" w:tentative="0">
      <w:start w:val="1"/>
      <w:numFmt w:val="lowerRoman"/>
      <w:lvlText w:val="%3."/>
      <w:lvlJc w:val="right"/>
      <w:pPr>
        <w:ind w:left="1685" w:hanging="420"/>
      </w:pPr>
    </w:lvl>
    <w:lvl w:ilvl="3" w:tentative="0">
      <w:start w:val="1"/>
      <w:numFmt w:val="decimal"/>
      <w:lvlText w:val="%4."/>
      <w:lvlJc w:val="left"/>
      <w:pPr>
        <w:ind w:left="2105" w:hanging="420"/>
      </w:pPr>
    </w:lvl>
    <w:lvl w:ilvl="4" w:tentative="0">
      <w:start w:val="1"/>
      <w:numFmt w:val="lowerLetter"/>
      <w:lvlText w:val="%5)"/>
      <w:lvlJc w:val="left"/>
      <w:pPr>
        <w:ind w:left="2525" w:hanging="420"/>
      </w:pPr>
    </w:lvl>
    <w:lvl w:ilvl="5" w:tentative="0">
      <w:start w:val="1"/>
      <w:numFmt w:val="lowerRoman"/>
      <w:lvlText w:val="%6."/>
      <w:lvlJc w:val="right"/>
      <w:pPr>
        <w:ind w:left="2945" w:hanging="420"/>
      </w:pPr>
    </w:lvl>
    <w:lvl w:ilvl="6" w:tentative="0">
      <w:start w:val="1"/>
      <w:numFmt w:val="decimal"/>
      <w:lvlText w:val="%7."/>
      <w:lvlJc w:val="left"/>
      <w:pPr>
        <w:ind w:left="3365" w:hanging="420"/>
      </w:pPr>
    </w:lvl>
    <w:lvl w:ilvl="7" w:tentative="0">
      <w:start w:val="1"/>
      <w:numFmt w:val="lowerLetter"/>
      <w:lvlText w:val="%8)"/>
      <w:lvlJc w:val="left"/>
      <w:pPr>
        <w:ind w:left="3785" w:hanging="420"/>
      </w:pPr>
    </w:lvl>
    <w:lvl w:ilvl="8" w:tentative="0">
      <w:start w:val="1"/>
      <w:numFmt w:val="lowerRoman"/>
      <w:lvlText w:val="%9."/>
      <w:lvlJc w:val="right"/>
      <w:pPr>
        <w:ind w:left="4205" w:hanging="420"/>
      </w:pPr>
    </w:lvl>
  </w:abstractNum>
  <w:abstractNum w:abstractNumId="53">
    <w:nsid w:val="6A186E16"/>
    <w:multiLevelType w:val="multilevel"/>
    <w:tmpl w:val="6A186E16"/>
    <w:lvl w:ilvl="0" w:tentative="0">
      <w:start w:val="1"/>
      <w:numFmt w:val="decimal"/>
      <w:pStyle w:val="3"/>
      <w:lvlText w:val="第%1章 "/>
      <w:lvlJc w:val="left"/>
      <w:pPr>
        <w:ind w:left="971" w:hanging="534"/>
      </w:pPr>
      <w:rPr>
        <w:rFonts w:hint="default"/>
      </w:rPr>
    </w:lvl>
    <w:lvl w:ilvl="1" w:tentative="0">
      <w:start w:val="1"/>
      <w:numFmt w:val="decimal"/>
      <w:pStyle w:val="4"/>
      <w:lvlText w:val="%1.%2."/>
      <w:lvlJc w:val="left"/>
      <w:pPr>
        <w:ind w:left="1384" w:hanging="534"/>
      </w:pPr>
      <w:rPr>
        <w:rFonts w:hint="default" w:ascii="Times New Roman" w:hAnsi="Times New Roman" w:eastAsia="宋体" w:cs="Times New Roman"/>
        <w:w w:val="100"/>
        <w:sz w:val="30"/>
        <w:szCs w:val="30"/>
      </w:rPr>
    </w:lvl>
    <w:lvl w:ilvl="2" w:tentative="0">
      <w:start w:val="1"/>
      <w:numFmt w:val="decimal"/>
      <w:pStyle w:val="5"/>
      <w:lvlText w:val="%1.%2.%3."/>
      <w:lvlJc w:val="left"/>
      <w:pPr>
        <w:ind w:left="1316" w:hanging="607"/>
      </w:pPr>
      <w:rPr>
        <w:rFonts w:hint="default" w:ascii="Times New Roman" w:hAnsi="Times New Roman" w:eastAsia="宋体" w:cs="Times New Roman"/>
        <w:w w:val="100"/>
        <w:sz w:val="24"/>
        <w:szCs w:val="24"/>
      </w:rPr>
    </w:lvl>
    <w:lvl w:ilvl="3" w:tentative="0">
      <w:start w:val="1"/>
      <w:numFmt w:val="decimal"/>
      <w:lvlText w:val="%1.%2.%3.%4"/>
      <w:lvlJc w:val="left"/>
      <w:pPr>
        <w:ind w:left="1883" w:hanging="607"/>
      </w:pPr>
      <w:rPr>
        <w:rFonts w:hint="default"/>
      </w:rPr>
    </w:lvl>
    <w:lvl w:ilvl="4" w:tentative="0">
      <w:start w:val="0"/>
      <w:numFmt w:val="bullet"/>
      <w:lvlText w:val="•"/>
      <w:lvlJc w:val="left"/>
      <w:pPr>
        <w:ind w:left="3888" w:hanging="607"/>
      </w:pPr>
      <w:rPr>
        <w:rFonts w:hint="default"/>
      </w:rPr>
    </w:lvl>
    <w:lvl w:ilvl="5" w:tentative="0">
      <w:start w:val="0"/>
      <w:numFmt w:val="bullet"/>
      <w:lvlText w:val="•"/>
      <w:lvlJc w:val="left"/>
      <w:pPr>
        <w:ind w:left="4838" w:hanging="607"/>
      </w:pPr>
      <w:rPr>
        <w:rFonts w:hint="default"/>
      </w:rPr>
    </w:lvl>
    <w:lvl w:ilvl="6" w:tentative="0">
      <w:start w:val="0"/>
      <w:numFmt w:val="bullet"/>
      <w:lvlText w:val="•"/>
      <w:lvlJc w:val="left"/>
      <w:pPr>
        <w:ind w:left="5787" w:hanging="607"/>
      </w:pPr>
      <w:rPr>
        <w:rFonts w:hint="default"/>
      </w:rPr>
    </w:lvl>
    <w:lvl w:ilvl="7" w:tentative="0">
      <w:start w:val="0"/>
      <w:numFmt w:val="bullet"/>
      <w:lvlText w:val="•"/>
      <w:lvlJc w:val="left"/>
      <w:pPr>
        <w:ind w:left="6737" w:hanging="607"/>
      </w:pPr>
      <w:rPr>
        <w:rFonts w:hint="default"/>
      </w:rPr>
    </w:lvl>
    <w:lvl w:ilvl="8" w:tentative="0">
      <w:start w:val="0"/>
      <w:numFmt w:val="bullet"/>
      <w:lvlText w:val="•"/>
      <w:lvlJc w:val="left"/>
      <w:pPr>
        <w:ind w:left="7686" w:hanging="607"/>
      </w:pPr>
      <w:rPr>
        <w:rFonts w:hint="default"/>
      </w:rPr>
    </w:lvl>
  </w:abstractNum>
  <w:abstractNum w:abstractNumId="54">
    <w:nsid w:val="6C472930"/>
    <w:multiLevelType w:val="multilevel"/>
    <w:tmpl w:val="6C472930"/>
    <w:lvl w:ilvl="0" w:tentative="0">
      <w:start w:val="1"/>
      <w:numFmt w:val="decimal"/>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5">
    <w:nsid w:val="6D396E39"/>
    <w:multiLevelType w:val="multilevel"/>
    <w:tmpl w:val="6D396E39"/>
    <w:lvl w:ilvl="0" w:tentative="0">
      <w:start w:val="1"/>
      <w:numFmt w:val="upperLetter"/>
      <w:lvlText w:val="%1、"/>
      <w:lvlJc w:val="left"/>
      <w:pPr>
        <w:ind w:left="942" w:hanging="375"/>
      </w:pPr>
      <w:rPr>
        <w:rFonts w:hint="default"/>
      </w:rPr>
    </w:lvl>
    <w:lvl w:ilvl="1" w:tentative="0">
      <w:start w:val="1"/>
      <w:numFmt w:val="lowerLetter"/>
      <w:lvlText w:val="%2)"/>
      <w:lvlJc w:val="left"/>
      <w:pPr>
        <w:ind w:left="1265" w:hanging="420"/>
      </w:pPr>
    </w:lvl>
    <w:lvl w:ilvl="2" w:tentative="0">
      <w:start w:val="1"/>
      <w:numFmt w:val="lowerRoman"/>
      <w:lvlText w:val="%3."/>
      <w:lvlJc w:val="right"/>
      <w:pPr>
        <w:ind w:left="1685" w:hanging="420"/>
      </w:pPr>
    </w:lvl>
    <w:lvl w:ilvl="3" w:tentative="0">
      <w:start w:val="1"/>
      <w:numFmt w:val="decimal"/>
      <w:lvlText w:val="%4."/>
      <w:lvlJc w:val="left"/>
      <w:pPr>
        <w:ind w:left="2105" w:hanging="420"/>
      </w:pPr>
    </w:lvl>
    <w:lvl w:ilvl="4" w:tentative="0">
      <w:start w:val="1"/>
      <w:numFmt w:val="lowerLetter"/>
      <w:lvlText w:val="%5)"/>
      <w:lvlJc w:val="left"/>
      <w:pPr>
        <w:ind w:left="2525" w:hanging="420"/>
      </w:pPr>
    </w:lvl>
    <w:lvl w:ilvl="5" w:tentative="0">
      <w:start w:val="1"/>
      <w:numFmt w:val="lowerRoman"/>
      <w:lvlText w:val="%6."/>
      <w:lvlJc w:val="right"/>
      <w:pPr>
        <w:ind w:left="2945" w:hanging="420"/>
      </w:pPr>
    </w:lvl>
    <w:lvl w:ilvl="6" w:tentative="0">
      <w:start w:val="1"/>
      <w:numFmt w:val="decimal"/>
      <w:lvlText w:val="%7."/>
      <w:lvlJc w:val="left"/>
      <w:pPr>
        <w:ind w:left="3365" w:hanging="420"/>
      </w:pPr>
    </w:lvl>
    <w:lvl w:ilvl="7" w:tentative="0">
      <w:start w:val="1"/>
      <w:numFmt w:val="lowerLetter"/>
      <w:lvlText w:val="%8)"/>
      <w:lvlJc w:val="left"/>
      <w:pPr>
        <w:ind w:left="3785" w:hanging="420"/>
      </w:pPr>
    </w:lvl>
    <w:lvl w:ilvl="8" w:tentative="0">
      <w:start w:val="1"/>
      <w:numFmt w:val="lowerRoman"/>
      <w:lvlText w:val="%9."/>
      <w:lvlJc w:val="right"/>
      <w:pPr>
        <w:ind w:left="4205" w:hanging="420"/>
      </w:pPr>
    </w:lvl>
  </w:abstractNum>
  <w:abstractNum w:abstractNumId="56">
    <w:nsid w:val="6D91206C"/>
    <w:multiLevelType w:val="multilevel"/>
    <w:tmpl w:val="6D91206C"/>
    <w:lvl w:ilvl="0" w:tentative="0">
      <w:start w:val="1"/>
      <w:numFmt w:val="decimal"/>
      <w:lvlText w:val="%1）"/>
      <w:lvlJc w:val="left"/>
      <w:pPr>
        <w:ind w:left="1129" w:hanging="4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7">
    <w:nsid w:val="6E667B7D"/>
    <w:multiLevelType w:val="multilevel"/>
    <w:tmpl w:val="6E667B7D"/>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8">
    <w:nsid w:val="70DCF15A"/>
    <w:multiLevelType w:val="singleLevel"/>
    <w:tmpl w:val="70DCF15A"/>
    <w:lvl w:ilvl="0" w:tentative="0">
      <w:start w:val="1"/>
      <w:numFmt w:val="decimal"/>
      <w:lvlText w:val="%1)"/>
      <w:lvlJc w:val="left"/>
      <w:pPr>
        <w:ind w:left="425" w:hanging="425"/>
      </w:pPr>
      <w:rPr>
        <w:rFonts w:hint="default"/>
        <w:strike w:val="0"/>
      </w:rPr>
    </w:lvl>
  </w:abstractNum>
  <w:abstractNum w:abstractNumId="59">
    <w:nsid w:val="76696DB7"/>
    <w:multiLevelType w:val="multilevel"/>
    <w:tmpl w:val="76696DB7"/>
    <w:lvl w:ilvl="0" w:tentative="0">
      <w:start w:val="1"/>
      <w:numFmt w:val="decimal"/>
      <w:lvlText w:val="%1）"/>
      <w:lvlJc w:val="left"/>
      <w:pPr>
        <w:ind w:left="420" w:hanging="4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0">
    <w:nsid w:val="774539EF"/>
    <w:multiLevelType w:val="singleLevel"/>
    <w:tmpl w:val="774539EF"/>
    <w:lvl w:ilvl="0" w:tentative="0">
      <w:start w:val="1"/>
      <w:numFmt w:val="decimal"/>
      <w:lvlText w:val="%1)"/>
      <w:lvlJc w:val="left"/>
      <w:pPr>
        <w:ind w:left="425" w:hanging="425"/>
      </w:pPr>
      <w:rPr>
        <w:rFonts w:hint="default"/>
      </w:rPr>
    </w:lvl>
  </w:abstractNum>
  <w:abstractNum w:abstractNumId="61">
    <w:nsid w:val="78715C59"/>
    <w:multiLevelType w:val="multilevel"/>
    <w:tmpl w:val="78715C59"/>
    <w:lvl w:ilvl="0" w:tentative="0">
      <w:start w:val="1"/>
      <w:numFmt w:val="lowerLetter"/>
      <w:lvlText w:val="（%1）"/>
      <w:lvlJc w:val="left"/>
      <w:pPr>
        <w:ind w:left="1570" w:hanging="720"/>
      </w:pPr>
      <w:rPr>
        <w:rFonts w:hint="default"/>
      </w:rPr>
    </w:lvl>
    <w:lvl w:ilvl="1" w:tentative="0">
      <w:start w:val="1"/>
      <w:numFmt w:val="lowerLetter"/>
      <w:lvlText w:val="%2)"/>
      <w:lvlJc w:val="left"/>
      <w:pPr>
        <w:ind w:left="1690" w:hanging="420"/>
      </w:pPr>
    </w:lvl>
    <w:lvl w:ilvl="2" w:tentative="0">
      <w:start w:val="1"/>
      <w:numFmt w:val="lowerRoman"/>
      <w:lvlText w:val="%3."/>
      <w:lvlJc w:val="right"/>
      <w:pPr>
        <w:ind w:left="2110" w:hanging="420"/>
      </w:pPr>
    </w:lvl>
    <w:lvl w:ilvl="3" w:tentative="0">
      <w:start w:val="1"/>
      <w:numFmt w:val="decimal"/>
      <w:lvlText w:val="%4."/>
      <w:lvlJc w:val="left"/>
      <w:pPr>
        <w:ind w:left="2530" w:hanging="420"/>
      </w:pPr>
    </w:lvl>
    <w:lvl w:ilvl="4" w:tentative="0">
      <w:start w:val="1"/>
      <w:numFmt w:val="lowerLetter"/>
      <w:lvlText w:val="%5)"/>
      <w:lvlJc w:val="left"/>
      <w:pPr>
        <w:ind w:left="2950" w:hanging="420"/>
      </w:pPr>
    </w:lvl>
    <w:lvl w:ilvl="5" w:tentative="0">
      <w:start w:val="1"/>
      <w:numFmt w:val="lowerRoman"/>
      <w:lvlText w:val="%6."/>
      <w:lvlJc w:val="right"/>
      <w:pPr>
        <w:ind w:left="3370" w:hanging="420"/>
      </w:pPr>
    </w:lvl>
    <w:lvl w:ilvl="6" w:tentative="0">
      <w:start w:val="1"/>
      <w:numFmt w:val="decimal"/>
      <w:lvlText w:val="%7."/>
      <w:lvlJc w:val="left"/>
      <w:pPr>
        <w:ind w:left="3790" w:hanging="420"/>
      </w:pPr>
    </w:lvl>
    <w:lvl w:ilvl="7" w:tentative="0">
      <w:start w:val="1"/>
      <w:numFmt w:val="lowerLetter"/>
      <w:lvlText w:val="%8)"/>
      <w:lvlJc w:val="left"/>
      <w:pPr>
        <w:ind w:left="4210" w:hanging="420"/>
      </w:pPr>
    </w:lvl>
    <w:lvl w:ilvl="8" w:tentative="0">
      <w:start w:val="1"/>
      <w:numFmt w:val="lowerRoman"/>
      <w:lvlText w:val="%9."/>
      <w:lvlJc w:val="right"/>
      <w:pPr>
        <w:ind w:left="4630" w:hanging="420"/>
      </w:pPr>
    </w:lvl>
  </w:abstractNum>
  <w:abstractNum w:abstractNumId="62">
    <w:nsid w:val="7A013A67"/>
    <w:multiLevelType w:val="multilevel"/>
    <w:tmpl w:val="7A013A67"/>
    <w:lvl w:ilvl="0" w:tentative="0">
      <w:start w:val="1"/>
      <w:numFmt w:val="decimal"/>
      <w:lvlText w:val="（%1）"/>
      <w:lvlJc w:val="left"/>
      <w:pPr>
        <w:ind w:left="1157" w:hanging="720"/>
      </w:pPr>
      <w:rPr>
        <w:rFonts w:hint="default"/>
        <w:color w:val="auto"/>
      </w:rPr>
    </w:lvl>
    <w:lvl w:ilvl="1" w:tentative="0">
      <w:start w:val="1"/>
      <w:numFmt w:val="lowerLetter"/>
      <w:lvlText w:val="%2)"/>
      <w:lvlJc w:val="left"/>
      <w:pPr>
        <w:ind w:left="1277" w:hanging="420"/>
      </w:pPr>
    </w:lvl>
    <w:lvl w:ilvl="2" w:tentative="0">
      <w:start w:val="1"/>
      <w:numFmt w:val="lowerRoman"/>
      <w:lvlText w:val="%3."/>
      <w:lvlJc w:val="right"/>
      <w:pPr>
        <w:ind w:left="1697" w:hanging="420"/>
      </w:pPr>
    </w:lvl>
    <w:lvl w:ilvl="3" w:tentative="0">
      <w:start w:val="1"/>
      <w:numFmt w:val="decimal"/>
      <w:lvlText w:val="%4."/>
      <w:lvlJc w:val="left"/>
      <w:pPr>
        <w:ind w:left="2117" w:hanging="420"/>
      </w:pPr>
    </w:lvl>
    <w:lvl w:ilvl="4" w:tentative="0">
      <w:start w:val="1"/>
      <w:numFmt w:val="lowerLetter"/>
      <w:lvlText w:val="%5)"/>
      <w:lvlJc w:val="left"/>
      <w:pPr>
        <w:ind w:left="2537" w:hanging="420"/>
      </w:pPr>
    </w:lvl>
    <w:lvl w:ilvl="5" w:tentative="0">
      <w:start w:val="1"/>
      <w:numFmt w:val="lowerRoman"/>
      <w:lvlText w:val="%6."/>
      <w:lvlJc w:val="right"/>
      <w:pPr>
        <w:ind w:left="2957" w:hanging="420"/>
      </w:pPr>
    </w:lvl>
    <w:lvl w:ilvl="6" w:tentative="0">
      <w:start w:val="1"/>
      <w:numFmt w:val="decimal"/>
      <w:lvlText w:val="%7."/>
      <w:lvlJc w:val="left"/>
      <w:pPr>
        <w:ind w:left="3377" w:hanging="420"/>
      </w:pPr>
    </w:lvl>
    <w:lvl w:ilvl="7" w:tentative="0">
      <w:start w:val="1"/>
      <w:numFmt w:val="lowerLetter"/>
      <w:lvlText w:val="%8)"/>
      <w:lvlJc w:val="left"/>
      <w:pPr>
        <w:ind w:left="3797" w:hanging="420"/>
      </w:pPr>
    </w:lvl>
    <w:lvl w:ilvl="8" w:tentative="0">
      <w:start w:val="1"/>
      <w:numFmt w:val="lowerRoman"/>
      <w:lvlText w:val="%9."/>
      <w:lvlJc w:val="right"/>
      <w:pPr>
        <w:ind w:left="4217" w:hanging="420"/>
      </w:pPr>
    </w:lvl>
  </w:abstractNum>
  <w:abstractNum w:abstractNumId="63">
    <w:nsid w:val="7C756AC1"/>
    <w:multiLevelType w:val="multilevel"/>
    <w:tmpl w:val="7C756AC1"/>
    <w:lvl w:ilvl="0" w:tentative="0">
      <w:start w:val="1"/>
      <w:numFmt w:val="decimal"/>
      <w:lvlText w:val="%1）"/>
      <w:lvlJc w:val="left"/>
      <w:pPr>
        <w:ind w:left="360" w:hanging="360"/>
      </w:pPr>
      <w:rPr>
        <w:rFonts w:hint="default"/>
        <w:color w:val="auto"/>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num w:numId="1">
    <w:abstractNumId w:val="53"/>
  </w:num>
  <w:num w:numId="2">
    <w:abstractNumId w:val="22"/>
  </w:num>
  <w:num w:numId="3">
    <w:abstractNumId w:val="37"/>
  </w:num>
  <w:num w:numId="4">
    <w:abstractNumId w:val="48"/>
  </w:num>
  <w:num w:numId="5">
    <w:abstractNumId w:val="62"/>
  </w:num>
  <w:num w:numId="6">
    <w:abstractNumId w:val="41"/>
  </w:num>
  <w:num w:numId="7">
    <w:abstractNumId w:val="46"/>
  </w:num>
  <w:num w:numId="8">
    <w:abstractNumId w:val="30"/>
  </w:num>
  <w:num w:numId="9">
    <w:abstractNumId w:val="35"/>
  </w:num>
  <w:num w:numId="10">
    <w:abstractNumId w:val="18"/>
  </w:num>
  <w:num w:numId="11">
    <w:abstractNumId w:val="47"/>
  </w:num>
  <w:num w:numId="1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63"/>
  </w:num>
  <w:num w:numId="15">
    <w:abstractNumId w:val="57"/>
  </w:num>
  <w:num w:numId="16">
    <w:abstractNumId w:val="20"/>
  </w:num>
  <w:num w:numId="17">
    <w:abstractNumId w:val="28"/>
  </w:num>
  <w:num w:numId="18">
    <w:abstractNumId w:val="15"/>
  </w:num>
  <w:num w:numId="19">
    <w:abstractNumId w:val="45"/>
  </w:num>
  <w:num w:numId="20">
    <w:abstractNumId w:val="55"/>
  </w:num>
  <w:num w:numId="21">
    <w:abstractNumId w:val="31"/>
  </w:num>
  <w:num w:numId="22">
    <w:abstractNumId w:val="61"/>
  </w:num>
  <w:num w:numId="23">
    <w:abstractNumId w:val="44"/>
  </w:num>
  <w:num w:numId="24">
    <w:abstractNumId w:val="52"/>
  </w:num>
  <w:num w:numId="25">
    <w:abstractNumId w:val="36"/>
  </w:num>
  <w:num w:numId="26">
    <w:abstractNumId w:val="21"/>
  </w:num>
  <w:num w:numId="27">
    <w:abstractNumId w:val="43"/>
  </w:num>
  <w:num w:numId="2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40"/>
  </w:num>
  <w:num w:numId="41">
    <w:abstractNumId w:val="3"/>
  </w:num>
  <w:num w:numId="42">
    <w:abstractNumId w:val="25"/>
  </w:num>
  <w:num w:numId="4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4"/>
  </w:num>
  <w:num w:numId="45">
    <w:abstractNumId w:val="56"/>
  </w:num>
  <w:num w:numId="46">
    <w:abstractNumId w:val="49"/>
  </w:num>
  <w:num w:numId="47">
    <w:abstractNumId w:val="4"/>
  </w:num>
  <w:num w:numId="4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42"/>
  </w:num>
  <w:num w:numId="52">
    <w:abstractNumId w:val="17"/>
  </w:num>
  <w:num w:numId="53">
    <w:abstractNumId w:val="59"/>
  </w:num>
  <w:num w:numId="5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32"/>
  </w:num>
  <w:num w:numId="57">
    <w:abstractNumId w:val="27"/>
  </w:num>
  <w:num w:numId="58">
    <w:abstractNumId w:val="23"/>
  </w:num>
  <w:num w:numId="59">
    <w:abstractNumId w:val="26"/>
  </w:num>
  <w:num w:numId="6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38"/>
  </w:num>
  <w:num w:numId="77">
    <w:abstractNumId w:val="54"/>
  </w:num>
  <w:num w:numId="78">
    <w:abstractNumId w:val="19"/>
  </w:num>
  <w:num w:numId="7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
  </w:num>
  <w:num w:numId="82">
    <w:abstractNumId w:val="50"/>
  </w:num>
  <w:num w:numId="83">
    <w:abstractNumId w:val="33"/>
  </w:num>
  <w:num w:numId="84">
    <w:abstractNumId w:val="11"/>
  </w:num>
  <w:num w:numId="85">
    <w:abstractNumId w:val="0"/>
  </w:num>
  <w:num w:numId="86">
    <w:abstractNumId w:val="58"/>
  </w:num>
  <w:num w:numId="87">
    <w:abstractNumId w:val="9"/>
  </w:num>
  <w:num w:numId="88">
    <w:abstractNumId w:val="29"/>
  </w:num>
  <w:num w:numId="89">
    <w:abstractNumId w:val="16"/>
  </w:num>
  <w:num w:numId="90">
    <w:abstractNumId w:val="8"/>
  </w:num>
  <w:num w:numId="91">
    <w:abstractNumId w:val="60"/>
  </w:num>
  <w:num w:numId="92">
    <w:abstractNumId w:val="51"/>
  </w:num>
  <w:num w:numId="93">
    <w:abstractNumId w:val="6"/>
  </w:num>
  <w:num w:numId="94">
    <w:abstractNumId w:val="39"/>
  </w:num>
  <w:num w:numId="9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7">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13"/>
  </w:num>
  <w:num w:numId="183">
    <w:abstractNumId w:val="7"/>
  </w:num>
  <w:num w:numId="184">
    <w:abstractNumId w:val="14"/>
  </w:num>
  <w:num w:numId="185">
    <w:abstractNumId w:val="2"/>
  </w:num>
  <w:num w:numId="186">
    <w:abstractNumId w:val="5"/>
  </w:num>
  <w:num w:numId="187">
    <w:abstractNumId w:val="12"/>
  </w:num>
  <w:num w:numId="188">
    <w:abstractNumId w:val="10"/>
  </w:num>
  <w:num w:numId="18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2">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3"/>
  <w:bordersDoNotSurroundHeader w:val="0"/>
  <w:bordersDoNotSurroundFooter w:val="0"/>
  <w:hideSpellingErrors/>
  <w:documentProtection w:enforcement="0"/>
  <w:defaultTabStop w:val="0"/>
  <w:drawingGridHorizontalSpacing w:val="110"/>
  <w:displayHorizontalDrawingGridEvery w:val="1"/>
  <w:displayVerticalDrawingGridEvery w:val="1"/>
  <w:noPunctuationKerning w:val="1"/>
  <w:characterSpacingControl w:val="doNotCompress"/>
  <w:footnotePr>
    <w:footnote w:id="0"/>
    <w:footnote w:id="1"/>
  </w:footnotePr>
  <w:endnotePr>
    <w:endnote w:id="0"/>
    <w:endnote w:id="1"/>
  </w:endnotePr>
  <w:compat>
    <w:ulTrailSpace/>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WNmOWQwMWIzYWU2NjI5OGI2NjJlMzZmOGMzNzM1MGEifQ=="/>
    <w:docVar w:name="KSO_WPS_MARK_KEY" w:val="b2ff770e-34ce-413c-88d5-fb5fa63de940"/>
  </w:docVars>
  <w:rsids>
    <w:rsidRoot w:val="004E3B47"/>
    <w:rsid w:val="0000694E"/>
    <w:rsid w:val="000137F8"/>
    <w:rsid w:val="0002082D"/>
    <w:rsid w:val="000219AE"/>
    <w:rsid w:val="0002660B"/>
    <w:rsid w:val="00027F03"/>
    <w:rsid w:val="00030CF6"/>
    <w:rsid w:val="00033D20"/>
    <w:rsid w:val="00042E79"/>
    <w:rsid w:val="00042EA9"/>
    <w:rsid w:val="000551BF"/>
    <w:rsid w:val="000627AF"/>
    <w:rsid w:val="0006384E"/>
    <w:rsid w:val="00065B64"/>
    <w:rsid w:val="00066635"/>
    <w:rsid w:val="00067FF9"/>
    <w:rsid w:val="000764E6"/>
    <w:rsid w:val="00081259"/>
    <w:rsid w:val="0008273B"/>
    <w:rsid w:val="00082F20"/>
    <w:rsid w:val="00086A0F"/>
    <w:rsid w:val="000A4D07"/>
    <w:rsid w:val="000B3AF0"/>
    <w:rsid w:val="000B3D43"/>
    <w:rsid w:val="000B440A"/>
    <w:rsid w:val="000B56B9"/>
    <w:rsid w:val="000C035D"/>
    <w:rsid w:val="000C35EF"/>
    <w:rsid w:val="000C472F"/>
    <w:rsid w:val="000D05A3"/>
    <w:rsid w:val="000D52D6"/>
    <w:rsid w:val="000E0BFA"/>
    <w:rsid w:val="000E619A"/>
    <w:rsid w:val="000E7E91"/>
    <w:rsid w:val="000F5344"/>
    <w:rsid w:val="001007F2"/>
    <w:rsid w:val="00103B7D"/>
    <w:rsid w:val="00110623"/>
    <w:rsid w:val="001127E1"/>
    <w:rsid w:val="001154A3"/>
    <w:rsid w:val="00115612"/>
    <w:rsid w:val="001165A6"/>
    <w:rsid w:val="001167F2"/>
    <w:rsid w:val="0012149B"/>
    <w:rsid w:val="00127FBB"/>
    <w:rsid w:val="00133F79"/>
    <w:rsid w:val="00147549"/>
    <w:rsid w:val="00154FF4"/>
    <w:rsid w:val="001554AE"/>
    <w:rsid w:val="001607DB"/>
    <w:rsid w:val="00162B7F"/>
    <w:rsid w:val="0016333E"/>
    <w:rsid w:val="0016449F"/>
    <w:rsid w:val="001740BE"/>
    <w:rsid w:val="00175D8D"/>
    <w:rsid w:val="00181BA3"/>
    <w:rsid w:val="00186B1C"/>
    <w:rsid w:val="0018783A"/>
    <w:rsid w:val="001904F7"/>
    <w:rsid w:val="001A2851"/>
    <w:rsid w:val="001B02FE"/>
    <w:rsid w:val="001B099D"/>
    <w:rsid w:val="001B7B0E"/>
    <w:rsid w:val="001C1A05"/>
    <w:rsid w:val="001C709D"/>
    <w:rsid w:val="001D33A5"/>
    <w:rsid w:val="001D4703"/>
    <w:rsid w:val="001D67E4"/>
    <w:rsid w:val="001E6650"/>
    <w:rsid w:val="001F0033"/>
    <w:rsid w:val="001F03A9"/>
    <w:rsid w:val="00211A6C"/>
    <w:rsid w:val="00212557"/>
    <w:rsid w:val="00213640"/>
    <w:rsid w:val="00213B1F"/>
    <w:rsid w:val="0021656B"/>
    <w:rsid w:val="00225A5E"/>
    <w:rsid w:val="002330DC"/>
    <w:rsid w:val="00233F40"/>
    <w:rsid w:val="002460F2"/>
    <w:rsid w:val="00247637"/>
    <w:rsid w:val="00250F04"/>
    <w:rsid w:val="00252B86"/>
    <w:rsid w:val="00253386"/>
    <w:rsid w:val="00253ED9"/>
    <w:rsid w:val="00254AB1"/>
    <w:rsid w:val="00260834"/>
    <w:rsid w:val="00265197"/>
    <w:rsid w:val="00290D8A"/>
    <w:rsid w:val="002959C6"/>
    <w:rsid w:val="002A4F3B"/>
    <w:rsid w:val="002B2EF0"/>
    <w:rsid w:val="002B3030"/>
    <w:rsid w:val="002B333C"/>
    <w:rsid w:val="002C1098"/>
    <w:rsid w:val="002C1F8B"/>
    <w:rsid w:val="002D59E2"/>
    <w:rsid w:val="002E3DCB"/>
    <w:rsid w:val="00300A29"/>
    <w:rsid w:val="00301633"/>
    <w:rsid w:val="00304FA3"/>
    <w:rsid w:val="003059CF"/>
    <w:rsid w:val="00312603"/>
    <w:rsid w:val="00312B71"/>
    <w:rsid w:val="00315B0E"/>
    <w:rsid w:val="00317374"/>
    <w:rsid w:val="00317716"/>
    <w:rsid w:val="00317B42"/>
    <w:rsid w:val="003261AF"/>
    <w:rsid w:val="00327101"/>
    <w:rsid w:val="00332B92"/>
    <w:rsid w:val="00341D97"/>
    <w:rsid w:val="00344063"/>
    <w:rsid w:val="00344E27"/>
    <w:rsid w:val="00347202"/>
    <w:rsid w:val="0035412A"/>
    <w:rsid w:val="00356ACA"/>
    <w:rsid w:val="00360352"/>
    <w:rsid w:val="003711AB"/>
    <w:rsid w:val="00377D21"/>
    <w:rsid w:val="00381493"/>
    <w:rsid w:val="003A087C"/>
    <w:rsid w:val="003A135F"/>
    <w:rsid w:val="003A16C2"/>
    <w:rsid w:val="003A6D28"/>
    <w:rsid w:val="003B0652"/>
    <w:rsid w:val="003B7C3E"/>
    <w:rsid w:val="003D3A8D"/>
    <w:rsid w:val="003D68AB"/>
    <w:rsid w:val="003D7FE5"/>
    <w:rsid w:val="003E3FC7"/>
    <w:rsid w:val="003F5D46"/>
    <w:rsid w:val="003F5EAB"/>
    <w:rsid w:val="003F5FF3"/>
    <w:rsid w:val="00401341"/>
    <w:rsid w:val="00404256"/>
    <w:rsid w:val="00410527"/>
    <w:rsid w:val="00414192"/>
    <w:rsid w:val="00414CB4"/>
    <w:rsid w:val="0041746A"/>
    <w:rsid w:val="004302D0"/>
    <w:rsid w:val="004308E1"/>
    <w:rsid w:val="00431CB2"/>
    <w:rsid w:val="00432BE2"/>
    <w:rsid w:val="00437BAF"/>
    <w:rsid w:val="00437BCD"/>
    <w:rsid w:val="004439AD"/>
    <w:rsid w:val="004453A2"/>
    <w:rsid w:val="0044587C"/>
    <w:rsid w:val="00447956"/>
    <w:rsid w:val="004515BA"/>
    <w:rsid w:val="00452734"/>
    <w:rsid w:val="00452C4B"/>
    <w:rsid w:val="00461FBC"/>
    <w:rsid w:val="00466250"/>
    <w:rsid w:val="00467003"/>
    <w:rsid w:val="004713D1"/>
    <w:rsid w:val="00472A17"/>
    <w:rsid w:val="00476B93"/>
    <w:rsid w:val="00494BA3"/>
    <w:rsid w:val="00495A8C"/>
    <w:rsid w:val="004A09D8"/>
    <w:rsid w:val="004A55EB"/>
    <w:rsid w:val="004B5103"/>
    <w:rsid w:val="004B5C3A"/>
    <w:rsid w:val="004B65D2"/>
    <w:rsid w:val="004B775A"/>
    <w:rsid w:val="004C1286"/>
    <w:rsid w:val="004C5D12"/>
    <w:rsid w:val="004D0512"/>
    <w:rsid w:val="004D1EBA"/>
    <w:rsid w:val="004D36DF"/>
    <w:rsid w:val="004E14DD"/>
    <w:rsid w:val="004E266D"/>
    <w:rsid w:val="004E2B32"/>
    <w:rsid w:val="004E3366"/>
    <w:rsid w:val="004E3B47"/>
    <w:rsid w:val="004E4FD4"/>
    <w:rsid w:val="004F3C49"/>
    <w:rsid w:val="004F552B"/>
    <w:rsid w:val="00504DC8"/>
    <w:rsid w:val="00510443"/>
    <w:rsid w:val="00510807"/>
    <w:rsid w:val="005131DF"/>
    <w:rsid w:val="00514794"/>
    <w:rsid w:val="00516687"/>
    <w:rsid w:val="005334E8"/>
    <w:rsid w:val="00543274"/>
    <w:rsid w:val="005434E1"/>
    <w:rsid w:val="005452A0"/>
    <w:rsid w:val="005473FA"/>
    <w:rsid w:val="00547764"/>
    <w:rsid w:val="0055177C"/>
    <w:rsid w:val="005528B5"/>
    <w:rsid w:val="00554EBF"/>
    <w:rsid w:val="00556645"/>
    <w:rsid w:val="0056183B"/>
    <w:rsid w:val="00570E2C"/>
    <w:rsid w:val="00577083"/>
    <w:rsid w:val="00577A15"/>
    <w:rsid w:val="005801FC"/>
    <w:rsid w:val="00587CCA"/>
    <w:rsid w:val="0059070B"/>
    <w:rsid w:val="00590D2E"/>
    <w:rsid w:val="005A26C4"/>
    <w:rsid w:val="005A4624"/>
    <w:rsid w:val="005A55D4"/>
    <w:rsid w:val="005A7CBC"/>
    <w:rsid w:val="005B3FD3"/>
    <w:rsid w:val="005B7A0C"/>
    <w:rsid w:val="005C2D44"/>
    <w:rsid w:val="005C4876"/>
    <w:rsid w:val="005C4D1B"/>
    <w:rsid w:val="005D0C90"/>
    <w:rsid w:val="005D4D5F"/>
    <w:rsid w:val="005D6488"/>
    <w:rsid w:val="005D755F"/>
    <w:rsid w:val="005E11A0"/>
    <w:rsid w:val="005E6B97"/>
    <w:rsid w:val="005F026A"/>
    <w:rsid w:val="005F780D"/>
    <w:rsid w:val="0060225A"/>
    <w:rsid w:val="00602C0B"/>
    <w:rsid w:val="00612EFB"/>
    <w:rsid w:val="00613C10"/>
    <w:rsid w:val="0062377A"/>
    <w:rsid w:val="00624B96"/>
    <w:rsid w:val="00626334"/>
    <w:rsid w:val="00626952"/>
    <w:rsid w:val="00632199"/>
    <w:rsid w:val="00640276"/>
    <w:rsid w:val="00642A08"/>
    <w:rsid w:val="00643A66"/>
    <w:rsid w:val="00652C89"/>
    <w:rsid w:val="00661F04"/>
    <w:rsid w:val="0066514C"/>
    <w:rsid w:val="00665DD4"/>
    <w:rsid w:val="006671E7"/>
    <w:rsid w:val="006712CB"/>
    <w:rsid w:val="00675739"/>
    <w:rsid w:val="00690F80"/>
    <w:rsid w:val="00695895"/>
    <w:rsid w:val="00696309"/>
    <w:rsid w:val="00697907"/>
    <w:rsid w:val="006A1ABC"/>
    <w:rsid w:val="006A4D6E"/>
    <w:rsid w:val="006A5408"/>
    <w:rsid w:val="006A5D88"/>
    <w:rsid w:val="006A6EEB"/>
    <w:rsid w:val="006B232C"/>
    <w:rsid w:val="006B233F"/>
    <w:rsid w:val="006B547C"/>
    <w:rsid w:val="006C1825"/>
    <w:rsid w:val="006C3B1F"/>
    <w:rsid w:val="006C74AC"/>
    <w:rsid w:val="006D4E1F"/>
    <w:rsid w:val="006D66BA"/>
    <w:rsid w:val="006D75B1"/>
    <w:rsid w:val="006E0824"/>
    <w:rsid w:val="006E0D62"/>
    <w:rsid w:val="006E323E"/>
    <w:rsid w:val="006F5505"/>
    <w:rsid w:val="006F5EFA"/>
    <w:rsid w:val="006F6157"/>
    <w:rsid w:val="007059A4"/>
    <w:rsid w:val="007135CC"/>
    <w:rsid w:val="00716667"/>
    <w:rsid w:val="007272DC"/>
    <w:rsid w:val="00727E66"/>
    <w:rsid w:val="007321F6"/>
    <w:rsid w:val="0073360C"/>
    <w:rsid w:val="007340F7"/>
    <w:rsid w:val="00734ADE"/>
    <w:rsid w:val="0073580F"/>
    <w:rsid w:val="00763981"/>
    <w:rsid w:val="007640A6"/>
    <w:rsid w:val="007701F5"/>
    <w:rsid w:val="007708A4"/>
    <w:rsid w:val="007738B3"/>
    <w:rsid w:val="00776982"/>
    <w:rsid w:val="00776C15"/>
    <w:rsid w:val="0077708D"/>
    <w:rsid w:val="00777CF6"/>
    <w:rsid w:val="00777F25"/>
    <w:rsid w:val="00780807"/>
    <w:rsid w:val="00783ACC"/>
    <w:rsid w:val="00786BF0"/>
    <w:rsid w:val="0079278A"/>
    <w:rsid w:val="007963C9"/>
    <w:rsid w:val="00796EA7"/>
    <w:rsid w:val="0079769F"/>
    <w:rsid w:val="007A445C"/>
    <w:rsid w:val="007A7BB1"/>
    <w:rsid w:val="007B07D6"/>
    <w:rsid w:val="007B278A"/>
    <w:rsid w:val="007B50B0"/>
    <w:rsid w:val="007B7F8A"/>
    <w:rsid w:val="007C18DD"/>
    <w:rsid w:val="007C24E6"/>
    <w:rsid w:val="007C4935"/>
    <w:rsid w:val="007E3C95"/>
    <w:rsid w:val="007F5FD0"/>
    <w:rsid w:val="00811456"/>
    <w:rsid w:val="00811536"/>
    <w:rsid w:val="008163B3"/>
    <w:rsid w:val="00823810"/>
    <w:rsid w:val="00824EAB"/>
    <w:rsid w:val="00825801"/>
    <w:rsid w:val="0082598E"/>
    <w:rsid w:val="00836546"/>
    <w:rsid w:val="008407C8"/>
    <w:rsid w:val="008408F5"/>
    <w:rsid w:val="00844965"/>
    <w:rsid w:val="00845582"/>
    <w:rsid w:val="008477BA"/>
    <w:rsid w:val="0085526A"/>
    <w:rsid w:val="00861131"/>
    <w:rsid w:val="00864059"/>
    <w:rsid w:val="008656DC"/>
    <w:rsid w:val="00867173"/>
    <w:rsid w:val="00871D44"/>
    <w:rsid w:val="00872869"/>
    <w:rsid w:val="00873407"/>
    <w:rsid w:val="00873AA4"/>
    <w:rsid w:val="00881C33"/>
    <w:rsid w:val="00883DF4"/>
    <w:rsid w:val="00890111"/>
    <w:rsid w:val="00894486"/>
    <w:rsid w:val="008A4609"/>
    <w:rsid w:val="008A6086"/>
    <w:rsid w:val="008A6EC9"/>
    <w:rsid w:val="008B4C91"/>
    <w:rsid w:val="008C099D"/>
    <w:rsid w:val="008C0F05"/>
    <w:rsid w:val="008C646E"/>
    <w:rsid w:val="008D118D"/>
    <w:rsid w:val="008D2213"/>
    <w:rsid w:val="008E14C4"/>
    <w:rsid w:val="008E414A"/>
    <w:rsid w:val="008E54BD"/>
    <w:rsid w:val="008F49FF"/>
    <w:rsid w:val="008F4FB5"/>
    <w:rsid w:val="008F608F"/>
    <w:rsid w:val="00905D07"/>
    <w:rsid w:val="00907012"/>
    <w:rsid w:val="00910752"/>
    <w:rsid w:val="009108B2"/>
    <w:rsid w:val="00910A8E"/>
    <w:rsid w:val="00911F4A"/>
    <w:rsid w:val="009178EA"/>
    <w:rsid w:val="009218A5"/>
    <w:rsid w:val="009276A4"/>
    <w:rsid w:val="009335CA"/>
    <w:rsid w:val="00937CF4"/>
    <w:rsid w:val="00952492"/>
    <w:rsid w:val="00955D67"/>
    <w:rsid w:val="0095687D"/>
    <w:rsid w:val="00960348"/>
    <w:rsid w:val="0096066E"/>
    <w:rsid w:val="00961B29"/>
    <w:rsid w:val="00964CAC"/>
    <w:rsid w:val="009652CE"/>
    <w:rsid w:val="0097050C"/>
    <w:rsid w:val="00973488"/>
    <w:rsid w:val="0097380F"/>
    <w:rsid w:val="00981B52"/>
    <w:rsid w:val="009828CF"/>
    <w:rsid w:val="00982CEE"/>
    <w:rsid w:val="00983A6F"/>
    <w:rsid w:val="00994CDA"/>
    <w:rsid w:val="009968D7"/>
    <w:rsid w:val="00996984"/>
    <w:rsid w:val="00997A5B"/>
    <w:rsid w:val="009A5808"/>
    <w:rsid w:val="009A5F11"/>
    <w:rsid w:val="009B3CBB"/>
    <w:rsid w:val="009B4955"/>
    <w:rsid w:val="009B5262"/>
    <w:rsid w:val="009B79DB"/>
    <w:rsid w:val="009B7A83"/>
    <w:rsid w:val="009D5DCB"/>
    <w:rsid w:val="009D7C50"/>
    <w:rsid w:val="009E2B79"/>
    <w:rsid w:val="009E3F7E"/>
    <w:rsid w:val="009F0409"/>
    <w:rsid w:val="009F07BC"/>
    <w:rsid w:val="009F2987"/>
    <w:rsid w:val="009F53B5"/>
    <w:rsid w:val="00A02DA4"/>
    <w:rsid w:val="00A03D58"/>
    <w:rsid w:val="00A166CA"/>
    <w:rsid w:val="00A16927"/>
    <w:rsid w:val="00A21A90"/>
    <w:rsid w:val="00A24F20"/>
    <w:rsid w:val="00A31663"/>
    <w:rsid w:val="00A341DE"/>
    <w:rsid w:val="00A350EF"/>
    <w:rsid w:val="00A37D9C"/>
    <w:rsid w:val="00A441D5"/>
    <w:rsid w:val="00A444CB"/>
    <w:rsid w:val="00A54942"/>
    <w:rsid w:val="00A62071"/>
    <w:rsid w:val="00A64D8B"/>
    <w:rsid w:val="00A65300"/>
    <w:rsid w:val="00A67165"/>
    <w:rsid w:val="00A72116"/>
    <w:rsid w:val="00A801C6"/>
    <w:rsid w:val="00A81583"/>
    <w:rsid w:val="00A824F0"/>
    <w:rsid w:val="00A94342"/>
    <w:rsid w:val="00AA1A8C"/>
    <w:rsid w:val="00AB76CC"/>
    <w:rsid w:val="00AC15A6"/>
    <w:rsid w:val="00AC700C"/>
    <w:rsid w:val="00AD4F50"/>
    <w:rsid w:val="00AE3236"/>
    <w:rsid w:val="00AE6549"/>
    <w:rsid w:val="00AF11CB"/>
    <w:rsid w:val="00AF5177"/>
    <w:rsid w:val="00AF7693"/>
    <w:rsid w:val="00B13BE5"/>
    <w:rsid w:val="00B21B11"/>
    <w:rsid w:val="00B21CCC"/>
    <w:rsid w:val="00B25749"/>
    <w:rsid w:val="00B25F13"/>
    <w:rsid w:val="00B332AB"/>
    <w:rsid w:val="00B3350B"/>
    <w:rsid w:val="00B44258"/>
    <w:rsid w:val="00B459B1"/>
    <w:rsid w:val="00B46FCA"/>
    <w:rsid w:val="00B47D61"/>
    <w:rsid w:val="00B52226"/>
    <w:rsid w:val="00B54946"/>
    <w:rsid w:val="00B6087C"/>
    <w:rsid w:val="00B61BB6"/>
    <w:rsid w:val="00B6530E"/>
    <w:rsid w:val="00B7064A"/>
    <w:rsid w:val="00B71011"/>
    <w:rsid w:val="00B81C36"/>
    <w:rsid w:val="00B836BF"/>
    <w:rsid w:val="00B86A3D"/>
    <w:rsid w:val="00B96D9F"/>
    <w:rsid w:val="00B97310"/>
    <w:rsid w:val="00B97E7B"/>
    <w:rsid w:val="00BB0551"/>
    <w:rsid w:val="00BB0D77"/>
    <w:rsid w:val="00BB1F03"/>
    <w:rsid w:val="00BB3A57"/>
    <w:rsid w:val="00BC1C1F"/>
    <w:rsid w:val="00BC33B7"/>
    <w:rsid w:val="00BD0BC4"/>
    <w:rsid w:val="00BD4900"/>
    <w:rsid w:val="00BE0797"/>
    <w:rsid w:val="00BE13A9"/>
    <w:rsid w:val="00BE5D38"/>
    <w:rsid w:val="00BE63C6"/>
    <w:rsid w:val="00BF05A5"/>
    <w:rsid w:val="00BF69AB"/>
    <w:rsid w:val="00BF797F"/>
    <w:rsid w:val="00C0096D"/>
    <w:rsid w:val="00C05936"/>
    <w:rsid w:val="00C063FB"/>
    <w:rsid w:val="00C10AF1"/>
    <w:rsid w:val="00C11D98"/>
    <w:rsid w:val="00C13D60"/>
    <w:rsid w:val="00C149AF"/>
    <w:rsid w:val="00C14A28"/>
    <w:rsid w:val="00C16A29"/>
    <w:rsid w:val="00C2140D"/>
    <w:rsid w:val="00C3283F"/>
    <w:rsid w:val="00C3441B"/>
    <w:rsid w:val="00C45CCC"/>
    <w:rsid w:val="00C4614C"/>
    <w:rsid w:val="00C47C42"/>
    <w:rsid w:val="00C53ACE"/>
    <w:rsid w:val="00C57427"/>
    <w:rsid w:val="00C6314A"/>
    <w:rsid w:val="00C63508"/>
    <w:rsid w:val="00C64441"/>
    <w:rsid w:val="00C72CBE"/>
    <w:rsid w:val="00C74300"/>
    <w:rsid w:val="00C82F6D"/>
    <w:rsid w:val="00C83B60"/>
    <w:rsid w:val="00C856AC"/>
    <w:rsid w:val="00C871B0"/>
    <w:rsid w:val="00C91E32"/>
    <w:rsid w:val="00C950BD"/>
    <w:rsid w:val="00CA3BA8"/>
    <w:rsid w:val="00CA4BE3"/>
    <w:rsid w:val="00CB7A04"/>
    <w:rsid w:val="00CC0FCD"/>
    <w:rsid w:val="00CD2879"/>
    <w:rsid w:val="00CD433D"/>
    <w:rsid w:val="00CD6648"/>
    <w:rsid w:val="00CF1B7B"/>
    <w:rsid w:val="00D00462"/>
    <w:rsid w:val="00D00E51"/>
    <w:rsid w:val="00D02B8B"/>
    <w:rsid w:val="00D0380C"/>
    <w:rsid w:val="00D076D4"/>
    <w:rsid w:val="00D11AD3"/>
    <w:rsid w:val="00D15E55"/>
    <w:rsid w:val="00D23897"/>
    <w:rsid w:val="00D24DB2"/>
    <w:rsid w:val="00D31706"/>
    <w:rsid w:val="00D34F4D"/>
    <w:rsid w:val="00D36C39"/>
    <w:rsid w:val="00D42A16"/>
    <w:rsid w:val="00D434A4"/>
    <w:rsid w:val="00D45E4D"/>
    <w:rsid w:val="00D466B6"/>
    <w:rsid w:val="00D53342"/>
    <w:rsid w:val="00D6159A"/>
    <w:rsid w:val="00D63306"/>
    <w:rsid w:val="00D63A00"/>
    <w:rsid w:val="00D6545B"/>
    <w:rsid w:val="00D703F2"/>
    <w:rsid w:val="00D724E8"/>
    <w:rsid w:val="00D73CBA"/>
    <w:rsid w:val="00D74C82"/>
    <w:rsid w:val="00D80178"/>
    <w:rsid w:val="00D952E8"/>
    <w:rsid w:val="00D9598C"/>
    <w:rsid w:val="00D96164"/>
    <w:rsid w:val="00D96DF1"/>
    <w:rsid w:val="00DA0DF7"/>
    <w:rsid w:val="00DB0A0A"/>
    <w:rsid w:val="00DB19F2"/>
    <w:rsid w:val="00DB762B"/>
    <w:rsid w:val="00DB7CA6"/>
    <w:rsid w:val="00DC05CF"/>
    <w:rsid w:val="00DC26BC"/>
    <w:rsid w:val="00DC2F57"/>
    <w:rsid w:val="00DC6BC8"/>
    <w:rsid w:val="00DD0E77"/>
    <w:rsid w:val="00DD0FF9"/>
    <w:rsid w:val="00DD1A61"/>
    <w:rsid w:val="00DD1F3D"/>
    <w:rsid w:val="00DD40D3"/>
    <w:rsid w:val="00DE0E3D"/>
    <w:rsid w:val="00DF4EF7"/>
    <w:rsid w:val="00DF4F40"/>
    <w:rsid w:val="00E01206"/>
    <w:rsid w:val="00E01F5E"/>
    <w:rsid w:val="00E06481"/>
    <w:rsid w:val="00E10CE8"/>
    <w:rsid w:val="00E16D52"/>
    <w:rsid w:val="00E21CDC"/>
    <w:rsid w:val="00E30BBC"/>
    <w:rsid w:val="00E30D47"/>
    <w:rsid w:val="00E33C2E"/>
    <w:rsid w:val="00E40347"/>
    <w:rsid w:val="00E44440"/>
    <w:rsid w:val="00E553ED"/>
    <w:rsid w:val="00E55979"/>
    <w:rsid w:val="00E65EE1"/>
    <w:rsid w:val="00E676E5"/>
    <w:rsid w:val="00E70683"/>
    <w:rsid w:val="00E7372E"/>
    <w:rsid w:val="00E914BA"/>
    <w:rsid w:val="00E9482B"/>
    <w:rsid w:val="00EA2688"/>
    <w:rsid w:val="00EB1E3A"/>
    <w:rsid w:val="00EB3534"/>
    <w:rsid w:val="00EB660F"/>
    <w:rsid w:val="00EB6F29"/>
    <w:rsid w:val="00EC06E2"/>
    <w:rsid w:val="00EC6385"/>
    <w:rsid w:val="00ED28DA"/>
    <w:rsid w:val="00ED45B2"/>
    <w:rsid w:val="00ED71EF"/>
    <w:rsid w:val="00EE5E05"/>
    <w:rsid w:val="00EF49B9"/>
    <w:rsid w:val="00EF63BF"/>
    <w:rsid w:val="00F0613C"/>
    <w:rsid w:val="00F15A41"/>
    <w:rsid w:val="00F15A7A"/>
    <w:rsid w:val="00F1653D"/>
    <w:rsid w:val="00F169D6"/>
    <w:rsid w:val="00F22DF7"/>
    <w:rsid w:val="00F24706"/>
    <w:rsid w:val="00F277CE"/>
    <w:rsid w:val="00F33C53"/>
    <w:rsid w:val="00F40188"/>
    <w:rsid w:val="00F41014"/>
    <w:rsid w:val="00F42056"/>
    <w:rsid w:val="00F42BB3"/>
    <w:rsid w:val="00F47837"/>
    <w:rsid w:val="00F50CA5"/>
    <w:rsid w:val="00F5176C"/>
    <w:rsid w:val="00F6017D"/>
    <w:rsid w:val="00F84EBE"/>
    <w:rsid w:val="00F91ED1"/>
    <w:rsid w:val="00F93032"/>
    <w:rsid w:val="00FB57A3"/>
    <w:rsid w:val="00FB64DF"/>
    <w:rsid w:val="00FB7B25"/>
    <w:rsid w:val="00FD1D9B"/>
    <w:rsid w:val="00FD268F"/>
    <w:rsid w:val="00FD39FC"/>
    <w:rsid w:val="00FD4AB2"/>
    <w:rsid w:val="00FD70E4"/>
    <w:rsid w:val="00FE5EF2"/>
    <w:rsid w:val="00FF3B00"/>
    <w:rsid w:val="00FF4B8A"/>
    <w:rsid w:val="00FF6B48"/>
    <w:rsid w:val="00FF730D"/>
    <w:rsid w:val="017C7020"/>
    <w:rsid w:val="042D1EF3"/>
    <w:rsid w:val="05F70D72"/>
    <w:rsid w:val="06846D8D"/>
    <w:rsid w:val="08596C5F"/>
    <w:rsid w:val="0B705B32"/>
    <w:rsid w:val="0CFB58CF"/>
    <w:rsid w:val="0D7F02AE"/>
    <w:rsid w:val="0F7D31BF"/>
    <w:rsid w:val="10D95C08"/>
    <w:rsid w:val="12931FEF"/>
    <w:rsid w:val="13B24E84"/>
    <w:rsid w:val="141004A1"/>
    <w:rsid w:val="14FB4CB4"/>
    <w:rsid w:val="1C35475F"/>
    <w:rsid w:val="1D5D4FCA"/>
    <w:rsid w:val="1E04532C"/>
    <w:rsid w:val="1E74103D"/>
    <w:rsid w:val="1FEE23EA"/>
    <w:rsid w:val="2060783E"/>
    <w:rsid w:val="21AF399C"/>
    <w:rsid w:val="239F06CD"/>
    <w:rsid w:val="25987D07"/>
    <w:rsid w:val="27E62FAC"/>
    <w:rsid w:val="287C68F2"/>
    <w:rsid w:val="2A575C92"/>
    <w:rsid w:val="2AB347D8"/>
    <w:rsid w:val="2CED6B8B"/>
    <w:rsid w:val="2DF53F49"/>
    <w:rsid w:val="2E786928"/>
    <w:rsid w:val="310F7CE0"/>
    <w:rsid w:val="33621D3B"/>
    <w:rsid w:val="37F95A1E"/>
    <w:rsid w:val="38230119"/>
    <w:rsid w:val="39227BAD"/>
    <w:rsid w:val="39300764"/>
    <w:rsid w:val="3A157721"/>
    <w:rsid w:val="3B02216E"/>
    <w:rsid w:val="3B693880"/>
    <w:rsid w:val="3CBE4A21"/>
    <w:rsid w:val="3ED72937"/>
    <w:rsid w:val="3F6E7D8D"/>
    <w:rsid w:val="41110C42"/>
    <w:rsid w:val="41CE268F"/>
    <w:rsid w:val="46203DF6"/>
    <w:rsid w:val="46736B10"/>
    <w:rsid w:val="48453766"/>
    <w:rsid w:val="4A02381D"/>
    <w:rsid w:val="4A8B37C7"/>
    <w:rsid w:val="4A8C758B"/>
    <w:rsid w:val="4DE65204"/>
    <w:rsid w:val="4E6A7BE3"/>
    <w:rsid w:val="4EC95B77"/>
    <w:rsid w:val="541F1BC7"/>
    <w:rsid w:val="582B1956"/>
    <w:rsid w:val="58844560"/>
    <w:rsid w:val="58B50FC9"/>
    <w:rsid w:val="58C375EF"/>
    <w:rsid w:val="598B16EF"/>
    <w:rsid w:val="5B771941"/>
    <w:rsid w:val="5C9A5B38"/>
    <w:rsid w:val="5D2803C0"/>
    <w:rsid w:val="5D4A40E7"/>
    <w:rsid w:val="5E55090D"/>
    <w:rsid w:val="63376067"/>
    <w:rsid w:val="635D2064"/>
    <w:rsid w:val="63825965"/>
    <w:rsid w:val="644C751D"/>
    <w:rsid w:val="64E20713"/>
    <w:rsid w:val="64FA4AD6"/>
    <w:rsid w:val="65920BD5"/>
    <w:rsid w:val="69EA08DE"/>
    <w:rsid w:val="6A62293D"/>
    <w:rsid w:val="6CDE381E"/>
    <w:rsid w:val="6D48508C"/>
    <w:rsid w:val="6F31449F"/>
    <w:rsid w:val="756136B0"/>
    <w:rsid w:val="768F410D"/>
    <w:rsid w:val="76AA1A51"/>
    <w:rsid w:val="7923497D"/>
    <w:rsid w:val="7C6E4ED0"/>
    <w:rsid w:val="7E541EA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1" w:semiHidden="0" w:name="Normal"/>
    <w:lsdException w:qFormat="1" w:unhideWhenUsed="0" w:uiPriority="9" w:semiHidden="0" w:name="heading 1"/>
    <w:lsdException w:qFormat="1" w:unhideWhenUsed="0" w:uiPriority="9" w:semiHidden="0" w:name="heading 2"/>
    <w:lsdException w:qFormat="1" w:unhideWhenUsed="0" w:uiPriority="9" w:semiHidden="0" w:name="heading 3"/>
    <w:lsdException w:qFormat="1" w:unhideWhenUsed="0" w:uiPriority="9" w:semiHidden="0" w:name="heading 4"/>
    <w:lsdException w:qFormat="1" w:uiPriority="0" w:semiHidden="0" w:name="heading 5"/>
    <w:lsdException w:qFormat="1" w:uiPriority="0" w:semiHidden="0" w:name="heading 6"/>
    <w:lsdException w:qFormat="1" w:uiPriority="0" w:semiHidden="0" w:name="heading 7"/>
    <w:lsdException w:qFormat="1" w:unhideWhenUsed="0" w:uiPriority="0" w:semiHidden="0" w:name="heading 8"/>
    <w:lsdException w:qFormat="1" w:unhideWhenUsed="0" w:uiPriority="0" w:semiHidden="0" w:name="heading 9"/>
    <w:lsdException w:qFormat="1" w:uiPriority="0" w:name="index 1"/>
    <w:lsdException w:qFormat="1" w:unhideWhenUsed="0" w:uiPriority="0" w:name="index 2"/>
    <w:lsdException w:qFormat="1" w:unhideWhenUsed="0" w:uiPriority="0" w:name="index 3"/>
    <w:lsdException w:qFormat="1" w:unhideWhenUsed="0" w:uiPriority="0" w:name="index 4"/>
    <w:lsdException w:qFormat="1" w:unhideWhenUsed="0" w:uiPriority="0" w:name="index 5"/>
    <w:lsdException w:qFormat="1" w:unhideWhenUsed="0" w:uiPriority="0" w:name="index 6"/>
    <w:lsdException w:qFormat="1" w:unhideWhenUsed="0" w:uiPriority="0" w:name="index 7"/>
    <w:lsdException w:qFormat="1" w:unhideWhenUsed="0" w:uiPriority="0" w:name="index 8"/>
    <w:lsdException w:qFormat="1" w:unhideWhenUsed="0" w:uiPriority="0" w:name="index 9"/>
    <w:lsdException w:qFormat="1" w:unhideWhenUsed="0" w:uiPriority="39" w:semiHidden="0" w:name="toc 1"/>
    <w:lsdException w:qFormat="1" w:unhideWhenUsed="0" w:uiPriority="39" w:semiHidden="0" w:name="toc 2"/>
    <w:lsdException w:qFormat="1" w:uiPriority="0" w:semiHidden="0" w:name="toc 3"/>
    <w:lsdException w:qFormat="1" w:uiPriority="0" w:semiHidden="0" w:name="toc 4"/>
    <w:lsdException w:qFormat="1" w:uiPriority="0" w:semiHidden="0" w:name="toc 5"/>
    <w:lsdException w:qFormat="1" w:uiPriority="0" w:semiHidden="0" w:name="toc 6"/>
    <w:lsdException w:qFormat="1" w:uiPriority="0" w:semiHidden="0" w:name="toc 7"/>
    <w:lsdException w:qFormat="1" w:uiPriority="0" w:semiHidden="0" w:name="toc 8"/>
    <w:lsdException w:qFormat="1" w:unhideWhenUsed="0" w:uiPriority="0" w:semiHidden="0" w:name="toc 9"/>
    <w:lsdException w:qFormat="1" w:unhideWhenUsed="0" w:uiPriority="99" w:semiHidden="0" w:name="Normal Indent"/>
    <w:lsdException w:qFormat="1" w:unhideWhenUsed="0" w:uiPriority="0" w:name="footnote text"/>
    <w:lsdException w:qFormat="1" w:uiPriority="99" w:semiHidden="0" w:name="annotation text"/>
    <w:lsdException w:qFormat="1" w:uiPriority="99" w:semiHidden="0" w:name="header"/>
    <w:lsdException w:qFormat="1" w:uiPriority="99" w:semiHidden="0" w:name="footer"/>
    <w:lsdException w:qFormat="1" w:unhideWhenUsed="0" w:uiPriority="0" w:name="index heading"/>
    <w:lsdException w:qFormat="1" w:uiPriority="35" w:semiHidden="0" w:name="caption"/>
    <w:lsdException w:qFormat="1" w:unhideWhenUsed="0" w:uiPriority="0" w:name="table of figures"/>
    <w:lsdException w:qFormat="1" w:unhideWhenUsed="0" w:uiPriority="0" w:name="envelope address"/>
    <w:lsdException w:qFormat="1" w:unhideWhenUsed="0" w:uiPriority="0" w:name="envelope return"/>
    <w:lsdException w:qFormat="1" w:unhideWhenUsed="0" w:uiPriority="0" w:name="footnote reference"/>
    <w:lsdException w:qFormat="1" w:uiPriority="99" w:name="annotation reference"/>
    <w:lsdException w:qFormat="1" w:unhideWhenUsed="0" w:uiPriority="0" w:name="line number"/>
    <w:lsdException w:qFormat="1" w:unhideWhenUsed="0" w:uiPriority="0" w:semiHidden="0" w:name="page number"/>
    <w:lsdException w:qFormat="1" w:uiPriority="0" w:semiHidden="0" w:name="endnote reference"/>
    <w:lsdException w:qFormat="1" w:unhideWhenUsed="0" w:uiPriority="0" w:name="endnote text"/>
    <w:lsdException w:uiPriority="99" w:name="table of authorities"/>
    <w:lsdException w:uiPriority="99" w:name="macro"/>
    <w:lsdException w:qFormat="1" w:unhideWhenUsed="0" w:uiPriority="0" w:name="toa heading"/>
    <w:lsdException w:qFormat="1" w:unhideWhenUsed="0" w:uiPriority="0" w:name="List"/>
    <w:lsdException w:qFormat="1" w:unhideWhenUsed="0" w:uiPriority="0" w:name="List Bullet"/>
    <w:lsdException w:qFormat="1" w:unhideWhenUsed="0" w:uiPriority="0" w:name="List Number"/>
    <w:lsdException w:qFormat="1" w:unhideWhenUsed="0" w:uiPriority="0" w:name="List 2"/>
    <w:lsdException w:qFormat="1" w:unhideWhenUsed="0" w:uiPriority="0" w:name="List 3"/>
    <w:lsdException w:qFormat="1" w:unhideWhenUsed="0" w:uiPriority="0" w:name="List 4"/>
    <w:lsdException w:qFormat="1" w:unhideWhenUsed="0" w:uiPriority="0" w:name="List 5"/>
    <w:lsdException w:qFormat="1" w:unhideWhenUsed="0" w:uiPriority="0" w:name="List Bullet 2"/>
    <w:lsdException w:qFormat="1" w:unhideWhenUsed="0" w:uiPriority="0" w:name="List Bullet 3"/>
    <w:lsdException w:qFormat="1" w:unhideWhenUsed="0" w:uiPriority="0" w:name="List Bullet 4"/>
    <w:lsdException w:qFormat="1" w:unhideWhenUsed="0" w:uiPriority="0" w:name="List Bullet 5"/>
    <w:lsdException w:qFormat="1" w:unhideWhenUsed="0" w:uiPriority="0" w:name="List Number 2"/>
    <w:lsdException w:qFormat="1" w:unhideWhenUsed="0" w:uiPriority="0" w:name="List Number 3"/>
    <w:lsdException w:qFormat="1" w:unhideWhenUsed="0" w:uiPriority="0" w:name="List Number 4"/>
    <w:lsdException w:qFormat="1" w:unhideWhenUsed="0" w:uiPriority="0" w:name="List Number 5"/>
    <w:lsdException w:qFormat="1" w:unhideWhenUsed="0" w:uiPriority="10" w:semiHidden="0" w:name="Title"/>
    <w:lsdException w:qFormat="1" w:unhideWhenUsed="0" w:uiPriority="0" w:name="Closing"/>
    <w:lsdException w:qFormat="1" w:unhideWhenUsed="0" w:uiPriority="0" w:name="Signature"/>
    <w:lsdException w:qFormat="1" w:uiPriority="1" w:name="Default Paragraph Font"/>
    <w:lsdException w:qFormat="1" w:unhideWhenUsed="0" w:uiPriority="99" w:semiHidden="0" w:name="Body Text"/>
    <w:lsdException w:qFormat="1" w:uiPriority="0" w:semiHidden="0" w:name="Body Text Indent"/>
    <w:lsdException w:qFormat="1" w:unhideWhenUsed="0" w:uiPriority="0" w:name="List Continue"/>
    <w:lsdException w:qFormat="1" w:unhideWhenUsed="0" w:uiPriority="0" w:name="List Continue 2"/>
    <w:lsdException w:qFormat="1" w:unhideWhenUsed="0" w:uiPriority="0" w:name="List Continue 3"/>
    <w:lsdException w:qFormat="1" w:unhideWhenUsed="0" w:uiPriority="0" w:name="List Continue 4"/>
    <w:lsdException w:qFormat="1" w:unhideWhenUsed="0" w:uiPriority="0" w:name="List Continue 5"/>
    <w:lsdException w:qFormat="1" w:unhideWhenUsed="0" w:uiPriority="0" w:name="Message Header"/>
    <w:lsdException w:qFormat="1" w:unhideWhenUsed="0" w:uiPriority="11" w:semiHidden="0" w:name="Subtitle"/>
    <w:lsdException w:qFormat="1" w:unhideWhenUsed="0" w:uiPriority="0" w:name="Salutation"/>
    <w:lsdException w:qFormat="1" w:uiPriority="0" w:semiHidden="0" w:name="Date"/>
    <w:lsdException w:qFormat="1" w:unhideWhenUsed="0" w:uiPriority="0" w:name="Body Text First Indent"/>
    <w:lsdException w:qFormat="1" w:unhideWhenUsed="0" w:uiPriority="0" w:name="Body Text First Indent 2"/>
    <w:lsdException w:qFormat="1" w:unhideWhenUsed="0" w:uiPriority="0" w:name="Note Heading"/>
    <w:lsdException w:uiPriority="99" w:name="Body Text 2"/>
    <w:lsdException w:qFormat="1" w:unhideWhenUsed="0" w:uiPriority="0" w:name="Body Text 3"/>
    <w:lsdException w:qFormat="1" w:unhideWhenUsed="0" w:uiPriority="99" w:semiHidden="0" w:name="Body Text Indent 2"/>
    <w:lsdException w:qFormat="1" w:unhideWhenUsed="0" w:uiPriority="0" w:semiHidden="0" w:name="Body Text Indent 3"/>
    <w:lsdException w:qFormat="1" w:unhideWhenUsed="0" w:uiPriority="0" w:name="Block Text"/>
    <w:lsdException w:qFormat="1" w:uiPriority="99" w:semiHidden="0" w:name="Hyperlink"/>
    <w:lsdException w:qFormat="1" w:uiPriority="99" w:semiHidden="0" w:name="FollowedHyperlink"/>
    <w:lsdException w:qFormat="1" w:unhideWhenUsed="0" w:uiPriority="22" w:semiHidden="0" w:name="Strong"/>
    <w:lsdException w:qFormat="1" w:unhideWhenUsed="0" w:uiPriority="20" w:semiHidden="0" w:name="Emphasis"/>
    <w:lsdException w:qFormat="1" w:unhideWhenUsed="0" w:uiPriority="0" w:semiHidden="0" w:name="Document Map"/>
    <w:lsdException w:qFormat="1" w:uiPriority="0" w:semiHidden="0" w:name="Plain Text"/>
    <w:lsdException w:qFormat="1" w:unhideWhenUsed="0" w:uiPriority="0" w:name="E-mail Signature"/>
    <w:lsdException w:qFormat="1" w:uiPriority="0" w:semiHidden="0" w:name="Normal (Web)"/>
    <w:lsdException w:qFormat="1" w:unhideWhenUsed="0" w:uiPriority="0" w:name="HTML Acronym"/>
    <w:lsdException w:qFormat="1" w:unhideWhenUsed="0" w:uiPriority="0" w:name="HTML Address"/>
    <w:lsdException w:qFormat="1" w:unhideWhenUsed="0" w:uiPriority="0" w:name="HTML Cite"/>
    <w:lsdException w:qFormat="1" w:unhideWhenUsed="0" w:uiPriority="0" w:name="HTML Code"/>
    <w:lsdException w:qFormat="1" w:unhideWhenUsed="0" w:uiPriority="0" w:name="HTML Definition"/>
    <w:lsdException w:qFormat="1" w:unhideWhenUsed="0" w:uiPriority="0" w:name="HTML Keyboard"/>
    <w:lsdException w:qFormat="1" w:unhideWhenUsed="0" w:uiPriority="0" w:name="HTML Preformatted"/>
    <w:lsdException w:qFormat="1" w:unhideWhenUsed="0" w:uiPriority="0" w:name="HTML Sample"/>
    <w:lsdException w:qFormat="1" w:unhideWhenUsed="0" w:uiPriority="0" w:name="HTML Typewriter"/>
    <w:lsdException w:qFormat="1" w:unhideWhenUsed="0" w:uiPriority="0" w:name="HTML Variable"/>
    <w:lsdException w:qFormat="1" w:uiPriority="99" w:name="Normal Table"/>
    <w:lsdException w:qFormat="1" w:uiPriority="99" w:name="annotation subject"/>
    <w:lsdException w:qFormat="1" w:unhideWhenUsed="0" w:uiPriority="0" w:name="Table Simple 1"/>
    <w:lsdException w:qFormat="1" w:unhideWhenUsed="0" w:uiPriority="0" w:name="Table Simple 2"/>
    <w:lsdException w:qFormat="1" w:unhideWhenUsed="0" w:uiPriority="0" w:name="Table Simple 3"/>
    <w:lsdException w:qFormat="1" w:unhideWhenUsed="0" w:uiPriority="0" w:name="Table Classic 1"/>
    <w:lsdException w:qFormat="1" w:unhideWhenUsed="0" w:uiPriority="0" w:name="Table Classic 2"/>
    <w:lsdException w:qFormat="1" w:unhideWhenUsed="0" w:uiPriority="0" w:name="Table Classic 3"/>
    <w:lsdException w:qFormat="1" w:unhideWhenUsed="0" w:uiPriority="0" w:name="Table Classic 4"/>
    <w:lsdException w:qFormat="1" w:unhideWhenUsed="0" w:uiPriority="0" w:name="Table Colorful 1"/>
    <w:lsdException w:qFormat="1" w:unhideWhenUsed="0" w:uiPriority="0" w:name="Table Colorful 2"/>
    <w:lsdException w:qFormat="1" w:unhideWhenUsed="0" w:uiPriority="0" w:name="Table Colorful 3"/>
    <w:lsdException w:qFormat="1" w:unhideWhenUsed="0" w:uiPriority="0" w:name="Table Columns 1"/>
    <w:lsdException w:qFormat="1" w:unhideWhenUsed="0" w:uiPriority="0" w:name="Table Columns 2"/>
    <w:lsdException w:qFormat="1" w:unhideWhenUsed="0" w:uiPriority="0" w:name="Table Columns 3"/>
    <w:lsdException w:qFormat="1" w:unhideWhenUsed="0" w:uiPriority="0" w:name="Table Columns 4"/>
    <w:lsdException w:qFormat="1" w:unhideWhenUsed="0" w:uiPriority="0" w:name="Table Columns 5"/>
    <w:lsdException w:qFormat="1" w:unhideWhenUsed="0" w:uiPriority="0" w:name="Table Grid 1"/>
    <w:lsdException w:qFormat="1" w:unhideWhenUsed="0" w:uiPriority="0" w:name="Table Grid 2"/>
    <w:lsdException w:qFormat="1" w:unhideWhenUsed="0" w:uiPriority="0" w:name="Table Grid 3"/>
    <w:lsdException w:qFormat="1" w:unhideWhenUsed="0" w:uiPriority="0" w:name="Table Grid 4"/>
    <w:lsdException w:qFormat="1" w:unhideWhenUsed="0" w:uiPriority="0" w:name="Table Grid 5"/>
    <w:lsdException w:qFormat="1" w:unhideWhenUsed="0" w:uiPriority="0" w:name="Table Grid 6"/>
    <w:lsdException w:qFormat="1" w:unhideWhenUsed="0" w:uiPriority="0" w:name="Table Grid 7"/>
    <w:lsdException w:qFormat="1" w:unhideWhenUsed="0" w:uiPriority="0" w:name="Table Grid 8"/>
    <w:lsdException w:qFormat="1" w:unhideWhenUsed="0" w:uiPriority="0" w:name="Table List 1"/>
    <w:lsdException w:qFormat="1" w:unhideWhenUsed="0" w:uiPriority="0" w:name="Table List 2"/>
    <w:lsdException w:qFormat="1" w:unhideWhenUsed="0" w:uiPriority="0" w:name="Table List 3"/>
    <w:lsdException w:qFormat="1" w:unhideWhenUsed="0" w:uiPriority="0" w:name="Table List 4"/>
    <w:lsdException w:qFormat="1" w:unhideWhenUsed="0" w:uiPriority="0" w:name="Table List 5"/>
    <w:lsdException w:qFormat="1" w:unhideWhenUsed="0" w:uiPriority="0" w:name="Table List 6"/>
    <w:lsdException w:qFormat="1" w:unhideWhenUsed="0" w:uiPriority="0" w:name="Table List 7"/>
    <w:lsdException w:qFormat="1" w:unhideWhenUsed="0" w:uiPriority="0" w:name="Table List 8"/>
    <w:lsdException w:qFormat="1" w:unhideWhenUsed="0" w:uiPriority="0" w:name="Table 3D effects 1"/>
    <w:lsdException w:qFormat="1" w:unhideWhenUsed="0" w:uiPriority="0" w:name="Table 3D effects 2"/>
    <w:lsdException w:qFormat="1" w:unhideWhenUsed="0" w:uiPriority="0" w:name="Table 3D effects 3"/>
    <w:lsdException w:qFormat="1" w:unhideWhenUsed="0" w:uiPriority="0" w:name="Table Contemporary"/>
    <w:lsdException w:qFormat="1" w:unhideWhenUsed="0" w:uiPriority="0" w:name="Table Elegant"/>
    <w:lsdException w:qFormat="1" w:unhideWhenUsed="0" w:uiPriority="0" w:name="Table Professional"/>
    <w:lsdException w:qFormat="1" w:unhideWhenUsed="0" w:uiPriority="0" w:name="Table Subtle 1"/>
    <w:lsdException w:qFormat="1" w:unhideWhenUsed="0" w:uiPriority="0" w:name="Table Subtle 2"/>
    <w:lsdException w:qFormat="1" w:unhideWhenUsed="0" w:uiPriority="0" w:name="Table Web 1"/>
    <w:lsdException w:qFormat="1" w:unhideWhenUsed="0" w:uiPriority="0" w:name="Table Web 2"/>
    <w:lsdException w:qFormat="1" w:unhideWhenUsed="0" w:uiPriority="0" w:name="Table Web 3"/>
    <w:lsdException w:qFormat="1" w:uiPriority="99" w:name="Balloon Text"/>
    <w:lsdException w:qFormat="1" w:unhideWhenUsed="0" w:uiPriority="0" w:semiHidden="0" w:name="Table Grid"/>
    <w:lsdException w:qFormat="1" w:unhideWhenUsed="0"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1"/>
    <w:pPr>
      <w:keepLines/>
      <w:widowControl w:val="0"/>
      <w:autoSpaceDE w:val="0"/>
      <w:autoSpaceDN w:val="0"/>
      <w:spacing w:line="300" w:lineRule="auto"/>
    </w:pPr>
    <w:rPr>
      <w:rFonts w:ascii="宋体" w:hAnsi="宋体" w:eastAsia="宋体" w:cs="宋体"/>
      <w:sz w:val="24"/>
      <w:szCs w:val="22"/>
      <w:lang w:val="en-US" w:eastAsia="en-US" w:bidi="ar-SA"/>
    </w:rPr>
  </w:style>
  <w:style w:type="paragraph" w:styleId="3">
    <w:name w:val="heading 1"/>
    <w:basedOn w:val="1"/>
    <w:next w:val="1"/>
    <w:link w:val="162"/>
    <w:qFormat/>
    <w:uiPriority w:val="9"/>
    <w:pPr>
      <w:numPr>
        <w:ilvl w:val="0"/>
        <w:numId w:val="1"/>
      </w:numPr>
      <w:tabs>
        <w:tab w:val="center" w:pos="0"/>
        <w:tab w:val="left" w:pos="1259"/>
      </w:tabs>
      <w:jc w:val="center"/>
      <w:outlineLvl w:val="0"/>
    </w:pPr>
    <w:rPr>
      <w:rFonts w:ascii="Times New Roman" w:hAnsi="Times New Roman" w:eastAsia="黑体" w:cs="Times New Roman"/>
      <w:sz w:val="36"/>
      <w:szCs w:val="36"/>
      <w:lang w:eastAsia="zh-CN"/>
    </w:rPr>
  </w:style>
  <w:style w:type="paragraph" w:styleId="4">
    <w:name w:val="heading 2"/>
    <w:basedOn w:val="1"/>
    <w:next w:val="1"/>
    <w:link w:val="163"/>
    <w:qFormat/>
    <w:uiPriority w:val="9"/>
    <w:pPr>
      <w:numPr>
        <w:ilvl w:val="1"/>
        <w:numId w:val="1"/>
      </w:numPr>
      <w:outlineLvl w:val="1"/>
    </w:pPr>
    <w:rPr>
      <w:rFonts w:ascii="Times New Roman" w:hAnsi="Times New Roman" w:eastAsia="黑体" w:cs="Times New Roman"/>
      <w:sz w:val="30"/>
      <w:szCs w:val="30"/>
      <w:lang w:eastAsia="zh-CN"/>
    </w:rPr>
  </w:style>
  <w:style w:type="paragraph" w:styleId="5">
    <w:name w:val="heading 3"/>
    <w:basedOn w:val="1"/>
    <w:next w:val="6"/>
    <w:link w:val="164"/>
    <w:qFormat/>
    <w:uiPriority w:val="9"/>
    <w:pPr>
      <w:keepLines w:val="0"/>
      <w:numPr>
        <w:ilvl w:val="2"/>
        <w:numId w:val="1"/>
      </w:numPr>
      <w:tabs>
        <w:tab w:val="left" w:pos="1045"/>
      </w:tabs>
      <w:outlineLvl w:val="2"/>
    </w:pPr>
    <w:rPr>
      <w:rFonts w:ascii="Times New Roman" w:hAnsi="Times New Roman" w:cs="Times New Roman"/>
      <w:lang w:eastAsia="zh-CN"/>
    </w:rPr>
  </w:style>
  <w:style w:type="paragraph" w:styleId="7">
    <w:name w:val="heading 4"/>
    <w:basedOn w:val="6"/>
    <w:next w:val="1"/>
    <w:link w:val="159"/>
    <w:qFormat/>
    <w:uiPriority w:val="9"/>
    <w:pPr>
      <w:keepNext w:val="0"/>
      <w:widowControl w:val="0"/>
      <w:ind w:left="1043"/>
    </w:pPr>
  </w:style>
  <w:style w:type="paragraph" w:styleId="8">
    <w:name w:val="heading 5"/>
    <w:basedOn w:val="1"/>
    <w:next w:val="1"/>
    <w:link w:val="158"/>
    <w:unhideWhenUsed/>
    <w:qFormat/>
    <w:uiPriority w:val="0"/>
    <w:pPr>
      <w:numPr>
        <w:ilvl w:val="0"/>
        <w:numId w:val="2"/>
      </w:numPr>
      <w:tabs>
        <w:tab w:val="left" w:pos="1045"/>
      </w:tabs>
      <w:outlineLvl w:val="4"/>
    </w:pPr>
    <w:rPr>
      <w:rFonts w:ascii="Times New Roman" w:hAnsi="Times New Roman" w:cs="Times New Roman"/>
      <w:lang w:eastAsia="zh-CN"/>
    </w:rPr>
  </w:style>
  <w:style w:type="paragraph" w:styleId="9">
    <w:name w:val="heading 6"/>
    <w:basedOn w:val="1"/>
    <w:next w:val="1"/>
    <w:link w:val="170"/>
    <w:unhideWhenUsed/>
    <w:qFormat/>
    <w:uiPriority w:val="0"/>
    <w:pPr>
      <w:numPr>
        <w:ilvl w:val="1"/>
        <w:numId w:val="3"/>
      </w:numPr>
      <w:tabs>
        <w:tab w:val="left" w:pos="1045"/>
      </w:tabs>
      <w:outlineLvl w:val="5"/>
    </w:pPr>
    <w:rPr>
      <w:rFonts w:ascii="Times New Roman" w:hAnsi="Times New Roman" w:cs="Times New Roman"/>
      <w:lang w:eastAsia="zh-CN"/>
    </w:rPr>
  </w:style>
  <w:style w:type="paragraph" w:styleId="10">
    <w:name w:val="heading 7"/>
    <w:basedOn w:val="1"/>
    <w:next w:val="1"/>
    <w:link w:val="171"/>
    <w:unhideWhenUsed/>
    <w:qFormat/>
    <w:uiPriority w:val="0"/>
    <w:pPr>
      <w:numPr>
        <w:ilvl w:val="2"/>
        <w:numId w:val="3"/>
      </w:numPr>
      <w:tabs>
        <w:tab w:val="left" w:pos="1045"/>
      </w:tabs>
      <w:outlineLvl w:val="6"/>
    </w:pPr>
    <w:rPr>
      <w:rFonts w:ascii="Times New Roman" w:hAnsi="Times New Roman" w:cs="Times New Roman"/>
      <w:lang w:eastAsia="zh-CN"/>
    </w:rPr>
  </w:style>
  <w:style w:type="paragraph" w:styleId="11">
    <w:name w:val="heading 8"/>
    <w:basedOn w:val="1"/>
    <w:next w:val="1"/>
    <w:link w:val="177"/>
    <w:qFormat/>
    <w:uiPriority w:val="0"/>
    <w:pPr>
      <w:keepLines w:val="0"/>
      <w:autoSpaceDE/>
      <w:autoSpaceDN/>
      <w:spacing w:line="240" w:lineRule="auto"/>
      <w:ind w:left="1440" w:hanging="432"/>
      <w:jc w:val="both"/>
      <w:outlineLvl w:val="7"/>
    </w:pPr>
    <w:rPr>
      <w:rFonts w:ascii="Times New Roman" w:hAnsi="Times New Roman" w:cs="Times New Roman"/>
      <w:sz w:val="20"/>
      <w:szCs w:val="20"/>
      <w:lang w:eastAsia="zh-CN"/>
    </w:rPr>
  </w:style>
  <w:style w:type="paragraph" w:styleId="12">
    <w:name w:val="heading 9"/>
    <w:basedOn w:val="1"/>
    <w:next w:val="1"/>
    <w:link w:val="178"/>
    <w:qFormat/>
    <w:uiPriority w:val="0"/>
    <w:pPr>
      <w:keepLines w:val="0"/>
      <w:autoSpaceDE/>
      <w:autoSpaceDN/>
      <w:spacing w:line="240" w:lineRule="auto"/>
      <w:ind w:left="1584" w:hanging="144"/>
      <w:jc w:val="both"/>
      <w:outlineLvl w:val="8"/>
    </w:pPr>
    <w:rPr>
      <w:rFonts w:ascii="Times New Roman" w:hAnsi="Times New Roman" w:cs="Times New Roman"/>
      <w:sz w:val="20"/>
      <w:szCs w:val="20"/>
      <w:lang w:eastAsia="zh-CN"/>
    </w:rPr>
  </w:style>
  <w:style w:type="character" w:default="1" w:styleId="130">
    <w:name w:val="Default Paragraph Font"/>
    <w:semiHidden/>
    <w:unhideWhenUsed/>
    <w:qFormat/>
    <w:uiPriority w:val="1"/>
  </w:style>
  <w:style w:type="table" w:default="1" w:styleId="85">
    <w:name w:val="Normal Table"/>
    <w:semiHidden/>
    <w:unhideWhenUsed/>
    <w:qFormat/>
    <w:uiPriority w:val="99"/>
    <w:tblPr>
      <w:tblCellMar>
        <w:top w:w="0" w:type="dxa"/>
        <w:left w:w="108" w:type="dxa"/>
        <w:bottom w:w="0" w:type="dxa"/>
        <w:right w:w="108" w:type="dxa"/>
      </w:tblCellMar>
    </w:tblPr>
  </w:style>
  <w:style w:type="paragraph" w:styleId="2">
    <w:name w:val="Plain Text"/>
    <w:basedOn w:val="1"/>
    <w:link w:val="215"/>
    <w:unhideWhenUsed/>
    <w:qFormat/>
    <w:uiPriority w:val="0"/>
    <w:rPr>
      <w:rFonts w:hAnsi="Courier New"/>
    </w:rPr>
  </w:style>
  <w:style w:type="paragraph" w:customStyle="1" w:styleId="6">
    <w:name w:val="标题4"/>
    <w:basedOn w:val="1"/>
    <w:link w:val="166"/>
    <w:qFormat/>
    <w:uiPriority w:val="0"/>
    <w:pPr>
      <w:keepNext/>
      <w:widowControl/>
      <w:autoSpaceDE/>
      <w:autoSpaceDN/>
      <w:snapToGrid w:val="0"/>
      <w:ind w:left="1044" w:hanging="607"/>
      <w:jc w:val="both"/>
      <w:outlineLvl w:val="3"/>
    </w:pPr>
    <w:rPr>
      <w:rFonts w:ascii="Times New Roman" w:hAnsi="Times New Roman" w:cstheme="minorBidi"/>
      <w:kern w:val="32"/>
      <w:szCs w:val="32"/>
      <w:lang w:eastAsia="zh-CN"/>
    </w:rPr>
  </w:style>
  <w:style w:type="paragraph" w:styleId="13">
    <w:name w:val="List 3"/>
    <w:basedOn w:val="1"/>
    <w:semiHidden/>
    <w:qFormat/>
    <w:uiPriority w:val="0"/>
    <w:pPr>
      <w:keepLines w:val="0"/>
      <w:autoSpaceDE/>
      <w:autoSpaceDN/>
      <w:spacing w:line="240" w:lineRule="auto"/>
      <w:ind w:left="100" w:leftChars="400" w:hanging="200" w:hangingChars="200"/>
      <w:jc w:val="both"/>
    </w:pPr>
    <w:rPr>
      <w:rFonts w:ascii="Times New Roman" w:hAnsi="Times New Roman" w:cs="Times New Roman"/>
      <w:kern w:val="2"/>
      <w:sz w:val="21"/>
      <w:szCs w:val="24"/>
      <w:lang w:eastAsia="zh-CN"/>
    </w:rPr>
  </w:style>
  <w:style w:type="paragraph" w:styleId="14">
    <w:name w:val="toc 7"/>
    <w:basedOn w:val="1"/>
    <w:next w:val="1"/>
    <w:unhideWhenUsed/>
    <w:qFormat/>
    <w:uiPriority w:val="0"/>
    <w:pPr>
      <w:ind w:left="1320"/>
    </w:pPr>
    <w:rPr>
      <w:rFonts w:asciiTheme="minorHAnsi" w:hAnsiTheme="minorHAnsi"/>
      <w:sz w:val="18"/>
      <w:szCs w:val="18"/>
    </w:rPr>
  </w:style>
  <w:style w:type="paragraph" w:styleId="15">
    <w:name w:val="List Number 2"/>
    <w:basedOn w:val="1"/>
    <w:semiHidden/>
    <w:qFormat/>
    <w:uiPriority w:val="0"/>
    <w:pPr>
      <w:keepLines w:val="0"/>
      <w:tabs>
        <w:tab w:val="left" w:pos="780"/>
      </w:tabs>
      <w:autoSpaceDE/>
      <w:autoSpaceDN/>
      <w:spacing w:line="240" w:lineRule="auto"/>
      <w:ind w:left="780" w:hanging="360"/>
      <w:jc w:val="both"/>
    </w:pPr>
    <w:rPr>
      <w:rFonts w:ascii="Times New Roman" w:hAnsi="Times New Roman" w:cs="Times New Roman"/>
      <w:kern w:val="2"/>
      <w:sz w:val="21"/>
      <w:szCs w:val="24"/>
      <w:lang w:eastAsia="zh-CN"/>
    </w:rPr>
  </w:style>
  <w:style w:type="paragraph" w:styleId="16">
    <w:name w:val="Note Heading"/>
    <w:basedOn w:val="1"/>
    <w:next w:val="1"/>
    <w:link w:val="179"/>
    <w:semiHidden/>
    <w:qFormat/>
    <w:uiPriority w:val="0"/>
    <w:pPr>
      <w:keepLines w:val="0"/>
      <w:autoSpaceDE/>
      <w:autoSpaceDN/>
      <w:spacing w:line="240" w:lineRule="auto"/>
      <w:jc w:val="center"/>
    </w:pPr>
    <w:rPr>
      <w:rFonts w:ascii="Times New Roman" w:hAnsi="Times New Roman" w:cs="Times New Roman"/>
      <w:kern w:val="2"/>
      <w:sz w:val="21"/>
      <w:szCs w:val="24"/>
      <w:lang w:eastAsia="zh-CN"/>
    </w:rPr>
  </w:style>
  <w:style w:type="paragraph" w:styleId="17">
    <w:name w:val="List Bullet 4"/>
    <w:basedOn w:val="1"/>
    <w:semiHidden/>
    <w:qFormat/>
    <w:uiPriority w:val="0"/>
    <w:pPr>
      <w:keepLines w:val="0"/>
      <w:tabs>
        <w:tab w:val="left" w:pos="1620"/>
      </w:tabs>
      <w:autoSpaceDE/>
      <w:autoSpaceDN/>
      <w:spacing w:line="240" w:lineRule="auto"/>
      <w:ind w:left="1620" w:hanging="360"/>
      <w:jc w:val="both"/>
    </w:pPr>
    <w:rPr>
      <w:rFonts w:ascii="Times New Roman" w:hAnsi="Times New Roman" w:cs="Times New Roman"/>
      <w:kern w:val="2"/>
      <w:sz w:val="21"/>
      <w:szCs w:val="24"/>
      <w:lang w:eastAsia="zh-CN"/>
    </w:rPr>
  </w:style>
  <w:style w:type="paragraph" w:styleId="18">
    <w:name w:val="index 8"/>
    <w:basedOn w:val="1"/>
    <w:next w:val="1"/>
    <w:semiHidden/>
    <w:qFormat/>
    <w:uiPriority w:val="0"/>
    <w:pPr>
      <w:keepLines w:val="0"/>
      <w:autoSpaceDE/>
      <w:autoSpaceDN/>
      <w:spacing w:line="240" w:lineRule="auto"/>
      <w:ind w:left="1680" w:hanging="210"/>
    </w:pPr>
    <w:rPr>
      <w:rFonts w:ascii="Times New Roman" w:hAnsi="Times New Roman" w:cs="Times New Roman"/>
      <w:kern w:val="2"/>
      <w:sz w:val="20"/>
      <w:szCs w:val="20"/>
      <w:lang w:eastAsia="zh-CN"/>
    </w:rPr>
  </w:style>
  <w:style w:type="paragraph" w:styleId="19">
    <w:name w:val="E-mail Signature"/>
    <w:basedOn w:val="1"/>
    <w:link w:val="180"/>
    <w:semiHidden/>
    <w:qFormat/>
    <w:uiPriority w:val="0"/>
    <w:pPr>
      <w:keepLines w:val="0"/>
      <w:autoSpaceDE/>
      <w:autoSpaceDN/>
      <w:spacing w:line="240" w:lineRule="auto"/>
      <w:jc w:val="both"/>
    </w:pPr>
    <w:rPr>
      <w:rFonts w:ascii="Times New Roman" w:hAnsi="Times New Roman" w:cs="Times New Roman"/>
      <w:kern w:val="2"/>
      <w:sz w:val="21"/>
      <w:szCs w:val="24"/>
      <w:lang w:eastAsia="zh-CN"/>
    </w:rPr>
  </w:style>
  <w:style w:type="paragraph" w:styleId="20">
    <w:name w:val="List Number"/>
    <w:basedOn w:val="1"/>
    <w:semiHidden/>
    <w:qFormat/>
    <w:uiPriority w:val="0"/>
    <w:pPr>
      <w:keepLines w:val="0"/>
      <w:tabs>
        <w:tab w:val="left" w:pos="360"/>
      </w:tabs>
      <w:autoSpaceDE/>
      <w:autoSpaceDN/>
      <w:spacing w:line="240" w:lineRule="auto"/>
      <w:ind w:left="360" w:hanging="360"/>
      <w:jc w:val="both"/>
    </w:pPr>
    <w:rPr>
      <w:rFonts w:ascii="Times New Roman" w:hAnsi="Times New Roman" w:cs="Times New Roman"/>
      <w:kern w:val="2"/>
      <w:sz w:val="21"/>
      <w:szCs w:val="24"/>
      <w:lang w:eastAsia="zh-CN"/>
    </w:rPr>
  </w:style>
  <w:style w:type="paragraph" w:styleId="21">
    <w:name w:val="Normal Indent"/>
    <w:basedOn w:val="1"/>
    <w:qFormat/>
    <w:uiPriority w:val="99"/>
    <w:pPr>
      <w:spacing w:line="312" w:lineRule="atLeast"/>
      <w:ind w:firstLine="420"/>
    </w:pPr>
  </w:style>
  <w:style w:type="paragraph" w:styleId="22">
    <w:name w:val="caption"/>
    <w:basedOn w:val="1"/>
    <w:next w:val="1"/>
    <w:unhideWhenUsed/>
    <w:qFormat/>
    <w:uiPriority w:val="35"/>
    <w:pPr>
      <w:keepLines w:val="0"/>
      <w:jc w:val="center"/>
    </w:pPr>
    <w:rPr>
      <w:rFonts w:ascii="Arial" w:hAnsi="Arial"/>
    </w:rPr>
  </w:style>
  <w:style w:type="paragraph" w:styleId="23">
    <w:name w:val="index 5"/>
    <w:basedOn w:val="1"/>
    <w:next w:val="1"/>
    <w:semiHidden/>
    <w:qFormat/>
    <w:uiPriority w:val="0"/>
    <w:pPr>
      <w:keepLines w:val="0"/>
      <w:autoSpaceDE/>
      <w:autoSpaceDN/>
      <w:spacing w:line="240" w:lineRule="auto"/>
      <w:ind w:left="1050" w:hanging="210"/>
    </w:pPr>
    <w:rPr>
      <w:rFonts w:ascii="Times New Roman" w:hAnsi="Times New Roman" w:cs="Times New Roman"/>
      <w:kern w:val="2"/>
      <w:sz w:val="20"/>
      <w:szCs w:val="20"/>
      <w:lang w:eastAsia="zh-CN"/>
    </w:rPr>
  </w:style>
  <w:style w:type="paragraph" w:styleId="24">
    <w:name w:val="List Bullet"/>
    <w:basedOn w:val="1"/>
    <w:semiHidden/>
    <w:qFormat/>
    <w:uiPriority w:val="0"/>
    <w:pPr>
      <w:keepLines w:val="0"/>
      <w:tabs>
        <w:tab w:val="left" w:pos="360"/>
      </w:tabs>
      <w:autoSpaceDE/>
      <w:autoSpaceDN/>
      <w:spacing w:line="240" w:lineRule="auto"/>
      <w:ind w:left="360" w:hanging="360"/>
      <w:jc w:val="both"/>
    </w:pPr>
    <w:rPr>
      <w:rFonts w:ascii="Times New Roman" w:hAnsi="Times New Roman" w:cs="Times New Roman"/>
      <w:kern w:val="2"/>
      <w:sz w:val="21"/>
      <w:szCs w:val="24"/>
      <w:lang w:eastAsia="zh-CN"/>
    </w:rPr>
  </w:style>
  <w:style w:type="paragraph" w:styleId="25">
    <w:name w:val="envelope address"/>
    <w:basedOn w:val="1"/>
    <w:semiHidden/>
    <w:qFormat/>
    <w:uiPriority w:val="0"/>
    <w:pPr>
      <w:keepLines w:val="0"/>
      <w:framePr w:w="7920" w:h="1980" w:hRule="exact" w:hSpace="180" w:wrap="around" w:vAnchor="margin" w:hAnchor="page" w:xAlign="center" w:yAlign="bottom"/>
      <w:autoSpaceDE/>
      <w:autoSpaceDN/>
      <w:snapToGrid w:val="0"/>
      <w:spacing w:line="240" w:lineRule="auto"/>
      <w:ind w:left="100" w:leftChars="1400"/>
      <w:jc w:val="both"/>
    </w:pPr>
    <w:rPr>
      <w:rFonts w:ascii="Arial" w:hAnsi="Arial" w:cs="Arial"/>
      <w:kern w:val="2"/>
      <w:szCs w:val="24"/>
      <w:lang w:eastAsia="zh-CN"/>
    </w:rPr>
  </w:style>
  <w:style w:type="paragraph" w:styleId="26">
    <w:name w:val="Document Map"/>
    <w:basedOn w:val="1"/>
    <w:link w:val="155"/>
    <w:qFormat/>
    <w:uiPriority w:val="0"/>
    <w:pPr>
      <w:widowControl/>
      <w:shd w:val="clear" w:color="auto" w:fill="000080"/>
      <w:autoSpaceDE/>
      <w:autoSpaceDN/>
    </w:pPr>
    <w:rPr>
      <w:rFonts w:ascii="Times New Roman" w:hAnsi="Times New Roman" w:eastAsiaTheme="minorEastAsia" w:cstheme="minorBidi"/>
      <w:kern w:val="2"/>
      <w:szCs w:val="24"/>
      <w:lang w:eastAsia="zh-CN"/>
    </w:rPr>
  </w:style>
  <w:style w:type="paragraph" w:styleId="27">
    <w:name w:val="toa heading"/>
    <w:basedOn w:val="1"/>
    <w:next w:val="1"/>
    <w:semiHidden/>
    <w:qFormat/>
    <w:uiPriority w:val="0"/>
    <w:pPr>
      <w:keepLines w:val="0"/>
      <w:adjustRightInd w:val="0"/>
      <w:spacing w:before="120" w:after="60" w:line="360" w:lineRule="auto"/>
      <w:ind w:right="-425"/>
      <w:jc w:val="both"/>
    </w:pPr>
    <w:rPr>
      <w:rFonts w:ascii="Arial" w:hAnsi="Arial" w:cs="Times New Roman"/>
      <w:color w:val="000000"/>
      <w:kern w:val="2"/>
      <w:szCs w:val="20"/>
      <w:lang w:eastAsia="zh-CN"/>
    </w:rPr>
  </w:style>
  <w:style w:type="paragraph" w:styleId="28">
    <w:name w:val="annotation text"/>
    <w:basedOn w:val="1"/>
    <w:link w:val="151"/>
    <w:unhideWhenUsed/>
    <w:qFormat/>
    <w:uiPriority w:val="99"/>
  </w:style>
  <w:style w:type="paragraph" w:styleId="29">
    <w:name w:val="index 6"/>
    <w:basedOn w:val="1"/>
    <w:next w:val="1"/>
    <w:semiHidden/>
    <w:qFormat/>
    <w:uiPriority w:val="0"/>
    <w:pPr>
      <w:keepLines w:val="0"/>
      <w:autoSpaceDE/>
      <w:autoSpaceDN/>
      <w:spacing w:line="240" w:lineRule="auto"/>
      <w:ind w:left="1260" w:hanging="210"/>
    </w:pPr>
    <w:rPr>
      <w:rFonts w:ascii="Times New Roman" w:hAnsi="Times New Roman" w:cs="Times New Roman"/>
      <w:kern w:val="2"/>
      <w:sz w:val="20"/>
      <w:szCs w:val="20"/>
      <w:lang w:eastAsia="zh-CN"/>
    </w:rPr>
  </w:style>
  <w:style w:type="paragraph" w:styleId="30">
    <w:name w:val="Salutation"/>
    <w:basedOn w:val="1"/>
    <w:next w:val="1"/>
    <w:link w:val="181"/>
    <w:semiHidden/>
    <w:qFormat/>
    <w:uiPriority w:val="0"/>
    <w:pPr>
      <w:keepLines w:val="0"/>
      <w:autoSpaceDE/>
      <w:autoSpaceDN/>
      <w:spacing w:line="240" w:lineRule="auto"/>
      <w:jc w:val="both"/>
    </w:pPr>
    <w:rPr>
      <w:rFonts w:ascii="Times New Roman" w:hAnsi="Times New Roman" w:cs="Times New Roman"/>
      <w:kern w:val="2"/>
      <w:sz w:val="21"/>
      <w:szCs w:val="24"/>
      <w:lang w:eastAsia="zh-CN"/>
    </w:rPr>
  </w:style>
  <w:style w:type="paragraph" w:styleId="31">
    <w:name w:val="Body Text 3"/>
    <w:basedOn w:val="1"/>
    <w:link w:val="182"/>
    <w:semiHidden/>
    <w:qFormat/>
    <w:uiPriority w:val="0"/>
    <w:pPr>
      <w:keepLines w:val="0"/>
      <w:autoSpaceDE/>
      <w:autoSpaceDN/>
      <w:spacing w:after="120" w:line="240" w:lineRule="auto"/>
      <w:jc w:val="both"/>
    </w:pPr>
    <w:rPr>
      <w:rFonts w:ascii="Times New Roman" w:hAnsi="Times New Roman" w:cs="Times New Roman"/>
      <w:kern w:val="2"/>
      <w:sz w:val="16"/>
      <w:szCs w:val="16"/>
      <w:lang w:eastAsia="zh-CN"/>
    </w:rPr>
  </w:style>
  <w:style w:type="paragraph" w:styleId="32">
    <w:name w:val="Closing"/>
    <w:basedOn w:val="1"/>
    <w:link w:val="183"/>
    <w:semiHidden/>
    <w:qFormat/>
    <w:uiPriority w:val="0"/>
    <w:pPr>
      <w:keepLines w:val="0"/>
      <w:autoSpaceDE/>
      <w:autoSpaceDN/>
      <w:spacing w:line="240" w:lineRule="auto"/>
      <w:ind w:left="100" w:leftChars="2100"/>
      <w:jc w:val="both"/>
    </w:pPr>
    <w:rPr>
      <w:rFonts w:ascii="Times New Roman" w:hAnsi="Times New Roman" w:cs="Times New Roman"/>
      <w:kern w:val="2"/>
      <w:sz w:val="21"/>
      <w:szCs w:val="24"/>
      <w:lang w:eastAsia="zh-CN"/>
    </w:rPr>
  </w:style>
  <w:style w:type="paragraph" w:styleId="33">
    <w:name w:val="List Bullet 3"/>
    <w:basedOn w:val="1"/>
    <w:semiHidden/>
    <w:qFormat/>
    <w:uiPriority w:val="0"/>
    <w:pPr>
      <w:keepLines w:val="0"/>
      <w:tabs>
        <w:tab w:val="left" w:pos="1200"/>
      </w:tabs>
      <w:autoSpaceDE/>
      <w:autoSpaceDN/>
      <w:spacing w:line="240" w:lineRule="auto"/>
      <w:ind w:left="1200" w:hanging="360"/>
      <w:jc w:val="both"/>
    </w:pPr>
    <w:rPr>
      <w:rFonts w:ascii="Times New Roman" w:hAnsi="Times New Roman" w:cs="Times New Roman"/>
      <w:kern w:val="2"/>
      <w:sz w:val="21"/>
      <w:szCs w:val="24"/>
      <w:lang w:eastAsia="zh-CN"/>
    </w:rPr>
  </w:style>
  <w:style w:type="paragraph" w:styleId="34">
    <w:name w:val="Body Text"/>
    <w:basedOn w:val="1"/>
    <w:next w:val="35"/>
    <w:link w:val="165"/>
    <w:qFormat/>
    <w:uiPriority w:val="99"/>
    <w:pPr>
      <w:ind w:firstLine="200" w:firstLineChars="200"/>
    </w:pPr>
    <w:rPr>
      <w:lang w:eastAsia="zh-CN"/>
    </w:rPr>
  </w:style>
  <w:style w:type="paragraph" w:styleId="35">
    <w:name w:val="Date"/>
    <w:basedOn w:val="1"/>
    <w:next w:val="1"/>
    <w:link w:val="230"/>
    <w:unhideWhenUsed/>
    <w:qFormat/>
    <w:uiPriority w:val="0"/>
    <w:pPr>
      <w:ind w:left="100" w:leftChars="2500"/>
    </w:pPr>
  </w:style>
  <w:style w:type="paragraph" w:styleId="36">
    <w:name w:val="Body Text Indent"/>
    <w:basedOn w:val="1"/>
    <w:link w:val="184"/>
    <w:unhideWhenUsed/>
    <w:qFormat/>
    <w:uiPriority w:val="0"/>
    <w:pPr>
      <w:keepLines w:val="0"/>
      <w:autoSpaceDE/>
      <w:autoSpaceDN/>
      <w:spacing w:after="120" w:line="240" w:lineRule="auto"/>
      <w:ind w:left="420" w:leftChars="200"/>
      <w:jc w:val="both"/>
    </w:pPr>
    <w:rPr>
      <w:rFonts w:ascii="Times New Roman" w:hAnsi="Times New Roman" w:cs="Times New Roman"/>
      <w:kern w:val="2"/>
      <w:sz w:val="21"/>
      <w:szCs w:val="20"/>
      <w:lang w:eastAsia="zh-CN"/>
    </w:rPr>
  </w:style>
  <w:style w:type="paragraph" w:styleId="37">
    <w:name w:val="List Number 3"/>
    <w:basedOn w:val="1"/>
    <w:semiHidden/>
    <w:qFormat/>
    <w:uiPriority w:val="0"/>
    <w:pPr>
      <w:keepLines w:val="0"/>
      <w:tabs>
        <w:tab w:val="left" w:pos="1200"/>
      </w:tabs>
      <w:autoSpaceDE/>
      <w:autoSpaceDN/>
      <w:spacing w:line="240" w:lineRule="auto"/>
      <w:ind w:left="1200" w:hanging="360"/>
      <w:jc w:val="both"/>
    </w:pPr>
    <w:rPr>
      <w:rFonts w:ascii="Times New Roman" w:hAnsi="Times New Roman" w:cs="Times New Roman"/>
      <w:kern w:val="2"/>
      <w:sz w:val="21"/>
      <w:szCs w:val="24"/>
      <w:lang w:eastAsia="zh-CN"/>
    </w:rPr>
  </w:style>
  <w:style w:type="paragraph" w:styleId="38">
    <w:name w:val="List 2"/>
    <w:basedOn w:val="1"/>
    <w:semiHidden/>
    <w:qFormat/>
    <w:uiPriority w:val="0"/>
    <w:pPr>
      <w:keepLines w:val="0"/>
      <w:autoSpaceDE/>
      <w:autoSpaceDN/>
      <w:spacing w:line="240" w:lineRule="auto"/>
      <w:ind w:left="100" w:leftChars="200" w:hanging="200" w:hangingChars="200"/>
      <w:jc w:val="both"/>
    </w:pPr>
    <w:rPr>
      <w:rFonts w:ascii="Times New Roman" w:hAnsi="Times New Roman" w:cs="Times New Roman"/>
      <w:kern w:val="2"/>
      <w:sz w:val="21"/>
      <w:szCs w:val="24"/>
      <w:lang w:eastAsia="zh-CN"/>
    </w:rPr>
  </w:style>
  <w:style w:type="paragraph" w:styleId="39">
    <w:name w:val="List Continue"/>
    <w:basedOn w:val="1"/>
    <w:semiHidden/>
    <w:qFormat/>
    <w:uiPriority w:val="0"/>
    <w:pPr>
      <w:keepLines w:val="0"/>
      <w:autoSpaceDE/>
      <w:autoSpaceDN/>
      <w:spacing w:after="120" w:line="240" w:lineRule="auto"/>
      <w:ind w:left="420" w:leftChars="200"/>
      <w:jc w:val="both"/>
    </w:pPr>
    <w:rPr>
      <w:rFonts w:ascii="Times New Roman" w:hAnsi="Times New Roman" w:cs="Times New Roman"/>
      <w:kern w:val="2"/>
      <w:sz w:val="21"/>
      <w:szCs w:val="24"/>
      <w:lang w:eastAsia="zh-CN"/>
    </w:rPr>
  </w:style>
  <w:style w:type="paragraph" w:styleId="40">
    <w:name w:val="Block Text"/>
    <w:basedOn w:val="1"/>
    <w:semiHidden/>
    <w:qFormat/>
    <w:uiPriority w:val="0"/>
    <w:pPr>
      <w:keepLines w:val="0"/>
      <w:autoSpaceDE/>
      <w:autoSpaceDN/>
      <w:spacing w:after="120" w:line="240" w:lineRule="auto"/>
      <w:ind w:left="1440" w:leftChars="700" w:right="1440" w:rightChars="700"/>
      <w:jc w:val="both"/>
    </w:pPr>
    <w:rPr>
      <w:rFonts w:ascii="Times New Roman" w:hAnsi="Times New Roman" w:cs="Times New Roman"/>
      <w:kern w:val="2"/>
      <w:sz w:val="21"/>
      <w:szCs w:val="24"/>
      <w:lang w:eastAsia="zh-CN"/>
    </w:rPr>
  </w:style>
  <w:style w:type="paragraph" w:styleId="41">
    <w:name w:val="List Bullet 2"/>
    <w:basedOn w:val="1"/>
    <w:semiHidden/>
    <w:qFormat/>
    <w:uiPriority w:val="0"/>
    <w:pPr>
      <w:keepLines w:val="0"/>
      <w:tabs>
        <w:tab w:val="left" w:pos="780"/>
      </w:tabs>
      <w:autoSpaceDE/>
      <w:autoSpaceDN/>
      <w:spacing w:line="240" w:lineRule="auto"/>
      <w:ind w:left="780" w:hanging="360"/>
      <w:jc w:val="both"/>
    </w:pPr>
    <w:rPr>
      <w:rFonts w:ascii="Times New Roman" w:hAnsi="Times New Roman" w:cs="Times New Roman"/>
      <w:kern w:val="2"/>
      <w:sz w:val="21"/>
      <w:szCs w:val="24"/>
      <w:lang w:eastAsia="zh-CN"/>
    </w:rPr>
  </w:style>
  <w:style w:type="paragraph" w:styleId="42">
    <w:name w:val="HTML Address"/>
    <w:basedOn w:val="1"/>
    <w:link w:val="185"/>
    <w:semiHidden/>
    <w:qFormat/>
    <w:uiPriority w:val="0"/>
    <w:pPr>
      <w:keepLines w:val="0"/>
      <w:autoSpaceDE/>
      <w:autoSpaceDN/>
      <w:spacing w:line="240" w:lineRule="auto"/>
      <w:jc w:val="both"/>
    </w:pPr>
    <w:rPr>
      <w:rFonts w:ascii="Times New Roman" w:hAnsi="Times New Roman" w:cs="Times New Roman"/>
      <w:i/>
      <w:iCs/>
      <w:kern w:val="2"/>
      <w:sz w:val="21"/>
      <w:szCs w:val="24"/>
      <w:lang w:eastAsia="zh-CN"/>
    </w:rPr>
  </w:style>
  <w:style w:type="paragraph" w:styleId="43">
    <w:name w:val="index 4"/>
    <w:basedOn w:val="1"/>
    <w:next w:val="1"/>
    <w:semiHidden/>
    <w:qFormat/>
    <w:uiPriority w:val="0"/>
    <w:pPr>
      <w:keepLines w:val="0"/>
      <w:autoSpaceDE/>
      <w:autoSpaceDN/>
      <w:spacing w:line="240" w:lineRule="auto"/>
      <w:ind w:left="840" w:hanging="210"/>
    </w:pPr>
    <w:rPr>
      <w:rFonts w:ascii="Times New Roman" w:hAnsi="Times New Roman" w:cs="Times New Roman"/>
      <w:kern w:val="2"/>
      <w:sz w:val="20"/>
      <w:szCs w:val="20"/>
      <w:lang w:eastAsia="zh-CN"/>
    </w:rPr>
  </w:style>
  <w:style w:type="paragraph" w:styleId="44">
    <w:name w:val="toc 5"/>
    <w:basedOn w:val="1"/>
    <w:next w:val="1"/>
    <w:unhideWhenUsed/>
    <w:qFormat/>
    <w:uiPriority w:val="0"/>
    <w:pPr>
      <w:ind w:left="880"/>
    </w:pPr>
    <w:rPr>
      <w:rFonts w:asciiTheme="minorHAnsi" w:hAnsiTheme="minorHAnsi"/>
      <w:sz w:val="18"/>
      <w:szCs w:val="18"/>
    </w:rPr>
  </w:style>
  <w:style w:type="paragraph" w:styleId="45">
    <w:name w:val="toc 3"/>
    <w:basedOn w:val="1"/>
    <w:next w:val="1"/>
    <w:unhideWhenUsed/>
    <w:qFormat/>
    <w:uiPriority w:val="0"/>
    <w:pPr>
      <w:ind w:left="440"/>
    </w:pPr>
    <w:rPr>
      <w:rFonts w:asciiTheme="minorHAnsi" w:hAnsiTheme="minorHAnsi"/>
      <w:i/>
      <w:iCs/>
      <w:sz w:val="20"/>
      <w:szCs w:val="20"/>
    </w:rPr>
  </w:style>
  <w:style w:type="paragraph" w:styleId="46">
    <w:name w:val="List Bullet 5"/>
    <w:basedOn w:val="1"/>
    <w:semiHidden/>
    <w:qFormat/>
    <w:uiPriority w:val="0"/>
    <w:pPr>
      <w:keepLines w:val="0"/>
      <w:tabs>
        <w:tab w:val="left" w:pos="2040"/>
      </w:tabs>
      <w:autoSpaceDE/>
      <w:autoSpaceDN/>
      <w:spacing w:line="240" w:lineRule="auto"/>
      <w:ind w:left="2040" w:hanging="360"/>
      <w:jc w:val="both"/>
    </w:pPr>
    <w:rPr>
      <w:rFonts w:ascii="Times New Roman" w:hAnsi="Times New Roman" w:cs="Times New Roman"/>
      <w:kern w:val="2"/>
      <w:sz w:val="21"/>
      <w:szCs w:val="24"/>
      <w:lang w:eastAsia="zh-CN"/>
    </w:rPr>
  </w:style>
  <w:style w:type="paragraph" w:styleId="47">
    <w:name w:val="List Number 4"/>
    <w:basedOn w:val="1"/>
    <w:semiHidden/>
    <w:qFormat/>
    <w:uiPriority w:val="0"/>
    <w:pPr>
      <w:keepLines w:val="0"/>
      <w:tabs>
        <w:tab w:val="left" w:pos="1620"/>
      </w:tabs>
      <w:autoSpaceDE/>
      <w:autoSpaceDN/>
      <w:spacing w:line="240" w:lineRule="auto"/>
      <w:ind w:left="1620" w:hanging="360"/>
      <w:jc w:val="both"/>
    </w:pPr>
    <w:rPr>
      <w:rFonts w:ascii="Times New Roman" w:hAnsi="Times New Roman" w:cs="Times New Roman"/>
      <w:kern w:val="2"/>
      <w:sz w:val="21"/>
      <w:szCs w:val="24"/>
      <w:lang w:eastAsia="zh-CN"/>
    </w:rPr>
  </w:style>
  <w:style w:type="paragraph" w:styleId="48">
    <w:name w:val="toc 8"/>
    <w:basedOn w:val="1"/>
    <w:next w:val="1"/>
    <w:unhideWhenUsed/>
    <w:qFormat/>
    <w:uiPriority w:val="0"/>
    <w:pPr>
      <w:ind w:left="1540"/>
    </w:pPr>
    <w:rPr>
      <w:rFonts w:asciiTheme="minorHAnsi" w:hAnsiTheme="minorHAnsi"/>
      <w:sz w:val="18"/>
      <w:szCs w:val="18"/>
    </w:rPr>
  </w:style>
  <w:style w:type="paragraph" w:styleId="49">
    <w:name w:val="index 3"/>
    <w:basedOn w:val="1"/>
    <w:next w:val="1"/>
    <w:semiHidden/>
    <w:qFormat/>
    <w:uiPriority w:val="0"/>
    <w:pPr>
      <w:keepLines w:val="0"/>
      <w:autoSpaceDE/>
      <w:autoSpaceDN/>
      <w:spacing w:line="240" w:lineRule="auto"/>
      <w:ind w:left="630" w:hanging="210"/>
    </w:pPr>
    <w:rPr>
      <w:rFonts w:ascii="Times New Roman" w:hAnsi="Times New Roman" w:cs="Times New Roman"/>
      <w:kern w:val="2"/>
      <w:sz w:val="20"/>
      <w:szCs w:val="20"/>
      <w:lang w:eastAsia="zh-CN"/>
    </w:rPr>
  </w:style>
  <w:style w:type="paragraph" w:styleId="50">
    <w:name w:val="Body Text Indent 2"/>
    <w:basedOn w:val="1"/>
    <w:link w:val="186"/>
    <w:qFormat/>
    <w:uiPriority w:val="99"/>
    <w:pPr>
      <w:keepLines w:val="0"/>
      <w:autoSpaceDE/>
      <w:autoSpaceDN/>
      <w:spacing w:after="120" w:line="480" w:lineRule="auto"/>
      <w:ind w:left="420" w:leftChars="200"/>
      <w:jc w:val="both"/>
    </w:pPr>
    <w:rPr>
      <w:rFonts w:ascii="Times New Roman" w:hAnsi="Times New Roman" w:cs="Times New Roman"/>
      <w:kern w:val="2"/>
      <w:sz w:val="21"/>
      <w:szCs w:val="24"/>
      <w:lang w:eastAsia="zh-CN"/>
    </w:rPr>
  </w:style>
  <w:style w:type="paragraph" w:styleId="51">
    <w:name w:val="endnote text"/>
    <w:basedOn w:val="1"/>
    <w:link w:val="187"/>
    <w:semiHidden/>
    <w:qFormat/>
    <w:uiPriority w:val="0"/>
    <w:pPr>
      <w:keepLines w:val="0"/>
      <w:autoSpaceDE/>
      <w:autoSpaceDN/>
      <w:snapToGrid w:val="0"/>
      <w:spacing w:line="240" w:lineRule="auto"/>
    </w:pPr>
    <w:rPr>
      <w:rFonts w:ascii="Times New Roman" w:hAnsi="Times New Roman" w:cs="Times New Roman"/>
      <w:kern w:val="2"/>
      <w:sz w:val="21"/>
      <w:szCs w:val="24"/>
      <w:lang w:eastAsia="zh-CN"/>
    </w:rPr>
  </w:style>
  <w:style w:type="paragraph" w:styleId="52">
    <w:name w:val="List Continue 5"/>
    <w:basedOn w:val="1"/>
    <w:semiHidden/>
    <w:qFormat/>
    <w:uiPriority w:val="0"/>
    <w:pPr>
      <w:keepLines w:val="0"/>
      <w:autoSpaceDE/>
      <w:autoSpaceDN/>
      <w:spacing w:after="120" w:line="240" w:lineRule="auto"/>
      <w:ind w:left="2100" w:leftChars="1000"/>
      <w:jc w:val="both"/>
    </w:pPr>
    <w:rPr>
      <w:rFonts w:ascii="Times New Roman" w:hAnsi="Times New Roman" w:cs="Times New Roman"/>
      <w:kern w:val="2"/>
      <w:sz w:val="21"/>
      <w:szCs w:val="24"/>
      <w:lang w:eastAsia="zh-CN"/>
    </w:rPr>
  </w:style>
  <w:style w:type="paragraph" w:styleId="53">
    <w:name w:val="Balloon Text"/>
    <w:basedOn w:val="1"/>
    <w:link w:val="150"/>
    <w:semiHidden/>
    <w:unhideWhenUsed/>
    <w:qFormat/>
    <w:uiPriority w:val="99"/>
    <w:rPr>
      <w:sz w:val="18"/>
      <w:szCs w:val="18"/>
    </w:rPr>
  </w:style>
  <w:style w:type="paragraph" w:styleId="54">
    <w:name w:val="footer"/>
    <w:basedOn w:val="1"/>
    <w:link w:val="149"/>
    <w:unhideWhenUsed/>
    <w:qFormat/>
    <w:uiPriority w:val="99"/>
    <w:pPr>
      <w:tabs>
        <w:tab w:val="center" w:pos="4153"/>
        <w:tab w:val="right" w:pos="8306"/>
      </w:tabs>
      <w:snapToGrid w:val="0"/>
    </w:pPr>
    <w:rPr>
      <w:sz w:val="18"/>
      <w:szCs w:val="18"/>
    </w:rPr>
  </w:style>
  <w:style w:type="paragraph" w:styleId="55">
    <w:name w:val="envelope return"/>
    <w:basedOn w:val="1"/>
    <w:semiHidden/>
    <w:qFormat/>
    <w:uiPriority w:val="0"/>
    <w:pPr>
      <w:keepLines w:val="0"/>
      <w:autoSpaceDE/>
      <w:autoSpaceDN/>
      <w:snapToGrid w:val="0"/>
      <w:spacing w:line="240" w:lineRule="auto"/>
      <w:jc w:val="both"/>
    </w:pPr>
    <w:rPr>
      <w:rFonts w:ascii="Arial" w:hAnsi="Arial" w:cs="Arial"/>
      <w:kern w:val="2"/>
      <w:sz w:val="21"/>
      <w:szCs w:val="24"/>
      <w:lang w:eastAsia="zh-CN"/>
    </w:rPr>
  </w:style>
  <w:style w:type="paragraph" w:styleId="56">
    <w:name w:val="header"/>
    <w:basedOn w:val="1"/>
    <w:link w:val="148"/>
    <w:unhideWhenUsed/>
    <w:qFormat/>
    <w:uiPriority w:val="99"/>
    <w:pPr>
      <w:pBdr>
        <w:bottom w:val="single" w:color="auto" w:sz="6" w:space="1"/>
      </w:pBdr>
      <w:tabs>
        <w:tab w:val="center" w:pos="4153"/>
        <w:tab w:val="right" w:pos="8306"/>
      </w:tabs>
      <w:snapToGrid w:val="0"/>
      <w:jc w:val="center"/>
    </w:pPr>
    <w:rPr>
      <w:sz w:val="18"/>
      <w:szCs w:val="18"/>
    </w:rPr>
  </w:style>
  <w:style w:type="paragraph" w:styleId="57">
    <w:name w:val="Signature"/>
    <w:basedOn w:val="1"/>
    <w:link w:val="188"/>
    <w:semiHidden/>
    <w:qFormat/>
    <w:uiPriority w:val="0"/>
    <w:pPr>
      <w:keepLines w:val="0"/>
      <w:autoSpaceDE/>
      <w:autoSpaceDN/>
      <w:spacing w:line="240" w:lineRule="auto"/>
      <w:ind w:left="100" w:leftChars="2100"/>
      <w:jc w:val="both"/>
    </w:pPr>
    <w:rPr>
      <w:rFonts w:ascii="Times New Roman" w:hAnsi="Times New Roman" w:cs="Times New Roman"/>
      <w:kern w:val="2"/>
      <w:sz w:val="21"/>
      <w:szCs w:val="24"/>
      <w:lang w:eastAsia="zh-CN"/>
    </w:rPr>
  </w:style>
  <w:style w:type="paragraph" w:styleId="58">
    <w:name w:val="toc 1"/>
    <w:basedOn w:val="1"/>
    <w:next w:val="1"/>
    <w:qFormat/>
    <w:uiPriority w:val="39"/>
    <w:pPr>
      <w:spacing w:before="120" w:after="120"/>
    </w:pPr>
    <w:rPr>
      <w:rFonts w:asciiTheme="minorHAnsi" w:hAnsiTheme="minorHAnsi"/>
      <w:b/>
      <w:bCs/>
      <w:caps/>
      <w:sz w:val="20"/>
      <w:szCs w:val="20"/>
    </w:rPr>
  </w:style>
  <w:style w:type="paragraph" w:styleId="59">
    <w:name w:val="List Continue 4"/>
    <w:basedOn w:val="1"/>
    <w:semiHidden/>
    <w:qFormat/>
    <w:uiPriority w:val="0"/>
    <w:pPr>
      <w:keepLines w:val="0"/>
      <w:autoSpaceDE/>
      <w:autoSpaceDN/>
      <w:spacing w:after="120" w:line="240" w:lineRule="auto"/>
      <w:ind w:left="1680" w:leftChars="800"/>
      <w:jc w:val="both"/>
    </w:pPr>
    <w:rPr>
      <w:rFonts w:ascii="Times New Roman" w:hAnsi="Times New Roman" w:cs="Times New Roman"/>
      <w:kern w:val="2"/>
      <w:sz w:val="21"/>
      <w:szCs w:val="24"/>
      <w:lang w:eastAsia="zh-CN"/>
    </w:rPr>
  </w:style>
  <w:style w:type="paragraph" w:styleId="60">
    <w:name w:val="toc 4"/>
    <w:basedOn w:val="1"/>
    <w:next w:val="1"/>
    <w:unhideWhenUsed/>
    <w:qFormat/>
    <w:uiPriority w:val="0"/>
    <w:pPr>
      <w:ind w:left="660"/>
    </w:pPr>
    <w:rPr>
      <w:rFonts w:asciiTheme="minorHAnsi" w:hAnsiTheme="minorHAnsi"/>
      <w:sz w:val="18"/>
      <w:szCs w:val="18"/>
    </w:rPr>
  </w:style>
  <w:style w:type="paragraph" w:styleId="61">
    <w:name w:val="index heading"/>
    <w:basedOn w:val="1"/>
    <w:next w:val="62"/>
    <w:semiHidden/>
    <w:qFormat/>
    <w:uiPriority w:val="0"/>
    <w:pPr>
      <w:keepLines w:val="0"/>
      <w:autoSpaceDE/>
      <w:autoSpaceDN/>
      <w:spacing w:before="120" w:after="120" w:line="240" w:lineRule="auto"/>
    </w:pPr>
    <w:rPr>
      <w:rFonts w:ascii="Times New Roman" w:hAnsi="Times New Roman" w:cs="Times New Roman"/>
      <w:b/>
      <w:bCs/>
      <w:i/>
      <w:iCs/>
      <w:kern w:val="2"/>
      <w:sz w:val="20"/>
      <w:szCs w:val="20"/>
      <w:lang w:eastAsia="zh-CN"/>
    </w:rPr>
  </w:style>
  <w:style w:type="paragraph" w:styleId="62">
    <w:name w:val="index 1"/>
    <w:basedOn w:val="1"/>
    <w:next w:val="1"/>
    <w:semiHidden/>
    <w:unhideWhenUsed/>
    <w:qFormat/>
    <w:uiPriority w:val="0"/>
  </w:style>
  <w:style w:type="paragraph" w:styleId="63">
    <w:name w:val="List Number 5"/>
    <w:basedOn w:val="1"/>
    <w:semiHidden/>
    <w:qFormat/>
    <w:uiPriority w:val="0"/>
    <w:pPr>
      <w:keepLines w:val="0"/>
      <w:tabs>
        <w:tab w:val="left" w:pos="2040"/>
      </w:tabs>
      <w:autoSpaceDE/>
      <w:autoSpaceDN/>
      <w:spacing w:line="240" w:lineRule="auto"/>
      <w:ind w:left="2040" w:hanging="360"/>
      <w:jc w:val="both"/>
    </w:pPr>
    <w:rPr>
      <w:rFonts w:ascii="Times New Roman" w:hAnsi="Times New Roman" w:cs="Times New Roman"/>
      <w:kern w:val="2"/>
      <w:sz w:val="21"/>
      <w:szCs w:val="24"/>
      <w:lang w:eastAsia="zh-CN"/>
    </w:rPr>
  </w:style>
  <w:style w:type="paragraph" w:styleId="64">
    <w:name w:val="List"/>
    <w:basedOn w:val="1"/>
    <w:semiHidden/>
    <w:qFormat/>
    <w:uiPriority w:val="0"/>
    <w:pPr>
      <w:keepLines w:val="0"/>
      <w:autoSpaceDE/>
      <w:autoSpaceDN/>
      <w:spacing w:line="240" w:lineRule="auto"/>
      <w:ind w:left="200" w:hanging="200" w:hangingChars="200"/>
      <w:jc w:val="both"/>
    </w:pPr>
    <w:rPr>
      <w:rFonts w:ascii="Times New Roman" w:hAnsi="Times New Roman" w:cs="Times New Roman"/>
      <w:kern w:val="2"/>
      <w:sz w:val="21"/>
      <w:szCs w:val="24"/>
      <w:lang w:eastAsia="zh-CN"/>
    </w:rPr>
  </w:style>
  <w:style w:type="paragraph" w:styleId="65">
    <w:name w:val="footnote text"/>
    <w:basedOn w:val="1"/>
    <w:link w:val="189"/>
    <w:semiHidden/>
    <w:qFormat/>
    <w:uiPriority w:val="0"/>
    <w:pPr>
      <w:keepLines w:val="0"/>
      <w:autoSpaceDE/>
      <w:autoSpaceDN/>
      <w:snapToGrid w:val="0"/>
      <w:spacing w:line="240" w:lineRule="auto"/>
    </w:pPr>
    <w:rPr>
      <w:rFonts w:ascii="Times New Roman" w:hAnsi="Times New Roman" w:cs="Times New Roman"/>
      <w:kern w:val="2"/>
      <w:sz w:val="18"/>
      <w:szCs w:val="20"/>
      <w:lang w:eastAsia="zh-CN"/>
    </w:rPr>
  </w:style>
  <w:style w:type="paragraph" w:styleId="66">
    <w:name w:val="toc 6"/>
    <w:basedOn w:val="1"/>
    <w:next w:val="1"/>
    <w:unhideWhenUsed/>
    <w:qFormat/>
    <w:uiPriority w:val="0"/>
    <w:pPr>
      <w:ind w:left="1100"/>
    </w:pPr>
    <w:rPr>
      <w:rFonts w:asciiTheme="minorHAnsi" w:hAnsiTheme="minorHAnsi"/>
      <w:sz w:val="18"/>
      <w:szCs w:val="18"/>
    </w:rPr>
  </w:style>
  <w:style w:type="paragraph" w:styleId="67">
    <w:name w:val="List 5"/>
    <w:basedOn w:val="1"/>
    <w:semiHidden/>
    <w:qFormat/>
    <w:uiPriority w:val="0"/>
    <w:pPr>
      <w:keepLines w:val="0"/>
      <w:autoSpaceDE/>
      <w:autoSpaceDN/>
      <w:spacing w:line="240" w:lineRule="auto"/>
      <w:ind w:left="100" w:leftChars="800" w:hanging="200" w:hangingChars="200"/>
      <w:jc w:val="both"/>
    </w:pPr>
    <w:rPr>
      <w:rFonts w:ascii="Times New Roman" w:hAnsi="Times New Roman" w:cs="Times New Roman"/>
      <w:kern w:val="2"/>
      <w:sz w:val="21"/>
      <w:szCs w:val="24"/>
      <w:lang w:eastAsia="zh-CN"/>
    </w:rPr>
  </w:style>
  <w:style w:type="paragraph" w:styleId="68">
    <w:name w:val="Body Text Indent 3"/>
    <w:basedOn w:val="1"/>
    <w:link w:val="237"/>
    <w:qFormat/>
    <w:uiPriority w:val="0"/>
    <w:pPr>
      <w:spacing w:before="48" w:after="48"/>
      <w:ind w:firstLine="567" w:firstLineChars="200"/>
    </w:pPr>
    <w:rPr>
      <w:rFonts w:ascii="Times New Roman"/>
      <w:kern w:val="2"/>
      <w:sz w:val="28"/>
    </w:rPr>
  </w:style>
  <w:style w:type="paragraph" w:styleId="69">
    <w:name w:val="index 7"/>
    <w:basedOn w:val="1"/>
    <w:next w:val="1"/>
    <w:semiHidden/>
    <w:qFormat/>
    <w:uiPriority w:val="0"/>
    <w:pPr>
      <w:keepLines w:val="0"/>
      <w:autoSpaceDE/>
      <w:autoSpaceDN/>
      <w:spacing w:line="240" w:lineRule="auto"/>
      <w:ind w:left="1470" w:hanging="210"/>
    </w:pPr>
    <w:rPr>
      <w:rFonts w:ascii="Times New Roman" w:hAnsi="Times New Roman" w:cs="Times New Roman"/>
      <w:kern w:val="2"/>
      <w:sz w:val="20"/>
      <w:szCs w:val="20"/>
      <w:lang w:eastAsia="zh-CN"/>
    </w:rPr>
  </w:style>
  <w:style w:type="paragraph" w:styleId="70">
    <w:name w:val="index 9"/>
    <w:basedOn w:val="1"/>
    <w:next w:val="1"/>
    <w:semiHidden/>
    <w:qFormat/>
    <w:uiPriority w:val="0"/>
    <w:pPr>
      <w:keepLines w:val="0"/>
      <w:autoSpaceDE/>
      <w:autoSpaceDN/>
      <w:spacing w:line="240" w:lineRule="auto"/>
      <w:ind w:left="1890" w:hanging="210"/>
    </w:pPr>
    <w:rPr>
      <w:rFonts w:ascii="Times New Roman" w:hAnsi="Times New Roman" w:cs="Times New Roman"/>
      <w:kern w:val="2"/>
      <w:sz w:val="20"/>
      <w:szCs w:val="20"/>
      <w:lang w:eastAsia="zh-CN"/>
    </w:rPr>
  </w:style>
  <w:style w:type="paragraph" w:styleId="71">
    <w:name w:val="table of figures"/>
    <w:basedOn w:val="1"/>
    <w:next w:val="1"/>
    <w:semiHidden/>
    <w:qFormat/>
    <w:uiPriority w:val="0"/>
    <w:pPr>
      <w:keepLines w:val="0"/>
      <w:autoSpaceDE/>
      <w:autoSpaceDN/>
      <w:spacing w:line="240" w:lineRule="auto"/>
      <w:ind w:left="200" w:leftChars="200" w:hanging="200" w:hangingChars="200"/>
      <w:jc w:val="both"/>
    </w:pPr>
    <w:rPr>
      <w:rFonts w:ascii="Times New Roman" w:hAnsi="Times New Roman" w:cs="Times New Roman"/>
      <w:kern w:val="2"/>
      <w:szCs w:val="24"/>
      <w:lang w:eastAsia="zh-CN"/>
    </w:rPr>
  </w:style>
  <w:style w:type="paragraph" w:styleId="72">
    <w:name w:val="toc 2"/>
    <w:basedOn w:val="1"/>
    <w:next w:val="1"/>
    <w:qFormat/>
    <w:uiPriority w:val="39"/>
    <w:pPr>
      <w:ind w:left="220"/>
    </w:pPr>
    <w:rPr>
      <w:rFonts w:asciiTheme="minorHAnsi" w:hAnsiTheme="minorHAnsi"/>
      <w:smallCaps/>
      <w:sz w:val="20"/>
      <w:szCs w:val="20"/>
    </w:rPr>
  </w:style>
  <w:style w:type="paragraph" w:styleId="73">
    <w:name w:val="toc 9"/>
    <w:basedOn w:val="1"/>
    <w:next w:val="1"/>
    <w:qFormat/>
    <w:uiPriority w:val="0"/>
    <w:pPr>
      <w:keepLines w:val="0"/>
      <w:autoSpaceDE/>
      <w:autoSpaceDN/>
      <w:spacing w:line="240" w:lineRule="auto"/>
      <w:ind w:left="1680"/>
    </w:pPr>
    <w:rPr>
      <w:rFonts w:ascii="Times New Roman" w:hAnsi="Times New Roman" w:cs="Times New Roman"/>
      <w:kern w:val="2"/>
      <w:sz w:val="18"/>
      <w:szCs w:val="18"/>
      <w:lang w:eastAsia="zh-CN"/>
    </w:rPr>
  </w:style>
  <w:style w:type="paragraph" w:styleId="74">
    <w:name w:val="List 4"/>
    <w:basedOn w:val="1"/>
    <w:semiHidden/>
    <w:qFormat/>
    <w:uiPriority w:val="0"/>
    <w:pPr>
      <w:keepLines w:val="0"/>
      <w:autoSpaceDE/>
      <w:autoSpaceDN/>
      <w:spacing w:line="240" w:lineRule="auto"/>
      <w:ind w:left="100" w:leftChars="600" w:hanging="200" w:hangingChars="200"/>
      <w:jc w:val="both"/>
    </w:pPr>
    <w:rPr>
      <w:rFonts w:ascii="Times New Roman" w:hAnsi="Times New Roman" w:cs="Times New Roman"/>
      <w:kern w:val="2"/>
      <w:sz w:val="21"/>
      <w:szCs w:val="24"/>
      <w:lang w:eastAsia="zh-CN"/>
    </w:rPr>
  </w:style>
  <w:style w:type="paragraph" w:styleId="75">
    <w:name w:val="List Continue 2"/>
    <w:basedOn w:val="1"/>
    <w:semiHidden/>
    <w:qFormat/>
    <w:uiPriority w:val="0"/>
    <w:pPr>
      <w:keepLines w:val="0"/>
      <w:autoSpaceDE/>
      <w:autoSpaceDN/>
      <w:spacing w:after="120" w:line="240" w:lineRule="auto"/>
      <w:ind w:left="840" w:leftChars="400"/>
      <w:jc w:val="both"/>
    </w:pPr>
    <w:rPr>
      <w:rFonts w:ascii="Times New Roman" w:hAnsi="Times New Roman" w:cs="Times New Roman"/>
      <w:kern w:val="2"/>
      <w:sz w:val="21"/>
      <w:szCs w:val="24"/>
      <w:lang w:eastAsia="zh-CN"/>
    </w:rPr>
  </w:style>
  <w:style w:type="paragraph" w:styleId="76">
    <w:name w:val="Message Header"/>
    <w:basedOn w:val="1"/>
    <w:link w:val="190"/>
    <w:semiHidden/>
    <w:qFormat/>
    <w:uiPriority w:val="0"/>
    <w:pPr>
      <w:keepLines w:val="0"/>
      <w:pBdr>
        <w:top w:val="single" w:color="auto" w:sz="6" w:space="1"/>
        <w:left w:val="single" w:color="auto" w:sz="6" w:space="1"/>
        <w:bottom w:val="single" w:color="auto" w:sz="6" w:space="1"/>
        <w:right w:val="single" w:color="auto" w:sz="6" w:space="1"/>
      </w:pBdr>
      <w:shd w:val="pct20" w:color="auto" w:fill="auto"/>
      <w:autoSpaceDE/>
      <w:autoSpaceDN/>
      <w:spacing w:line="240" w:lineRule="auto"/>
      <w:ind w:left="1080" w:leftChars="500" w:hanging="1080" w:hangingChars="500"/>
      <w:jc w:val="both"/>
    </w:pPr>
    <w:rPr>
      <w:rFonts w:ascii="Arial" w:hAnsi="Arial" w:cs="Arial"/>
      <w:kern w:val="2"/>
      <w:szCs w:val="24"/>
      <w:lang w:eastAsia="zh-CN"/>
    </w:rPr>
  </w:style>
  <w:style w:type="paragraph" w:styleId="77">
    <w:name w:val="HTML Preformatted"/>
    <w:basedOn w:val="1"/>
    <w:link w:val="191"/>
    <w:semiHidden/>
    <w:qFormat/>
    <w:uiPriority w:val="0"/>
    <w:pPr>
      <w:keepLines w:val="0"/>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spacing w:line="240" w:lineRule="auto"/>
    </w:pPr>
    <w:rPr>
      <w:color w:val="000000"/>
      <w:szCs w:val="24"/>
      <w:lang w:eastAsia="zh-CN"/>
    </w:rPr>
  </w:style>
  <w:style w:type="paragraph" w:styleId="78">
    <w:name w:val="Normal (Web)"/>
    <w:basedOn w:val="1"/>
    <w:unhideWhenUsed/>
    <w:qFormat/>
    <w:uiPriority w:val="0"/>
    <w:pPr>
      <w:keepLines w:val="0"/>
      <w:autoSpaceDE/>
      <w:autoSpaceDN/>
      <w:spacing w:before="100" w:beforeAutospacing="1" w:after="100" w:afterAutospacing="1" w:line="240" w:lineRule="auto"/>
    </w:pPr>
    <w:rPr>
      <w:rFonts w:ascii="Times New Roman" w:hAnsi="Times New Roman" w:cs="Times New Roman"/>
      <w:szCs w:val="24"/>
      <w:lang w:eastAsia="zh-CN"/>
    </w:rPr>
  </w:style>
  <w:style w:type="paragraph" w:styleId="79">
    <w:name w:val="List Continue 3"/>
    <w:basedOn w:val="1"/>
    <w:semiHidden/>
    <w:qFormat/>
    <w:uiPriority w:val="0"/>
    <w:pPr>
      <w:keepLines w:val="0"/>
      <w:autoSpaceDE/>
      <w:autoSpaceDN/>
      <w:spacing w:after="120" w:line="240" w:lineRule="auto"/>
      <w:ind w:left="1260" w:leftChars="600"/>
      <w:jc w:val="both"/>
    </w:pPr>
    <w:rPr>
      <w:rFonts w:ascii="Times New Roman" w:hAnsi="Times New Roman" w:cs="Times New Roman"/>
      <w:kern w:val="2"/>
      <w:sz w:val="21"/>
      <w:szCs w:val="24"/>
      <w:lang w:eastAsia="zh-CN"/>
    </w:rPr>
  </w:style>
  <w:style w:type="paragraph" w:styleId="80">
    <w:name w:val="index 2"/>
    <w:basedOn w:val="1"/>
    <w:next w:val="1"/>
    <w:semiHidden/>
    <w:qFormat/>
    <w:uiPriority w:val="0"/>
    <w:pPr>
      <w:keepLines w:val="0"/>
      <w:autoSpaceDE/>
      <w:autoSpaceDN/>
      <w:spacing w:line="240" w:lineRule="auto"/>
      <w:ind w:left="420" w:hanging="210"/>
    </w:pPr>
    <w:rPr>
      <w:rFonts w:ascii="Times New Roman" w:hAnsi="Times New Roman" w:cs="Times New Roman"/>
      <w:kern w:val="2"/>
      <w:sz w:val="20"/>
      <w:szCs w:val="20"/>
      <w:lang w:eastAsia="zh-CN"/>
    </w:rPr>
  </w:style>
  <w:style w:type="paragraph" w:styleId="81">
    <w:name w:val="Title"/>
    <w:basedOn w:val="1"/>
    <w:next w:val="1"/>
    <w:link w:val="161"/>
    <w:qFormat/>
    <w:uiPriority w:val="10"/>
    <w:pPr>
      <w:autoSpaceDE/>
      <w:autoSpaceDN/>
      <w:spacing w:before="240" w:after="60"/>
      <w:jc w:val="center"/>
      <w:outlineLvl w:val="0"/>
    </w:pPr>
    <w:rPr>
      <w:rFonts w:asciiTheme="majorHAnsi" w:hAnsiTheme="majorHAnsi" w:cstheme="majorBidi"/>
      <w:b/>
      <w:bCs/>
      <w:kern w:val="2"/>
      <w:sz w:val="32"/>
      <w:szCs w:val="32"/>
      <w:lang w:eastAsia="zh-CN"/>
    </w:rPr>
  </w:style>
  <w:style w:type="paragraph" w:styleId="82">
    <w:name w:val="annotation subject"/>
    <w:basedOn w:val="28"/>
    <w:next w:val="28"/>
    <w:link w:val="152"/>
    <w:semiHidden/>
    <w:unhideWhenUsed/>
    <w:qFormat/>
    <w:uiPriority w:val="99"/>
    <w:rPr>
      <w:b/>
      <w:bCs/>
    </w:rPr>
  </w:style>
  <w:style w:type="paragraph" w:styleId="83">
    <w:name w:val="Body Text First Indent"/>
    <w:basedOn w:val="1"/>
    <w:link w:val="192"/>
    <w:semiHidden/>
    <w:qFormat/>
    <w:uiPriority w:val="0"/>
    <w:pPr>
      <w:keepLines w:val="0"/>
      <w:autoSpaceDE/>
      <w:autoSpaceDN/>
      <w:spacing w:after="120" w:line="240" w:lineRule="auto"/>
      <w:ind w:firstLine="420" w:firstLineChars="100"/>
      <w:jc w:val="both"/>
    </w:pPr>
    <w:rPr>
      <w:rFonts w:ascii="Times New Roman" w:hAnsiTheme="minorHAnsi" w:eastAsiaTheme="minorEastAsia" w:cstheme="minorBidi"/>
      <w:kern w:val="2"/>
      <w:sz w:val="21"/>
      <w:szCs w:val="24"/>
      <w:lang w:eastAsia="zh-CN"/>
    </w:rPr>
  </w:style>
  <w:style w:type="paragraph" w:styleId="84">
    <w:name w:val="Body Text First Indent 2"/>
    <w:basedOn w:val="1"/>
    <w:link w:val="193"/>
    <w:semiHidden/>
    <w:qFormat/>
    <w:uiPriority w:val="0"/>
    <w:pPr>
      <w:keepLines w:val="0"/>
      <w:autoSpaceDE/>
      <w:autoSpaceDN/>
      <w:spacing w:after="120" w:line="240" w:lineRule="auto"/>
      <w:ind w:left="420" w:leftChars="200" w:firstLine="420"/>
      <w:jc w:val="both"/>
    </w:pPr>
    <w:rPr>
      <w:rFonts w:ascii="Times New Roman" w:hAnsi="Times New Roman" w:eastAsiaTheme="minorEastAsia" w:cstheme="minorBidi"/>
      <w:kern w:val="2"/>
      <w:sz w:val="21"/>
      <w:szCs w:val="24"/>
      <w:lang w:eastAsia="zh-CN"/>
    </w:rPr>
  </w:style>
  <w:style w:type="table" w:styleId="86">
    <w:name w:val="Table Grid"/>
    <w:basedOn w:val="85"/>
    <w:qFormat/>
    <w:uiPriority w:val="0"/>
    <w:rPr>
      <w:kern w:val="2"/>
      <w:sz w:val="24"/>
      <w:szCs w:val="24"/>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87">
    <w:name w:val="Table Theme"/>
    <w:basedOn w:val="85"/>
    <w:semiHidden/>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88">
    <w:name w:val="Table Colorful 1"/>
    <w:basedOn w:val="85"/>
    <w:semiHidden/>
    <w:qFormat/>
    <w:uiPriority w:val="0"/>
    <w:pPr>
      <w:widowControl w:val="0"/>
      <w:jc w:val="both"/>
    </w:pPr>
    <w:rPr>
      <w:color w:val="FFFFFF"/>
    </w:rPr>
    <w:tblPr>
      <w:tblBorders>
        <w:top w:val="single" w:color="008080" w:sz="12" w:space="0"/>
        <w:left w:val="single" w:color="008080" w:sz="12" w:space="0"/>
        <w:bottom w:val="single" w:color="008080" w:sz="12" w:space="0"/>
        <w:right w:val="single" w:color="008080" w:sz="12" w:space="0"/>
        <w:insideH w:val="single" w:color="00FFFF" w:sz="6" w:space="0"/>
      </w:tblBorders>
    </w:tblPr>
    <w:tcPr>
      <w:shd w:val="solid" w:color="008080" w:fill="FFFFFF"/>
    </w:tcPr>
    <w:tblStylePr w:type="firstRow">
      <w:rPr>
        <w:b/>
        <w:bCs/>
        <w:i/>
        <w:iCs/>
      </w:rPr>
      <w:tblPr/>
      <w:tcPr>
        <w:tcBorders>
          <w:tl2br w:val="nil"/>
          <w:tr2bl w:val="nil"/>
        </w:tcBorders>
        <w:shd w:val="solid" w:color="000000" w:fill="FFFFFF"/>
      </w:tcPr>
    </w:tblStylePr>
    <w:tblStylePr w:type="firstCol">
      <w:rPr>
        <w:b/>
        <w:bCs/>
        <w:i/>
        <w:iCs/>
      </w:rPr>
      <w:tblPr/>
      <w:tcPr>
        <w:tcBorders>
          <w:tl2br w:val="nil"/>
          <w:tr2bl w:val="nil"/>
        </w:tcBorders>
        <w:shd w:val="solid" w:color="000080" w:fill="FFFFFF"/>
      </w:tcPr>
    </w:tblStylePr>
    <w:tblStylePr w:type="nwCell">
      <w:tblPr/>
      <w:tcPr>
        <w:tcBorders>
          <w:tl2br w:val="nil"/>
          <w:tr2bl w:val="nil"/>
        </w:tcBorders>
        <w:shd w:val="solid" w:color="000000" w:fill="FFFFFF"/>
      </w:tcPr>
    </w:tblStylePr>
    <w:tblStylePr w:type="swCell">
      <w:rPr>
        <w:b/>
        <w:bCs/>
        <w:i w:val="0"/>
        <w:iCs w:val="0"/>
      </w:rPr>
      <w:tblPr/>
      <w:tcPr>
        <w:tcBorders>
          <w:tl2br w:val="nil"/>
          <w:tr2bl w:val="nil"/>
        </w:tcBorders>
      </w:tcPr>
    </w:tblStylePr>
  </w:style>
  <w:style w:type="table" w:styleId="89">
    <w:name w:val="Table Colorful 2"/>
    <w:basedOn w:val="85"/>
    <w:semiHidden/>
    <w:qFormat/>
    <w:uiPriority w:val="0"/>
    <w:pPr>
      <w:widowControl w:val="0"/>
      <w:jc w:val="both"/>
    </w:pPr>
    <w:tblPr>
      <w:tblBorders>
        <w:bottom w:val="single" w:color="000000" w:sz="12" w:space="0"/>
      </w:tblBorders>
    </w:tblPr>
    <w:tcPr>
      <w:shd w:val="pct20" w:color="FFFF00" w:fill="FFFFFF"/>
    </w:tcPr>
    <w:tblStylePr w:type="firstRow">
      <w:rPr>
        <w:b/>
        <w:bCs/>
        <w:i/>
        <w:iCs/>
        <w:color w:val="FFFFFF"/>
      </w:rPr>
      <w:tblPr/>
      <w:tcPr>
        <w:tcBorders>
          <w:bottom w:val="single" w:color="000000" w:sz="12" w:space="0"/>
          <w:tl2br w:val="nil"/>
          <w:tr2bl w:val="nil"/>
        </w:tcBorders>
        <w:shd w:val="solid" w:color="800000" w:fill="FFFFFF"/>
      </w:tcPr>
    </w:tblStylePr>
    <w:tblStylePr w:type="firstCol">
      <w:rPr>
        <w:b/>
        <w:bCs/>
        <w:i/>
        <w:iCs/>
      </w:rPr>
      <w:tblPr/>
      <w:tcPr>
        <w:tcBorders>
          <w:tl2br w:val="nil"/>
          <w:tr2bl w:val="nil"/>
        </w:tcBorders>
      </w:tcPr>
    </w:tblStylePr>
    <w:tblStylePr w:type="lastCol">
      <w:tblPr/>
      <w:tcPr>
        <w:tcBorders>
          <w:tl2br w:val="nil"/>
          <w:tr2bl w:val="nil"/>
        </w:tcBorders>
        <w:shd w:val="solid" w:color="C0C0C0" w:fill="FFFFFF"/>
      </w:tcPr>
    </w:tblStylePr>
    <w:tblStylePr w:type="swCell">
      <w:rPr>
        <w:b/>
        <w:bCs/>
        <w:i w:val="0"/>
        <w:iCs w:val="0"/>
      </w:rPr>
      <w:tblPr/>
      <w:tcPr>
        <w:tcBorders>
          <w:tl2br w:val="nil"/>
          <w:tr2bl w:val="nil"/>
        </w:tcBorders>
      </w:tcPr>
    </w:tblStylePr>
  </w:style>
  <w:style w:type="table" w:styleId="90">
    <w:name w:val="Table Colorful 3"/>
    <w:basedOn w:val="85"/>
    <w:semiHidden/>
    <w:qFormat/>
    <w:uiPriority w:val="0"/>
    <w:pPr>
      <w:widowControl w:val="0"/>
      <w:jc w:val="both"/>
    </w:pPr>
    <w:tblPr>
      <w:tblBorders>
        <w:top w:val="single" w:color="000000" w:sz="18" w:space="0"/>
        <w:left w:val="single" w:color="000000" w:sz="18" w:space="0"/>
        <w:bottom w:val="single" w:color="000000" w:sz="18" w:space="0"/>
        <w:right w:val="single" w:color="000000" w:sz="18" w:space="0"/>
        <w:insideH w:val="single" w:color="C0C0C0" w:sz="6" w:space="0"/>
      </w:tblBorders>
    </w:tblPr>
    <w:tcPr>
      <w:shd w:val="pct25" w:color="008080" w:fill="FFFFFF"/>
    </w:tcPr>
    <w:tblStylePr w:type="firstRow">
      <w:tblPr/>
      <w:tcPr>
        <w:tcBorders>
          <w:bottom w:val="single" w:color="000000" w:sz="6" w:space="0"/>
          <w:tl2br w:val="nil"/>
          <w:tr2bl w:val="nil"/>
        </w:tcBorders>
        <w:shd w:val="solid" w:color="008080" w:fill="FFFFFF"/>
      </w:tcPr>
    </w:tblStylePr>
    <w:tblStylePr w:type="firstCol">
      <w:tblPr/>
      <w:tcPr>
        <w:tcBorders>
          <w:left w:val="single" w:color="000000" w:sz="36" w:space="0"/>
          <w:right w:val="single" w:color="000000" w:sz="6" w:space="0"/>
          <w:tl2br w:val="nil"/>
          <w:tr2bl w:val="nil"/>
        </w:tcBorders>
        <w:shd w:val="solid" w:color="008080" w:fill="FFFFFF"/>
      </w:tcPr>
    </w:tblStylePr>
    <w:tblStylePr w:type="nwCell">
      <w:rPr>
        <w:b/>
        <w:bCs/>
        <w:color w:val="FFFFFF"/>
      </w:rPr>
      <w:tblPr/>
      <w:tcPr>
        <w:tcBorders>
          <w:tl2br w:val="nil"/>
          <w:tr2bl w:val="nil"/>
        </w:tcBorders>
        <w:shd w:val="solid" w:color="000000" w:fill="FFFFFF"/>
      </w:tcPr>
    </w:tblStylePr>
  </w:style>
  <w:style w:type="table" w:styleId="91">
    <w:name w:val="Table Elegant"/>
    <w:basedOn w:val="85"/>
    <w:semiHidden/>
    <w:qFormat/>
    <w:uiPriority w:val="0"/>
    <w:pPr>
      <w:widowControl w:val="0"/>
      <w:jc w:val="both"/>
    </w:p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Pr>
    <w:tcPr>
      <w:shd w:val="clear" w:color="auto" w:fill="auto"/>
    </w:tcPr>
    <w:tblStylePr w:type="firstRow">
      <w:rPr>
        <w:caps/>
        <w:color w:val="auto"/>
      </w:rPr>
      <w:tblPr/>
      <w:tcPr>
        <w:tcBorders>
          <w:tl2br w:val="nil"/>
          <w:tr2bl w:val="nil"/>
        </w:tcBorders>
      </w:tcPr>
    </w:tblStylePr>
  </w:style>
  <w:style w:type="table" w:styleId="92">
    <w:name w:val="Table Classic 1"/>
    <w:basedOn w:val="85"/>
    <w:semiHidden/>
    <w:qFormat/>
    <w:uiPriority w:val="0"/>
    <w:pPr>
      <w:widowControl w:val="0"/>
      <w:jc w:val="both"/>
    </w:pPr>
    <w:tblPr>
      <w:tblBorders>
        <w:top w:val="single" w:color="000000" w:sz="12" w:space="0"/>
        <w:bottom w:val="single" w:color="000000" w:sz="12" w:space="0"/>
      </w:tblBorders>
    </w:tblPr>
    <w:tcPr>
      <w:shd w:val="clear" w:color="auto" w:fill="auto"/>
    </w:tcPr>
    <w:tblStylePr w:type="firstRow">
      <w:rPr>
        <w:i/>
        <w:iCs/>
      </w:rPr>
      <w:tblPr/>
      <w:tcPr>
        <w:tcBorders>
          <w:bottom w:val="single" w:color="000000" w:sz="6" w:space="0"/>
          <w:tl2br w:val="nil"/>
          <w:tr2bl w:val="nil"/>
        </w:tcBorders>
      </w:tcPr>
    </w:tblStylePr>
    <w:tblStylePr w:type="lastRow">
      <w:rPr>
        <w:color w:val="auto"/>
      </w:rPr>
      <w:tblPr/>
      <w:tcPr>
        <w:tcBorders>
          <w:top w:val="single" w:color="000000" w:sz="6" w:space="0"/>
          <w:tl2br w:val="nil"/>
          <w:tr2bl w:val="nil"/>
        </w:tcBorders>
      </w:tcPr>
    </w:tblStylePr>
    <w:tblStylePr w:type="firstCol">
      <w:tblPr/>
      <w:tcPr>
        <w:tcBorders>
          <w:right w:val="single" w:color="000000" w:sz="6" w:space="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93">
    <w:name w:val="Table Classic 2"/>
    <w:basedOn w:val="85"/>
    <w:semiHidden/>
    <w:qFormat/>
    <w:uiPriority w:val="0"/>
    <w:pPr>
      <w:widowControl w:val="0"/>
      <w:jc w:val="both"/>
    </w:pPr>
    <w:tblPr>
      <w:tblBorders>
        <w:top w:val="single" w:color="000000" w:sz="12" w:space="0"/>
        <w:bottom w:val="single" w:color="000000" w:sz="12" w:space="0"/>
      </w:tblBorders>
    </w:tblPr>
    <w:tcPr>
      <w:shd w:val="clear" w:color="auto" w:fill="auto"/>
    </w:tcPr>
    <w:tblStylePr w:type="firstRow">
      <w:rPr>
        <w:color w:val="FFFFFF"/>
      </w:rPr>
      <w:tblPr/>
      <w:tcPr>
        <w:tcBorders>
          <w:bottom w:val="single" w:color="000000" w:sz="6" w:space="0"/>
          <w:tl2br w:val="nil"/>
          <w:tr2bl w:val="nil"/>
        </w:tcBorders>
        <w:shd w:val="solid" w:color="800080" w:fill="FFFFFF"/>
      </w:tcPr>
    </w:tblStylePr>
    <w:tblStylePr w:type="lastRow">
      <w:tblPr/>
      <w:tcPr>
        <w:tcBorders>
          <w:top w:val="single" w:color="000000" w:sz="6" w:space="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94">
    <w:name w:val="Table Classic 3"/>
    <w:basedOn w:val="85"/>
    <w:semiHidden/>
    <w:qFormat/>
    <w:uiPriority w:val="0"/>
    <w:pPr>
      <w:widowControl w:val="0"/>
      <w:jc w:val="both"/>
    </w:pPr>
    <w:rPr>
      <w:color w:val="000080"/>
    </w:rPr>
    <w:tblPr>
      <w:tblBorders>
        <w:top w:val="single" w:color="000000" w:sz="12" w:space="0"/>
        <w:left w:val="single" w:color="000000" w:sz="12" w:space="0"/>
        <w:bottom w:val="single" w:color="000000" w:sz="12" w:space="0"/>
        <w:right w:val="single" w:color="000000" w:sz="12" w:space="0"/>
      </w:tblBorders>
    </w:tblPr>
    <w:tcPr>
      <w:shd w:val="solid" w:color="C0C0C0" w:fill="FFFFFF"/>
    </w:tcPr>
    <w:tblStylePr w:type="firstRow">
      <w:rPr>
        <w:b/>
        <w:bCs/>
        <w:i/>
        <w:iCs/>
        <w:color w:val="FFFFFF"/>
      </w:rPr>
      <w:tblPr/>
      <w:tcPr>
        <w:tcBorders>
          <w:bottom w:val="single" w:color="000000" w:sz="6" w:space="0"/>
          <w:tl2br w:val="nil"/>
          <w:tr2bl w:val="nil"/>
        </w:tcBorders>
        <w:shd w:val="solid" w:color="000080" w:fill="FFFFFF"/>
      </w:tcPr>
    </w:tblStylePr>
    <w:tblStylePr w:type="lastRow">
      <w:rPr>
        <w:color w:val="000080"/>
      </w:rPr>
      <w:tblPr/>
      <w:tcPr>
        <w:tcBorders>
          <w:top w:val="single" w:color="000000" w:sz="12" w:space="0"/>
          <w:tl2br w:val="nil"/>
          <w:tr2bl w:val="nil"/>
        </w:tcBorders>
        <w:shd w:val="solid" w:color="FFFFFF" w:fill="FFFFFF"/>
      </w:tcPr>
    </w:tblStylePr>
    <w:tblStylePr w:type="firstCol">
      <w:rPr>
        <w:b/>
        <w:bCs/>
        <w:color w:val="000000"/>
      </w:rPr>
      <w:tblPr/>
      <w:tcPr>
        <w:tcBorders>
          <w:tl2br w:val="nil"/>
          <w:tr2bl w:val="nil"/>
        </w:tcBorders>
      </w:tcPr>
    </w:tblStylePr>
  </w:style>
  <w:style w:type="table" w:styleId="95">
    <w:name w:val="Table Classic 4"/>
    <w:basedOn w:val="85"/>
    <w:semiHidden/>
    <w:qFormat/>
    <w:uiPriority w:val="0"/>
    <w:pPr>
      <w:widowControl w:val="0"/>
      <w:jc w:val="both"/>
    </w:pPr>
    <w:tblPr>
      <w:tblBorders>
        <w:top w:val="single" w:color="000000" w:sz="12" w:space="0"/>
        <w:left w:val="single" w:color="000000" w:sz="6" w:space="0"/>
        <w:bottom w:val="single" w:color="000000" w:sz="12" w:space="0"/>
        <w:right w:val="single" w:color="000000" w:sz="6" w:space="0"/>
      </w:tblBorders>
    </w:tblPr>
    <w:tcPr>
      <w:shd w:val="clear" w:color="auto" w:fill="auto"/>
    </w:tcPr>
    <w:tblStylePr w:type="firstRow">
      <w:rPr>
        <w:b/>
        <w:bCs/>
        <w:i/>
        <w:iCs/>
        <w:color w:val="FFFFFF"/>
      </w:rPr>
      <w:tblPr/>
      <w:tcPr>
        <w:tcBorders>
          <w:bottom w:val="single" w:color="000000" w:sz="6" w:space="0"/>
          <w:tl2br w:val="nil"/>
          <w:tr2bl w:val="nil"/>
        </w:tcBorders>
        <w:shd w:val="pct50" w:color="000080" w:fill="FFFFFF"/>
      </w:tcPr>
    </w:tblStylePr>
    <w:tblStylePr w:type="lastRow">
      <w:rPr>
        <w:color w:val="000080"/>
      </w:rPr>
      <w:tblPr/>
      <w:tcPr>
        <w:tcBorders>
          <w:bottom w:val="single" w:color="000000" w:sz="6" w:space="0"/>
          <w:tl2br w:val="nil"/>
          <w:tr2bl w:val="nil"/>
        </w:tcBorders>
        <w:shd w:val="pct50" w:color="000000" w:fill="FFFFFF"/>
      </w:tcPr>
    </w:tblStylePr>
    <w:tblStylePr w:type="firstCol">
      <w:rPr>
        <w:b/>
        <w:bCs/>
      </w:rPr>
      <w:tblPr/>
      <w:tcPr>
        <w:tcBorders>
          <w:tl2br w:val="nil"/>
          <w:tr2bl w:val="nil"/>
        </w:tcBorders>
      </w:tcPr>
    </w:tblStylePr>
    <w:tblStylePr w:type="nwCell">
      <w:rPr>
        <w:b/>
        <w:bCs/>
      </w:rPr>
      <w:tblPr/>
      <w:tcPr>
        <w:tcBorders>
          <w:tl2br w:val="nil"/>
          <w:tr2bl w:val="nil"/>
        </w:tcBorders>
      </w:tcPr>
    </w:tblStylePr>
    <w:tblStylePr w:type="swCell">
      <w:rPr>
        <w:color w:val="000080"/>
      </w:rPr>
      <w:tblPr/>
      <w:tcPr>
        <w:tcBorders>
          <w:tl2br w:val="nil"/>
          <w:tr2bl w:val="nil"/>
        </w:tcBorders>
      </w:tcPr>
    </w:tblStylePr>
  </w:style>
  <w:style w:type="table" w:styleId="96">
    <w:name w:val="Table Simple 1"/>
    <w:basedOn w:val="85"/>
    <w:semiHidden/>
    <w:qFormat/>
    <w:uiPriority w:val="0"/>
    <w:pPr>
      <w:widowControl w:val="0"/>
      <w:jc w:val="both"/>
    </w:pPr>
    <w:tblPr>
      <w:tblBorders>
        <w:top w:val="single" w:color="008000" w:sz="12" w:space="0"/>
        <w:bottom w:val="single" w:color="008000" w:sz="12" w:space="0"/>
      </w:tblBorders>
    </w:tblPr>
    <w:tcPr>
      <w:shd w:val="clear" w:color="auto" w:fill="auto"/>
    </w:tcPr>
    <w:tblStylePr w:type="firstRow">
      <w:tblPr/>
      <w:tcPr>
        <w:tcBorders>
          <w:bottom w:val="single" w:color="008000" w:sz="6" w:space="0"/>
          <w:tl2br w:val="nil"/>
          <w:tr2bl w:val="nil"/>
        </w:tcBorders>
      </w:tcPr>
    </w:tblStylePr>
    <w:tblStylePr w:type="lastRow">
      <w:tblPr/>
      <w:tcPr>
        <w:tcBorders>
          <w:top w:val="single" w:color="008000" w:sz="6" w:space="0"/>
          <w:tl2br w:val="nil"/>
          <w:tr2bl w:val="nil"/>
        </w:tcBorders>
      </w:tcPr>
    </w:tblStylePr>
  </w:style>
  <w:style w:type="table" w:styleId="97">
    <w:name w:val="Table Simple 2"/>
    <w:basedOn w:val="85"/>
    <w:semiHidden/>
    <w:qFormat/>
    <w:uiPriority w:val="0"/>
    <w:pPr>
      <w:widowControl w:val="0"/>
      <w:jc w:val="both"/>
    </w:pPr>
    <w:tblPr/>
    <w:tblStylePr w:type="firstRow">
      <w:rPr>
        <w:b/>
        <w:bCs/>
      </w:rPr>
      <w:tblPr/>
      <w:tcPr>
        <w:tcBorders>
          <w:bottom w:val="single" w:color="000000" w:sz="12" w:space="0"/>
          <w:tl2br w:val="nil"/>
          <w:tr2bl w:val="nil"/>
        </w:tcBorders>
      </w:tcPr>
    </w:tblStylePr>
    <w:tblStylePr w:type="lastRow">
      <w:rPr>
        <w:b/>
        <w:bCs/>
        <w:color w:val="auto"/>
      </w:rPr>
      <w:tblPr/>
      <w:tcPr>
        <w:tcBorders>
          <w:top w:val="single" w:color="000000" w:sz="6" w:space="0"/>
          <w:tl2br w:val="nil"/>
          <w:tr2bl w:val="nil"/>
        </w:tcBorders>
      </w:tcPr>
    </w:tblStylePr>
    <w:tblStylePr w:type="firstCol">
      <w:rPr>
        <w:b/>
        <w:bCs/>
      </w:rPr>
      <w:tblPr/>
      <w:tcPr>
        <w:tcBorders>
          <w:right w:val="single" w:color="000000" w:sz="12" w:space="0"/>
          <w:tl2br w:val="nil"/>
          <w:tr2bl w:val="nil"/>
        </w:tcBorders>
      </w:tcPr>
    </w:tblStylePr>
    <w:tblStylePr w:type="lastCol">
      <w:rPr>
        <w:b/>
        <w:bCs/>
      </w:rPr>
      <w:tblPr/>
      <w:tcPr>
        <w:tcBorders>
          <w:left w:val="single" w:color="000000" w:sz="6" w:space="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98">
    <w:name w:val="Table Simple 3"/>
    <w:basedOn w:val="85"/>
    <w:semiHidden/>
    <w:qFormat/>
    <w:uiPriority w:val="0"/>
    <w:pPr>
      <w:widowControl w:val="0"/>
      <w:jc w:val="both"/>
    </w:pPr>
    <w:tblPr>
      <w:tblBorders>
        <w:top w:val="single" w:color="000000" w:sz="12" w:space="0"/>
        <w:left w:val="single" w:color="000000" w:sz="12" w:space="0"/>
        <w:bottom w:val="single" w:color="000000" w:sz="12" w:space="0"/>
        <w:right w:val="single" w:color="000000" w:sz="12" w:space="0"/>
      </w:tblBorders>
    </w:tblPr>
    <w:tcPr>
      <w:shd w:val="clear" w:color="auto" w:fill="auto"/>
    </w:tcPr>
    <w:tblStylePr w:type="firstRow">
      <w:rPr>
        <w:b/>
        <w:bCs/>
        <w:color w:val="FFFFFF"/>
      </w:rPr>
      <w:tblPr/>
      <w:tcPr>
        <w:tcBorders>
          <w:tl2br w:val="nil"/>
          <w:tr2bl w:val="nil"/>
        </w:tcBorders>
        <w:shd w:val="solid" w:color="000000" w:fill="FFFFFF"/>
      </w:tcPr>
    </w:tblStylePr>
  </w:style>
  <w:style w:type="table" w:styleId="99">
    <w:name w:val="Table Subtle 1"/>
    <w:basedOn w:val="85"/>
    <w:semiHidden/>
    <w:qFormat/>
    <w:uiPriority w:val="0"/>
    <w:pPr>
      <w:widowControl w:val="0"/>
      <w:jc w:val="both"/>
    </w:pPr>
    <w:tblPr>
      <w:tblStyleRowBandSize w:val="1"/>
    </w:tblPr>
    <w:tblStylePr w:type="firstRow">
      <w:tblPr/>
      <w:tcPr>
        <w:tcBorders>
          <w:top w:val="single" w:color="000000" w:sz="6" w:space="0"/>
          <w:bottom w:val="single" w:color="000000" w:sz="12" w:space="0"/>
          <w:tl2br w:val="nil"/>
          <w:tr2bl w:val="nil"/>
        </w:tcBorders>
      </w:tcPr>
    </w:tblStylePr>
    <w:tblStylePr w:type="lastRow">
      <w:tblPr/>
      <w:tcPr>
        <w:tcBorders>
          <w:top w:val="single" w:color="000000" w:sz="12" w:space="0"/>
          <w:tl2br w:val="nil"/>
          <w:tr2bl w:val="nil"/>
        </w:tcBorders>
        <w:shd w:val="pct25" w:color="800080" w:fill="FFFFFF"/>
      </w:tcPr>
    </w:tblStylePr>
    <w:tblStylePr w:type="firstCol">
      <w:tblPr/>
      <w:tcPr>
        <w:tcBorders>
          <w:right w:val="single" w:color="000000" w:sz="12" w:space="0"/>
          <w:tl2br w:val="nil"/>
          <w:tr2bl w:val="nil"/>
        </w:tcBorders>
      </w:tcPr>
    </w:tblStylePr>
    <w:tblStylePr w:type="lastCol">
      <w:tblPr/>
      <w:tcPr>
        <w:tcBorders>
          <w:left w:val="single" w:color="000000" w:sz="12" w:space="0"/>
          <w:tl2br w:val="nil"/>
          <w:tr2bl w:val="nil"/>
        </w:tcBorders>
      </w:tcPr>
    </w:tblStylePr>
    <w:tblStylePr w:type="band1Horz">
      <w:tblPr/>
      <w:tcPr>
        <w:tcBorders>
          <w:bottom w:val="single" w:color="000000" w:sz="6" w:space="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100">
    <w:name w:val="Table Subtle 2"/>
    <w:basedOn w:val="85"/>
    <w:semiHidden/>
    <w:qFormat/>
    <w:uiPriority w:val="0"/>
    <w:pPr>
      <w:widowControl w:val="0"/>
      <w:jc w:val="both"/>
    </w:pPr>
    <w:tblPr>
      <w:tblBorders>
        <w:left w:val="single" w:color="000000" w:sz="6" w:space="0"/>
        <w:right w:val="single" w:color="000000" w:sz="6" w:space="0"/>
      </w:tblBorders>
    </w:tblPr>
    <w:tblStylePr w:type="firstRow">
      <w:tblPr/>
      <w:tcPr>
        <w:tcBorders>
          <w:bottom w:val="single" w:color="000000" w:sz="12" w:space="0"/>
          <w:tl2br w:val="nil"/>
          <w:tr2bl w:val="nil"/>
        </w:tcBorders>
      </w:tcPr>
    </w:tblStylePr>
    <w:tblStylePr w:type="lastRow">
      <w:tblPr/>
      <w:tcPr>
        <w:tcBorders>
          <w:top w:val="single" w:color="000000" w:sz="12" w:space="0"/>
          <w:tl2br w:val="nil"/>
          <w:tr2bl w:val="nil"/>
        </w:tcBorders>
      </w:tcPr>
    </w:tblStylePr>
    <w:tblStylePr w:type="firstCol">
      <w:tblPr/>
      <w:tcPr>
        <w:tcBorders>
          <w:right w:val="single" w:color="000000" w:sz="12" w:space="0"/>
          <w:tl2br w:val="nil"/>
          <w:tr2bl w:val="nil"/>
        </w:tcBorders>
        <w:shd w:val="pct25" w:color="008000" w:fill="FFFFFF"/>
      </w:tcPr>
    </w:tblStylePr>
    <w:tblStylePr w:type="lastCol">
      <w:tblPr/>
      <w:tcPr>
        <w:tcBorders>
          <w:left w:val="single" w:color="000000" w:sz="12" w:space="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101">
    <w:name w:val="Table 3D effects 1"/>
    <w:basedOn w:val="85"/>
    <w:semiHidden/>
    <w:qFormat/>
    <w:uiPriority w:val="0"/>
    <w:pPr>
      <w:widowControl w:val="0"/>
      <w:jc w:val="both"/>
    </w:pPr>
    <w:tblPr/>
    <w:tcPr>
      <w:shd w:val="solid" w:color="C0C0C0" w:fill="FFFFFF"/>
    </w:tcPr>
    <w:tblStylePr w:type="firstRow">
      <w:rPr>
        <w:b/>
        <w:bCs/>
        <w:color w:val="800080"/>
      </w:rPr>
      <w:tblPr/>
      <w:tcPr>
        <w:tcBorders>
          <w:bottom w:val="single" w:color="808080" w:sz="6" w:space="0"/>
          <w:tl2br w:val="nil"/>
          <w:tr2bl w:val="nil"/>
        </w:tcBorders>
      </w:tcPr>
    </w:tblStylePr>
    <w:tblStylePr w:type="lastRow">
      <w:tblPr/>
      <w:tcPr>
        <w:tcBorders>
          <w:top w:val="single" w:color="FFFFFF" w:sz="6" w:space="0"/>
          <w:tl2br w:val="nil"/>
          <w:tr2bl w:val="nil"/>
        </w:tcBorders>
      </w:tcPr>
    </w:tblStylePr>
    <w:tblStylePr w:type="firstCol">
      <w:rPr>
        <w:b/>
        <w:bCs/>
      </w:rPr>
      <w:tblPr/>
      <w:tcPr>
        <w:tcBorders>
          <w:right w:val="single" w:color="808080" w:sz="6" w:space="0"/>
          <w:tl2br w:val="nil"/>
          <w:tr2bl w:val="nil"/>
        </w:tcBorders>
      </w:tcPr>
    </w:tblStylePr>
    <w:tblStylePr w:type="lastCol">
      <w:tblPr/>
      <w:tcPr>
        <w:tcBorders>
          <w:left w:val="single" w:color="FFFFFF" w:sz="6" w:space="0"/>
          <w:tl2br w:val="nil"/>
          <w:tr2bl w:val="nil"/>
        </w:tcBorders>
      </w:tcPr>
    </w:tblStylePr>
    <w:tblStylePr w:type="neCell">
      <w:tblPr/>
      <w:tcPr>
        <w:tcBorders>
          <w:left w:val="nil"/>
          <w:bottom w:val="nil"/>
          <w:tl2br w:val="nil"/>
          <w:tr2bl w:val="nil"/>
        </w:tcBorders>
      </w:tcPr>
    </w:tblStylePr>
    <w:tblStylePr w:type="nwCell">
      <w:tblPr/>
      <w:tcPr>
        <w:tcBorders>
          <w:bottom w:val="nil"/>
          <w:right w:val="nil"/>
          <w:tl2br w:val="nil"/>
          <w:tr2bl w:val="nil"/>
        </w:tcBorders>
      </w:tcPr>
    </w:tblStylePr>
    <w:tblStylePr w:type="seCell">
      <w:tblPr/>
      <w:tcPr>
        <w:tcBorders>
          <w:top w:val="nil"/>
          <w:left w:val="nil"/>
          <w:tl2br w:val="nil"/>
          <w:tr2bl w:val="nil"/>
        </w:tcBorders>
      </w:tcPr>
    </w:tblStylePr>
    <w:tblStylePr w:type="swCell">
      <w:rPr>
        <w:color w:val="000080"/>
      </w:rPr>
      <w:tblPr/>
      <w:tcPr>
        <w:tcBorders>
          <w:top w:val="nil"/>
          <w:right w:val="nil"/>
          <w:tl2br w:val="nil"/>
          <w:tr2bl w:val="nil"/>
        </w:tcBorders>
      </w:tcPr>
    </w:tblStylePr>
  </w:style>
  <w:style w:type="table" w:styleId="102">
    <w:name w:val="Table 3D effects 2"/>
    <w:basedOn w:val="85"/>
    <w:semiHidden/>
    <w:qFormat/>
    <w:uiPriority w:val="0"/>
    <w:pPr>
      <w:widowControl w:val="0"/>
      <w:jc w:val="both"/>
    </w:pPr>
    <w:tblPr>
      <w:tblStyleRowBandSize w:val="1"/>
    </w:tblPr>
    <w:tcPr>
      <w:shd w:val="solid" w:color="C0C0C0" w:fill="FFFFFF"/>
    </w:tcPr>
    <w:tblStylePr w:type="firstRow">
      <w:rPr>
        <w:b/>
        <w:bCs/>
      </w:rPr>
      <w:tblPr/>
      <w:tcPr>
        <w:tcBorders>
          <w:tl2br w:val="nil"/>
          <w:tr2bl w:val="nil"/>
        </w:tcBorders>
      </w:tcPr>
    </w:tblStylePr>
    <w:tblStylePr w:type="firstCol">
      <w:tblPr/>
      <w:tcPr>
        <w:tcBorders>
          <w:top w:val="nil"/>
          <w:bottom w:val="nil"/>
          <w:right w:val="single" w:color="808080" w:sz="6" w:space="0"/>
          <w:tl2br w:val="nil"/>
          <w:tr2bl w:val="nil"/>
        </w:tcBorders>
      </w:tcPr>
    </w:tblStylePr>
    <w:tblStylePr w:type="lastCol">
      <w:tblPr/>
      <w:tcPr>
        <w:tcBorders>
          <w:right w:val="single" w:color="FFFFFF" w:sz="6" w:space="0"/>
          <w:tl2br w:val="nil"/>
          <w:tr2bl w:val="nil"/>
        </w:tcBorders>
      </w:tcPr>
    </w:tblStylePr>
    <w:tblStylePr w:type="band1Horz">
      <w:tblPr/>
      <w:tcPr>
        <w:tcBorders>
          <w:top w:val="single" w:color="808080" w:sz="6" w:space="0"/>
          <w:bottom w:val="single" w:color="FFFFFF" w:sz="6" w:space="0"/>
          <w:tl2br w:val="nil"/>
          <w:tr2bl w:val="nil"/>
        </w:tcBorders>
      </w:tcPr>
    </w:tblStylePr>
    <w:tblStylePr w:type="swCell">
      <w:rPr>
        <w:b/>
        <w:bCs/>
      </w:rPr>
      <w:tblPr/>
      <w:tcPr>
        <w:tcBorders>
          <w:tl2br w:val="nil"/>
          <w:tr2bl w:val="nil"/>
        </w:tcBorders>
      </w:tcPr>
    </w:tblStylePr>
  </w:style>
  <w:style w:type="table" w:styleId="103">
    <w:name w:val="Table 3D effects 3"/>
    <w:basedOn w:val="85"/>
    <w:semiHidden/>
    <w:qFormat/>
    <w:uiPriority w:val="0"/>
    <w:pPr>
      <w:widowControl w:val="0"/>
      <w:jc w:val="both"/>
    </w:pPr>
    <w:tblPr>
      <w:tblStyleRowBandSize w:val="1"/>
      <w:tblStyleColBandSize w:val="1"/>
    </w:tblPr>
    <w:tblStylePr w:type="firstRow">
      <w:rPr>
        <w:b/>
        <w:bCs/>
      </w:rPr>
      <w:tblPr/>
      <w:tcPr>
        <w:tcBorders>
          <w:tl2br w:val="nil"/>
          <w:tr2bl w:val="nil"/>
        </w:tcBorders>
      </w:tcPr>
    </w:tblStylePr>
    <w:tblStylePr w:type="firstCol">
      <w:tblPr/>
      <w:tcPr>
        <w:tcBorders>
          <w:top w:val="nil"/>
          <w:bottom w:val="nil"/>
          <w:right w:val="single" w:color="808080" w:sz="6" w:space="0"/>
          <w:tl2br w:val="nil"/>
          <w:tr2bl w:val="nil"/>
        </w:tcBorders>
      </w:tcPr>
    </w:tblStylePr>
    <w:tblStylePr w:type="lastCol">
      <w:tblPr/>
      <w:tcPr>
        <w:tcBorders>
          <w:right w:val="single" w:color="FFFFFF" w:sz="6" w:space="0"/>
          <w:tl2br w:val="nil"/>
          <w:tr2bl w:val="nil"/>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color="808080" w:sz="6" w:space="0"/>
          <w:bottom w:val="single" w:color="FFFFFF" w:sz="6" w:space="0"/>
          <w:tl2br w:val="nil"/>
          <w:tr2bl w:val="nil"/>
        </w:tcBorders>
      </w:tcPr>
    </w:tblStylePr>
    <w:tblStylePr w:type="swCell">
      <w:rPr>
        <w:b/>
        <w:bCs/>
      </w:rPr>
      <w:tblPr/>
      <w:tcPr>
        <w:tcBorders>
          <w:tl2br w:val="nil"/>
          <w:tr2bl w:val="nil"/>
        </w:tcBorders>
      </w:tcPr>
    </w:tblStylePr>
  </w:style>
  <w:style w:type="table" w:styleId="104">
    <w:name w:val="Table List 1"/>
    <w:basedOn w:val="85"/>
    <w:semiHidden/>
    <w:qFormat/>
    <w:uiPriority w:val="0"/>
    <w:pPr>
      <w:widowControl w:val="0"/>
      <w:jc w:val="both"/>
    </w:pPr>
    <w:tblPr>
      <w:tblBorders>
        <w:top w:val="single" w:color="008080" w:sz="12" w:space="0"/>
        <w:left w:val="single" w:color="008080" w:sz="6" w:space="0"/>
        <w:bottom w:val="single" w:color="008080" w:sz="12" w:space="0"/>
        <w:right w:val="single" w:color="008080" w:sz="6" w:space="0"/>
      </w:tblBorders>
    </w:tblPr>
    <w:tblStylePr w:type="firstRow">
      <w:rPr>
        <w:b/>
        <w:bCs/>
        <w:i/>
        <w:iCs/>
        <w:color w:val="800000"/>
      </w:rPr>
      <w:tblPr/>
      <w:tcPr>
        <w:tcBorders>
          <w:bottom w:val="single" w:color="000000" w:sz="6" w:space="0"/>
          <w:tl2br w:val="nil"/>
          <w:tr2bl w:val="nil"/>
        </w:tcBorders>
        <w:shd w:val="solid" w:color="C0C0C0" w:fill="FFFFFF"/>
      </w:tcPr>
    </w:tblStylePr>
    <w:tblStylePr w:type="lastRow">
      <w:tblPr/>
      <w:tcPr>
        <w:tcBorders>
          <w:top w:val="single" w:color="000000" w:sz="6" w:space="0"/>
          <w:tl2br w:val="nil"/>
          <w:tr2bl w:val="nil"/>
        </w:tcBorders>
      </w:tcPr>
    </w:tblStylePr>
    <w:tblStylePr w:type="band1Horz">
      <w:rPr>
        <w:color w:val="auto"/>
      </w:rPr>
      <w:tblPr/>
      <w:tcPr>
        <w:tcBorders>
          <w:tl2br w:val="nil"/>
          <w:tr2bl w:val="nil"/>
        </w:tcBorders>
        <w:shd w:val="solid" w:color="C0C0C0" w:fill="FFFFFF"/>
      </w:tcPr>
    </w:tblStylePr>
    <w:tblStylePr w:type="band2Horz">
      <w:rPr>
        <w:color w:val="auto"/>
      </w:rPr>
      <w:tblPr/>
      <w:tcPr>
        <w:tcBorders>
          <w:tl2br w:val="nil"/>
          <w:tr2bl w:val="nil"/>
        </w:tcBorders>
      </w:tcPr>
    </w:tblStylePr>
    <w:tblStylePr w:type="swCell">
      <w:rPr>
        <w:b/>
        <w:bCs/>
      </w:rPr>
      <w:tblPr/>
      <w:tcPr>
        <w:tcBorders>
          <w:tl2br w:val="nil"/>
          <w:tr2bl w:val="nil"/>
        </w:tcBorders>
      </w:tcPr>
    </w:tblStylePr>
  </w:style>
  <w:style w:type="table" w:styleId="105">
    <w:name w:val="Table List 2"/>
    <w:basedOn w:val="85"/>
    <w:semiHidden/>
    <w:qFormat/>
    <w:uiPriority w:val="0"/>
    <w:pPr>
      <w:widowControl w:val="0"/>
      <w:jc w:val="both"/>
    </w:pPr>
    <w:tblPr>
      <w:tblBorders>
        <w:bottom w:val="single" w:color="808080" w:sz="12" w:space="0"/>
      </w:tblBorders>
    </w:tblPr>
    <w:tblStylePr w:type="firstRow">
      <w:rPr>
        <w:b/>
        <w:bCs/>
        <w:color w:val="FFFFFF"/>
      </w:rPr>
      <w:tblPr/>
      <w:tcPr>
        <w:tcBorders>
          <w:bottom w:val="single" w:color="000000" w:sz="6" w:space="0"/>
          <w:tl2br w:val="nil"/>
          <w:tr2bl w:val="nil"/>
        </w:tcBorders>
        <w:shd w:val="pct75" w:color="008080" w:fill="008000"/>
      </w:tcPr>
    </w:tblStylePr>
    <w:tblStylePr w:type="lastRow">
      <w:tblPr/>
      <w:tcPr>
        <w:tcBorders>
          <w:top w:val="single" w:color="000000" w:sz="6" w:space="0"/>
          <w:tl2br w:val="nil"/>
          <w:tr2bl w:val="nil"/>
        </w:tcBorders>
      </w:tcPr>
    </w:tblStylePr>
    <w:tblStylePr w:type="band1Horz">
      <w:rPr>
        <w:color w:val="auto"/>
      </w:rPr>
      <w:tblPr/>
      <w:tcPr>
        <w:tcBorders>
          <w:tl2br w:val="nil"/>
          <w:tr2bl w:val="nil"/>
        </w:tcBorders>
        <w:shd w:val="pct20" w:color="00FF00" w:fill="FFFFFF"/>
      </w:tcPr>
    </w:tblStylePr>
    <w:tblStylePr w:type="band2Horz">
      <w:rPr>
        <w:color w:val="auto"/>
      </w:rPr>
      <w:tblPr/>
      <w:tcPr>
        <w:tcBorders>
          <w:tl2br w:val="nil"/>
          <w:tr2bl w:val="nil"/>
        </w:tcBorders>
      </w:tcPr>
    </w:tblStylePr>
    <w:tblStylePr w:type="swCell">
      <w:rPr>
        <w:b/>
        <w:bCs/>
      </w:rPr>
      <w:tblPr/>
      <w:tcPr>
        <w:tcBorders>
          <w:tl2br w:val="nil"/>
          <w:tr2bl w:val="nil"/>
        </w:tcBorders>
      </w:tcPr>
    </w:tblStylePr>
  </w:style>
  <w:style w:type="table" w:styleId="106">
    <w:name w:val="Table List 3"/>
    <w:basedOn w:val="85"/>
    <w:semiHidden/>
    <w:qFormat/>
    <w:uiPriority w:val="0"/>
    <w:pPr>
      <w:widowControl w:val="0"/>
      <w:jc w:val="both"/>
    </w:pPr>
    <w:tblPr>
      <w:tblBorders>
        <w:top w:val="single" w:color="000000" w:sz="12" w:space="0"/>
        <w:bottom w:val="single" w:color="000000" w:sz="12" w:space="0"/>
        <w:insideH w:val="single" w:color="000000" w:sz="6" w:space="0"/>
      </w:tblBorders>
    </w:tblPr>
    <w:tcPr>
      <w:shd w:val="clear" w:color="auto" w:fill="auto"/>
    </w:tcPr>
    <w:tblStylePr w:type="firstRow">
      <w:rPr>
        <w:b/>
        <w:bCs/>
        <w:color w:val="000080"/>
      </w:rPr>
      <w:tblPr/>
      <w:tcPr>
        <w:tcBorders>
          <w:bottom w:val="single" w:color="000000" w:sz="12" w:space="0"/>
          <w:tl2br w:val="nil"/>
          <w:tr2bl w:val="nil"/>
        </w:tcBorders>
      </w:tcPr>
    </w:tblStylePr>
    <w:tblStylePr w:type="lastRow">
      <w:tblPr/>
      <w:tcPr>
        <w:tcBorders>
          <w:top w:val="single" w:color="000000" w:sz="12" w:space="0"/>
          <w:tl2br w:val="nil"/>
          <w:tr2bl w:val="nil"/>
        </w:tcBorders>
      </w:tcPr>
    </w:tblStylePr>
    <w:tblStylePr w:type="swCell">
      <w:rPr>
        <w:i/>
        <w:iCs/>
        <w:color w:val="000080"/>
      </w:rPr>
      <w:tblPr/>
      <w:tcPr>
        <w:tcBorders>
          <w:tl2br w:val="nil"/>
          <w:tr2bl w:val="nil"/>
        </w:tcBorders>
      </w:tcPr>
    </w:tblStylePr>
  </w:style>
  <w:style w:type="table" w:styleId="107">
    <w:name w:val="Table List 4"/>
    <w:basedOn w:val="85"/>
    <w:semiHidden/>
    <w:qFormat/>
    <w:uiPriority w:val="0"/>
    <w:pPr>
      <w:widowControl w:val="0"/>
      <w:jc w:val="both"/>
    </w:pPr>
    <w:tblPr>
      <w:tblBorders>
        <w:top w:val="single" w:color="000000" w:sz="12" w:space="0"/>
        <w:left w:val="single" w:color="000000" w:sz="12" w:space="0"/>
        <w:bottom w:val="single" w:color="000000" w:sz="12" w:space="0"/>
        <w:right w:val="single" w:color="000000" w:sz="12" w:space="0"/>
        <w:insideH w:val="single" w:color="000000" w:sz="6" w:space="0"/>
      </w:tblBorders>
    </w:tblPr>
    <w:tcPr>
      <w:shd w:val="clear" w:color="auto" w:fill="auto"/>
    </w:tcPr>
    <w:tblStylePr w:type="firstRow">
      <w:rPr>
        <w:b/>
        <w:bCs/>
        <w:color w:val="FFFFFF"/>
      </w:rPr>
      <w:tblPr/>
      <w:tcPr>
        <w:tcBorders>
          <w:bottom w:val="single" w:color="000000" w:sz="12" w:space="0"/>
          <w:tl2br w:val="nil"/>
          <w:tr2bl w:val="nil"/>
        </w:tcBorders>
        <w:shd w:val="solid" w:color="808080" w:fill="FFFFFF"/>
      </w:tcPr>
    </w:tblStylePr>
  </w:style>
  <w:style w:type="table" w:styleId="108">
    <w:name w:val="Table List 5"/>
    <w:basedOn w:val="85"/>
    <w:semiHidden/>
    <w:qFormat/>
    <w:uiPriority w:val="0"/>
    <w:pPr>
      <w:widowControl w:val="0"/>
      <w:jc w:val="both"/>
    </w:pPr>
    <w:tblPr>
      <w:tblBorders>
        <w:top w:val="single" w:color="000000" w:sz="6" w:space="0"/>
        <w:left w:val="single" w:color="000000" w:sz="6" w:space="0"/>
        <w:bottom w:val="single" w:color="000000" w:sz="6" w:space="0"/>
        <w:right w:val="single" w:color="000000" w:sz="6" w:space="0"/>
        <w:insideH w:val="single" w:color="000000" w:sz="6" w:space="0"/>
      </w:tblBorders>
    </w:tblPr>
    <w:tcPr>
      <w:shd w:val="clear" w:color="auto" w:fill="auto"/>
    </w:tcPr>
    <w:tblStylePr w:type="firstRow">
      <w:rPr>
        <w:b/>
        <w:bCs/>
      </w:rPr>
      <w:tblPr/>
      <w:tcPr>
        <w:tcBorders>
          <w:bottom w:val="single" w:color="000000" w:sz="12" w:space="0"/>
          <w:tl2br w:val="nil"/>
          <w:tr2bl w:val="nil"/>
        </w:tcBorders>
      </w:tcPr>
    </w:tblStylePr>
    <w:tblStylePr w:type="firstCol">
      <w:rPr>
        <w:b/>
        <w:bCs/>
      </w:rPr>
      <w:tblPr/>
      <w:tcPr>
        <w:tcBorders>
          <w:tl2br w:val="nil"/>
          <w:tr2bl w:val="nil"/>
        </w:tcBorders>
      </w:tcPr>
    </w:tblStylePr>
  </w:style>
  <w:style w:type="table" w:styleId="109">
    <w:name w:val="Table List 6"/>
    <w:basedOn w:val="85"/>
    <w:semiHidden/>
    <w:qFormat/>
    <w:uiPriority w:val="0"/>
    <w:pPr>
      <w:widowControl w:val="0"/>
      <w:jc w:val="both"/>
    </w:pPr>
    <w:tblPr>
      <w:tblBorders>
        <w:top w:val="single" w:color="000000" w:sz="6" w:space="0"/>
        <w:left w:val="single" w:color="000000" w:sz="6" w:space="0"/>
        <w:bottom w:val="single" w:color="000000" w:sz="6" w:space="0"/>
        <w:right w:val="single" w:color="000000" w:sz="6" w:space="0"/>
      </w:tblBorders>
    </w:tblPr>
    <w:tcPr>
      <w:shd w:val="pct50" w:color="000000" w:fill="FFFFFF"/>
    </w:tcPr>
    <w:tblStylePr w:type="firstRow">
      <w:rPr>
        <w:b/>
        <w:bCs/>
      </w:rPr>
      <w:tblPr/>
      <w:tcPr>
        <w:tcBorders>
          <w:bottom w:val="single" w:color="000000" w:sz="12" w:space="0"/>
          <w:tl2br w:val="nil"/>
          <w:tr2bl w:val="nil"/>
        </w:tcBorders>
      </w:tcPr>
    </w:tblStylePr>
    <w:tblStylePr w:type="firstCol">
      <w:rPr>
        <w:b/>
        <w:bCs/>
      </w:rPr>
      <w:tblPr/>
      <w:tcPr>
        <w:tcBorders>
          <w:right w:val="single" w:color="000000" w:sz="12" w:space="0"/>
          <w:tl2br w:val="nil"/>
          <w:tr2bl w:val="nil"/>
        </w:tcBorders>
      </w:tcPr>
    </w:tblStylePr>
    <w:tblStylePr w:type="band1Horz">
      <w:tblPr/>
      <w:tcPr>
        <w:tcBorders>
          <w:tl2br w:val="nil"/>
          <w:tr2bl w:val="nil"/>
        </w:tcBorders>
        <w:shd w:val="pct25" w:color="000000" w:fill="FFFFFF"/>
      </w:tcPr>
    </w:tblStylePr>
    <w:tblStylePr w:type="nwCell">
      <w:tblPr/>
      <w:tcPr>
        <w:tcBorders>
          <w:tl2br w:val="single" w:color="000000" w:sz="6" w:space="0"/>
          <w:tr2bl w:val="nil"/>
        </w:tcBorders>
      </w:tcPr>
    </w:tblStylePr>
  </w:style>
  <w:style w:type="table" w:styleId="110">
    <w:name w:val="Table List 7"/>
    <w:basedOn w:val="85"/>
    <w:semiHidden/>
    <w:qFormat/>
    <w:uiPriority w:val="0"/>
    <w:pPr>
      <w:widowControl w:val="0"/>
      <w:jc w:val="both"/>
    </w:pPr>
    <w:tblPr>
      <w:tblBorders>
        <w:top w:val="single" w:color="008000" w:sz="12" w:space="0"/>
        <w:left w:val="single" w:color="008000" w:sz="6" w:space="0"/>
        <w:bottom w:val="single" w:color="008000" w:sz="12" w:space="0"/>
        <w:right w:val="single" w:color="008000" w:sz="6" w:space="0"/>
        <w:insideH w:val="single" w:color="000000" w:sz="6" w:space="0"/>
      </w:tblBorders>
    </w:tblPr>
    <w:tblStylePr w:type="firstRow">
      <w:rPr>
        <w:b/>
        <w:bCs/>
      </w:rPr>
      <w:tblPr/>
      <w:tcPr>
        <w:tcBorders>
          <w:bottom w:val="single" w:color="008000" w:sz="12" w:space="0"/>
          <w:tl2br w:val="nil"/>
          <w:tr2bl w:val="nil"/>
        </w:tcBorders>
        <w:shd w:val="solid" w:color="C0C0C0" w:fill="FFFFFF"/>
      </w:tcPr>
    </w:tblStylePr>
    <w:tblStylePr w:type="lastRow">
      <w:rPr>
        <w:b/>
        <w:bCs/>
      </w:rPr>
      <w:tblPr/>
      <w:tcPr>
        <w:tcBorders>
          <w:top w:val="single" w:color="008000" w:sz="12" w:space="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Horz">
      <w:rPr>
        <w:color w:val="auto"/>
      </w:rPr>
      <w:tblPr/>
      <w:tcPr>
        <w:tcBorders>
          <w:tl2br w:val="nil"/>
          <w:tr2bl w:val="nil"/>
        </w:tcBorders>
        <w:shd w:val="pct20" w:color="000000" w:fill="FFFFFF"/>
      </w:tcPr>
    </w:tblStylePr>
    <w:tblStylePr w:type="band2Horz">
      <w:tblPr/>
      <w:tcPr>
        <w:tcBorders>
          <w:tl2br w:val="nil"/>
          <w:tr2bl w:val="nil"/>
        </w:tcBorders>
        <w:shd w:val="pct25" w:color="FFFF00" w:fill="FFFFFF"/>
      </w:tcPr>
    </w:tblStylePr>
  </w:style>
  <w:style w:type="table" w:styleId="111">
    <w:name w:val="Table List 8"/>
    <w:basedOn w:val="85"/>
    <w:semiHidden/>
    <w:qFormat/>
    <w:uiPriority w:val="0"/>
    <w:pPr>
      <w:widowControl w:val="0"/>
      <w:jc w:val="both"/>
    </w:pPr>
    <w:tblPr>
      <w:tblBorders>
        <w:top w:val="single" w:color="000000" w:sz="6" w:space="0"/>
        <w:left w:val="single" w:color="000000" w:sz="6" w:space="0"/>
        <w:bottom w:val="single" w:color="000000" w:sz="6" w:space="0"/>
        <w:right w:val="single" w:color="000000" w:sz="6" w:space="0"/>
        <w:insideV w:val="single" w:color="000000" w:sz="6" w:space="0"/>
      </w:tblBorders>
    </w:tblPr>
    <w:tblStylePr w:type="firstRow">
      <w:rPr>
        <w:b/>
        <w:bCs/>
        <w:i/>
        <w:iCs/>
      </w:rPr>
      <w:tblPr/>
      <w:tcPr>
        <w:tcBorders>
          <w:bottom w:val="single" w:color="000000" w:sz="6" w:space="0"/>
          <w:tl2br w:val="nil"/>
          <w:tr2bl w:val="nil"/>
        </w:tcBorders>
        <w:shd w:val="solid" w:color="FFFF00" w:fill="FFFFFF"/>
      </w:tcPr>
    </w:tblStylePr>
    <w:tblStylePr w:type="lastRow">
      <w:rPr>
        <w:b/>
        <w:bCs/>
      </w:rPr>
      <w:tblPr/>
      <w:tcPr>
        <w:tcBorders>
          <w:top w:val="single" w:color="000000" w:sz="6" w:space="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Horz">
      <w:rPr>
        <w:color w:val="auto"/>
      </w:rPr>
      <w:tblPr/>
      <w:tcPr>
        <w:tcBorders>
          <w:tl2br w:val="nil"/>
          <w:tr2bl w:val="nil"/>
        </w:tcBorders>
        <w:shd w:val="pct25" w:color="FFFF00" w:fill="FFFFFF"/>
      </w:tcPr>
    </w:tblStylePr>
    <w:tblStylePr w:type="band2Horz">
      <w:tblPr/>
      <w:tcPr>
        <w:tcBorders>
          <w:tl2br w:val="nil"/>
          <w:tr2bl w:val="nil"/>
        </w:tcBorders>
        <w:shd w:val="pct50" w:color="FF0000" w:fill="FFFFFF"/>
      </w:tcPr>
    </w:tblStylePr>
    <w:tblStylePr w:type="nwCell">
      <w:tblPr/>
      <w:tcPr>
        <w:tcBorders>
          <w:tl2br w:val="single" w:color="auto" w:sz="6" w:space="0"/>
          <w:tr2bl w:val="nil"/>
        </w:tcBorders>
      </w:tcPr>
    </w:tblStylePr>
  </w:style>
  <w:style w:type="table" w:styleId="112">
    <w:name w:val="Table Contemporary"/>
    <w:basedOn w:val="85"/>
    <w:semiHidden/>
    <w:qFormat/>
    <w:uiPriority w:val="0"/>
    <w:pPr>
      <w:widowControl w:val="0"/>
      <w:jc w:val="both"/>
    </w:pPr>
    <w:tblPr>
      <w:tblBorders>
        <w:insideH w:val="single" w:color="FFFFFF" w:sz="18" w:space="0"/>
        <w:insideV w:val="single" w:color="FFFFFF" w:sz="18" w:space="0"/>
      </w:tblBorders>
    </w:tblPr>
    <w:tblStylePr w:type="firstRow">
      <w:rPr>
        <w:b/>
        <w:bCs/>
        <w:color w:val="auto"/>
      </w:rPr>
      <w:tblPr/>
      <w:tcPr>
        <w:tcBorders>
          <w:tl2br w:val="nil"/>
          <w:tr2bl w:val="nil"/>
        </w:tcBorders>
        <w:shd w:val="pct20" w:color="000000" w:fill="FFFFFF"/>
      </w:tcPr>
    </w:tblStylePr>
    <w:tblStylePr w:type="band1Horz">
      <w:rPr>
        <w:color w:val="auto"/>
      </w:rPr>
      <w:tblPr/>
      <w:tcPr>
        <w:tcBorders>
          <w:tl2br w:val="nil"/>
          <w:tr2bl w:val="nil"/>
        </w:tcBorders>
        <w:shd w:val="pct5" w:color="000000" w:fill="FFFFFF"/>
      </w:tcPr>
    </w:tblStylePr>
    <w:tblStylePr w:type="band2Horz">
      <w:rPr>
        <w:color w:val="auto"/>
      </w:rPr>
      <w:tblPr/>
      <w:tcPr>
        <w:tcBorders>
          <w:tl2br w:val="nil"/>
          <w:tr2bl w:val="nil"/>
        </w:tcBorders>
        <w:shd w:val="pct20" w:color="000000" w:fill="FFFFFF"/>
      </w:tcPr>
    </w:tblStylePr>
  </w:style>
  <w:style w:type="table" w:styleId="113">
    <w:name w:val="Table Columns 1"/>
    <w:basedOn w:val="85"/>
    <w:semiHidden/>
    <w:qFormat/>
    <w:uiPriority w:val="0"/>
    <w:pPr>
      <w:widowControl w:val="0"/>
      <w:jc w:val="both"/>
    </w:pPr>
    <w:rPr>
      <w:b/>
      <w:bCs/>
    </w:rPr>
    <w:tblPr>
      <w:tblBorders>
        <w:top w:val="single" w:color="000000" w:sz="12" w:space="0"/>
        <w:left w:val="single" w:color="000000" w:sz="12" w:space="0"/>
        <w:bottom w:val="single" w:color="000000" w:sz="12" w:space="0"/>
        <w:right w:val="single" w:color="000000" w:sz="12" w:space="0"/>
      </w:tblBorders>
    </w:tblPr>
    <w:tblStylePr w:type="firstRow">
      <w:rPr>
        <w:b w:val="0"/>
        <w:bCs w:val="0"/>
      </w:rPr>
      <w:tblPr/>
      <w:tcPr>
        <w:tcBorders>
          <w:bottom w:val="double" w:color="000000" w:sz="6" w:space="0"/>
          <w:tl2br w:val="nil"/>
          <w:tr2bl w:val="nil"/>
        </w:tcBorders>
      </w:tcPr>
    </w:tblStylePr>
    <w:tblStylePr w:type="lastRow">
      <w:rPr>
        <w:b w:val="0"/>
        <w:bCs w:val="0"/>
      </w:rPr>
      <w:tblPr/>
      <w:tcPr>
        <w:tcBorders>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114">
    <w:name w:val="Table Columns 2"/>
    <w:basedOn w:val="85"/>
    <w:semiHidden/>
    <w:qFormat/>
    <w:uiPriority w:val="0"/>
    <w:pPr>
      <w:widowControl w:val="0"/>
      <w:jc w:val="both"/>
    </w:pPr>
    <w:rPr>
      <w:b/>
      <w:bCs/>
    </w:rPr>
    <w:tblPr>
      <w:tblStyleColBandSize w:val="1"/>
    </w:tblPr>
    <w:tblStylePr w:type="firstRow">
      <w:rPr>
        <w:color w:val="FFFFFF"/>
      </w:rPr>
      <w:tblPr/>
      <w:tcPr>
        <w:tcBorders>
          <w:tl2br w:val="nil"/>
          <w:tr2bl w:val="nil"/>
        </w:tcBorders>
        <w:shd w:val="solid" w:color="000080" w:fill="FFFFFF"/>
      </w:tcPr>
    </w:tblStylePr>
    <w:tblStylePr w:type="lastRow">
      <w:rPr>
        <w:b w:val="0"/>
        <w:bCs w:val="0"/>
      </w:rPr>
      <w:tblPr/>
      <w:tcPr>
        <w:tcBorders>
          <w:tl2br w:val="nil"/>
          <w:tr2bl w:val="nil"/>
        </w:tcBorders>
      </w:tcPr>
    </w:tblStylePr>
    <w:tblStylePr w:type="firstCol">
      <w:rPr>
        <w:b w:val="0"/>
        <w:bCs w:val="0"/>
        <w:color w:val="000000"/>
      </w:rPr>
      <w:tblPr/>
      <w:tcPr>
        <w:tcBorders>
          <w:tl2br w:val="nil"/>
          <w:tr2bl w:val="nil"/>
        </w:tcBorders>
      </w:tcPr>
    </w:tblStylePr>
    <w:tblStylePr w:type="lastCol">
      <w:rPr>
        <w:b w:val="0"/>
        <w:bCs w:val="0"/>
      </w:rPr>
      <w:tblPr/>
      <w:tcPr>
        <w:tcBorders>
          <w:tl2br w:val="nil"/>
          <w:tr2bl w:val="nil"/>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115">
    <w:name w:val="Table Columns 3"/>
    <w:basedOn w:val="85"/>
    <w:semiHidden/>
    <w:qFormat/>
    <w:uiPriority w:val="0"/>
    <w:pPr>
      <w:widowControl w:val="0"/>
      <w:jc w:val="both"/>
    </w:pPr>
    <w:rPr>
      <w:b/>
      <w:bCs/>
    </w:rPr>
    <w:tblPr>
      <w:tblBorders>
        <w:top w:val="single" w:color="000080" w:sz="6" w:space="0"/>
        <w:left w:val="single" w:color="000080" w:sz="6" w:space="0"/>
        <w:bottom w:val="single" w:color="000080" w:sz="6" w:space="0"/>
        <w:right w:val="single" w:color="000080" w:sz="6" w:space="0"/>
        <w:insideV w:val="single" w:color="000080" w:sz="6" w:space="0"/>
      </w:tblBorders>
    </w:tblPr>
    <w:tblStylePr w:type="firstRow">
      <w:rPr>
        <w:color w:val="FFFFFF"/>
      </w:rPr>
      <w:tblPr/>
      <w:tcPr>
        <w:tcBorders>
          <w:tl2br w:val="nil"/>
          <w:tr2bl w:val="nil"/>
        </w:tcBorders>
        <w:shd w:val="solid" w:color="000080" w:fill="FFFFFF"/>
      </w:tcPr>
    </w:tblStylePr>
    <w:tblStylePr w:type="lastRow">
      <w:rPr>
        <w:b w:val="0"/>
        <w:bCs w:val="0"/>
      </w:rPr>
      <w:tblPr/>
      <w:tcPr>
        <w:tcBorders>
          <w:top w:val="single" w:color="000080" w:sz="6" w:space="0"/>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il"/>
          <w:tr2bl w:val="nil"/>
        </w:tcBorders>
      </w:tcPr>
    </w:tblStylePr>
  </w:style>
  <w:style w:type="table" w:styleId="116">
    <w:name w:val="Table Columns 4"/>
    <w:basedOn w:val="85"/>
    <w:semiHidden/>
    <w:qFormat/>
    <w:uiPriority w:val="0"/>
    <w:pPr>
      <w:widowControl w:val="0"/>
      <w:jc w:val="both"/>
    </w:pPr>
    <w:tblPr>
      <w:tblStyleColBandSize w:val="1"/>
    </w:tblPr>
    <w:tblStylePr w:type="firstRow">
      <w:rPr>
        <w:color w:val="FFFFFF"/>
      </w:rPr>
      <w:tblPr/>
      <w:tcPr>
        <w:tcBorders>
          <w:tl2br w:val="nil"/>
          <w:tr2bl w:val="nil"/>
        </w:tcBorders>
        <w:shd w:val="solid" w:color="0000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117">
    <w:name w:val="Table Columns 5"/>
    <w:basedOn w:val="85"/>
    <w:semiHidden/>
    <w:qFormat/>
    <w:uiPriority w:val="0"/>
    <w:pPr>
      <w:widowControl w:val="0"/>
      <w:jc w:val="both"/>
    </w:pPr>
    <w:tblPr>
      <w:tblBorders>
        <w:top w:val="single" w:color="808080" w:sz="12" w:space="0"/>
        <w:left w:val="single" w:color="808080" w:sz="12" w:space="0"/>
        <w:bottom w:val="single" w:color="808080" w:sz="12" w:space="0"/>
        <w:right w:val="single" w:color="808080" w:sz="12" w:space="0"/>
        <w:insideV w:val="single" w:color="C0C0C0" w:sz="6" w:space="0"/>
      </w:tblBorders>
    </w:tblPr>
    <w:tblStylePr w:type="firstRow">
      <w:rPr>
        <w:b/>
        <w:bCs/>
        <w:i/>
        <w:iCs/>
      </w:rPr>
      <w:tblPr/>
      <w:tcPr>
        <w:tcBorders>
          <w:bottom w:val="single" w:color="808080" w:sz="6" w:space="0"/>
          <w:tl2br w:val="nil"/>
          <w:tr2bl w:val="nil"/>
        </w:tcBorders>
      </w:tcPr>
    </w:tblStylePr>
    <w:tblStylePr w:type="lastRow">
      <w:rPr>
        <w:b/>
        <w:bCs/>
      </w:rPr>
      <w:tblPr/>
      <w:tcPr>
        <w:tcBorders>
          <w:top w:val="single" w:color="808080" w:sz="6" w:space="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Vert">
      <w:rPr>
        <w:color w:val="auto"/>
      </w:rPr>
      <w:tblPr/>
      <w:tcPr>
        <w:shd w:val="solid" w:color="C0C0C0" w:fill="FFFFFF"/>
      </w:tcPr>
    </w:tblStylePr>
    <w:tblStylePr w:type="band2Vert">
      <w:rPr>
        <w:color w:val="auto"/>
      </w:rPr>
    </w:tblStylePr>
  </w:style>
  <w:style w:type="table" w:styleId="118">
    <w:name w:val="Table Grid 1"/>
    <w:basedOn w:val="85"/>
    <w:semiHidden/>
    <w:qFormat/>
    <w:uiPriority w:val="0"/>
    <w:pPr>
      <w:widowControl w:val="0"/>
      <w:jc w:val="both"/>
    </w:p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color="000000" w:sz="6" w:space="0"/>
          <w:tr2bl w:val="nil"/>
        </w:tcBorders>
      </w:tcPr>
    </w:tblStylePr>
  </w:style>
  <w:style w:type="table" w:styleId="119">
    <w:name w:val="Table Grid 2"/>
    <w:basedOn w:val="85"/>
    <w:semiHidden/>
    <w:qFormat/>
    <w:uiPriority w:val="0"/>
    <w:pPr>
      <w:widowControl w:val="0"/>
      <w:jc w:val="both"/>
    </w:pPr>
    <w:tblPr>
      <w:tblBorders>
        <w:insideH w:val="single" w:color="000000" w:sz="6" w:space="0"/>
        <w:insideV w:val="single" w:color="000000" w:sz="6" w:space="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color="000000" w:sz="6" w:space="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120">
    <w:name w:val="Table Grid 3"/>
    <w:basedOn w:val="85"/>
    <w:semiHidden/>
    <w:qFormat/>
    <w:uiPriority w:val="0"/>
    <w:pPr>
      <w:widowControl w:val="0"/>
      <w:jc w:val="both"/>
    </w:pPr>
    <w:tblPr>
      <w:tblBorders>
        <w:top w:val="single" w:color="000000" w:sz="6" w:space="0"/>
        <w:left w:val="single" w:color="000000" w:sz="12" w:space="0"/>
        <w:bottom w:val="single" w:color="000000" w:sz="6" w:space="0"/>
        <w:right w:val="single" w:color="000000" w:sz="12" w:space="0"/>
        <w:insideV w:val="single" w:color="000000" w:sz="6" w:space="0"/>
      </w:tblBorders>
    </w:tblPr>
    <w:tcPr>
      <w:shd w:val="clear" w:color="auto" w:fill="auto"/>
    </w:tcPr>
    <w:tblStylePr w:type="firstRow">
      <w:tblPr/>
      <w:tcPr>
        <w:tcBorders>
          <w:bottom w:val="single" w:color="000000" w:sz="6" w:space="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color="000000" w:sz="6" w:space="0"/>
          <w:tr2bl w:val="nil"/>
        </w:tcBorders>
      </w:tcPr>
    </w:tblStylePr>
  </w:style>
  <w:style w:type="table" w:styleId="121">
    <w:name w:val="Table Grid 4"/>
    <w:basedOn w:val="85"/>
    <w:semiHidden/>
    <w:qFormat/>
    <w:uiPriority w:val="0"/>
    <w:pPr>
      <w:widowControl w:val="0"/>
      <w:jc w:val="both"/>
    </w:pPr>
    <w:tblPr>
      <w:tblBorders>
        <w:left w:val="single" w:color="000000" w:sz="12" w:space="0"/>
        <w:right w:val="single" w:color="000000" w:sz="12" w:space="0"/>
        <w:insideH w:val="single" w:color="000000" w:sz="6" w:space="0"/>
        <w:insideV w:val="single" w:color="000000" w:sz="6" w:space="0"/>
      </w:tblBorders>
    </w:tblPr>
    <w:tcPr>
      <w:shd w:val="clear" w:color="auto" w:fill="auto"/>
    </w:tcPr>
    <w:tblStylePr w:type="firstRow">
      <w:rPr>
        <w:color w:val="auto"/>
      </w:rPr>
      <w:tblPr/>
      <w:tcPr>
        <w:tcBorders>
          <w:bottom w:val="single" w:color="000000" w:sz="6" w:space="0"/>
          <w:tl2br w:val="nil"/>
          <w:tr2bl w:val="nil"/>
        </w:tcBorders>
        <w:shd w:val="pct30" w:color="FFFF00" w:fill="FFFFFF"/>
      </w:tcPr>
    </w:tblStylePr>
    <w:tblStylePr w:type="lastRow">
      <w:rPr>
        <w:b/>
        <w:bCs/>
        <w:color w:val="auto"/>
      </w:rPr>
      <w:tblPr/>
      <w:tcPr>
        <w:tcBorders>
          <w:top w:val="single" w:color="000000" w:sz="6" w:space="0"/>
          <w:tl2br w:val="nil"/>
          <w:tr2bl w:val="nil"/>
        </w:tcBorders>
        <w:shd w:val="pct30" w:color="FFFF00" w:fill="FFFFFF"/>
      </w:tcPr>
    </w:tblStylePr>
    <w:tblStylePr w:type="lastCol">
      <w:rPr>
        <w:b/>
        <w:bCs/>
        <w:color w:val="auto"/>
      </w:rPr>
      <w:tblPr/>
      <w:tcPr>
        <w:tcBorders>
          <w:tl2br w:val="nil"/>
          <w:tr2bl w:val="nil"/>
        </w:tcBorders>
      </w:tcPr>
    </w:tblStylePr>
  </w:style>
  <w:style w:type="table" w:styleId="122">
    <w:name w:val="Table Grid 5"/>
    <w:basedOn w:val="85"/>
    <w:semiHidden/>
    <w:qFormat/>
    <w:uiPriority w:val="0"/>
    <w:pPr>
      <w:widowControl w:val="0"/>
      <w:jc w:val="both"/>
    </w:p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tblPr/>
      <w:tcPr>
        <w:tcBorders>
          <w:bottom w:val="single" w:color="000000" w:sz="12" w:space="0"/>
          <w:tl2br w:val="nil"/>
          <w:tr2bl w:val="nil"/>
        </w:tcBorders>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color="000000" w:sz="6" w:space="0"/>
          <w:tr2bl w:val="nil"/>
        </w:tcBorders>
      </w:tcPr>
    </w:tblStylePr>
  </w:style>
  <w:style w:type="table" w:styleId="123">
    <w:name w:val="Table Grid 6"/>
    <w:basedOn w:val="85"/>
    <w:semiHidden/>
    <w:qFormat/>
    <w:uiPriority w:val="0"/>
    <w:pPr>
      <w:widowControl w:val="0"/>
      <w:jc w:val="both"/>
    </w:pPr>
    <w:tblPr>
      <w:tblBorders>
        <w:top w:val="single" w:color="000000" w:sz="12" w:space="0"/>
        <w:left w:val="single" w:color="000000" w:sz="12" w:space="0"/>
        <w:bottom w:val="single" w:color="000000" w:sz="12" w:space="0"/>
        <w:right w:val="single" w:color="000000" w:sz="12" w:space="0"/>
        <w:insideV w:val="single" w:color="000000" w:sz="6" w:space="0"/>
      </w:tblBorders>
    </w:tblPr>
    <w:tcPr>
      <w:shd w:val="clear" w:color="auto" w:fill="auto"/>
    </w:tcPr>
    <w:tblStylePr w:type="firstRow">
      <w:rPr>
        <w:b/>
        <w:bCs/>
      </w:rPr>
      <w:tblPr/>
      <w:tcPr>
        <w:tcBorders>
          <w:bottom w:val="single" w:color="000000" w:sz="6" w:space="0"/>
          <w:tl2br w:val="nil"/>
          <w:tr2bl w:val="nil"/>
        </w:tcBorders>
      </w:tcPr>
    </w:tblStylePr>
    <w:tblStylePr w:type="lastRow">
      <w:rPr>
        <w:color w:val="auto"/>
      </w:rPr>
      <w:tblPr/>
      <w:tcPr>
        <w:tcBorders>
          <w:top w:val="single" w:color="000000" w:sz="6" w:space="0"/>
          <w:tl2br w:val="nil"/>
          <w:tr2bl w:val="nil"/>
        </w:tcBorders>
      </w:tcPr>
    </w:tblStylePr>
    <w:tblStylePr w:type="firstCol">
      <w:rPr>
        <w:b/>
        <w:bCs/>
      </w:rPr>
      <w:tblPr/>
      <w:tcPr>
        <w:tcBorders>
          <w:tl2br w:val="nil"/>
          <w:tr2bl w:val="nil"/>
        </w:tcBorders>
      </w:tcPr>
    </w:tblStylePr>
    <w:tblStylePr w:type="nwCell">
      <w:tblPr/>
      <w:tcPr>
        <w:tcBorders>
          <w:tl2br w:val="single" w:color="000000" w:sz="6" w:space="0"/>
          <w:tr2bl w:val="nil"/>
        </w:tcBorders>
      </w:tcPr>
    </w:tblStylePr>
  </w:style>
  <w:style w:type="table" w:styleId="124">
    <w:name w:val="Table Grid 7"/>
    <w:basedOn w:val="85"/>
    <w:semiHidden/>
    <w:qFormat/>
    <w:uiPriority w:val="0"/>
    <w:pPr>
      <w:widowControl w:val="0"/>
      <w:jc w:val="both"/>
    </w:pPr>
    <w:rPr>
      <w:b/>
      <w:bCs/>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rPr>
        <w:b w:val="0"/>
        <w:bCs w:val="0"/>
      </w:rPr>
      <w:tblPr/>
      <w:tcPr>
        <w:tcBorders>
          <w:bottom w:val="single" w:color="000000" w:sz="12" w:space="0"/>
          <w:tl2br w:val="nil"/>
          <w:tr2bl w:val="nil"/>
        </w:tcBorders>
      </w:tcPr>
    </w:tblStylePr>
    <w:tblStylePr w:type="lastRow">
      <w:rPr>
        <w:b w:val="0"/>
        <w:bCs w:val="0"/>
      </w:rPr>
      <w:tblPr/>
      <w:tcPr>
        <w:tcBorders>
          <w:top w:val="single" w:color="000000" w:sz="6" w:space="0"/>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nwCell">
      <w:tblPr/>
      <w:tcPr>
        <w:tcBorders>
          <w:tl2br w:val="single" w:color="000000" w:sz="6" w:space="0"/>
          <w:tr2bl w:val="nil"/>
        </w:tcBorders>
      </w:tcPr>
    </w:tblStylePr>
  </w:style>
  <w:style w:type="table" w:styleId="125">
    <w:name w:val="Table Grid 8"/>
    <w:basedOn w:val="85"/>
    <w:semiHidden/>
    <w:qFormat/>
    <w:uiPriority w:val="0"/>
    <w:pPr>
      <w:widowControl w:val="0"/>
      <w:jc w:val="both"/>
    </w:p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cPr>
      <w:shd w:val="clear" w:color="auto" w:fill="auto"/>
    </w:tc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styleId="126">
    <w:name w:val="Table Web 1"/>
    <w:basedOn w:val="85"/>
    <w:semiHidden/>
    <w:qFormat/>
    <w:uiPriority w:val="0"/>
    <w:pPr>
      <w:widowControl w:val="0"/>
      <w:jc w:val="both"/>
    </w:pPr>
    <w:tblPr>
      <w:tblCellSpacing w:w="2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Pr>
    <w:trPr>
      <w:tblCellSpacing w:w="20" w:type="dxa"/>
    </w:trPr>
    <w:tcPr>
      <w:shd w:val="clear" w:color="auto" w:fill="auto"/>
    </w:tcPr>
    <w:tblStylePr w:type="firstRow">
      <w:rPr>
        <w:color w:val="auto"/>
      </w:rPr>
      <w:tblPr/>
      <w:tcPr>
        <w:tcBorders>
          <w:tl2br w:val="nil"/>
          <w:tr2bl w:val="nil"/>
        </w:tcBorders>
      </w:tcPr>
    </w:tblStylePr>
  </w:style>
  <w:style w:type="table" w:styleId="127">
    <w:name w:val="Table Web 2"/>
    <w:basedOn w:val="85"/>
    <w:semiHidden/>
    <w:qFormat/>
    <w:uiPriority w:val="0"/>
    <w:pPr>
      <w:widowControl w:val="0"/>
      <w:jc w:val="both"/>
    </w:pPr>
    <w:tblPr>
      <w:tblCellSpacing w:w="20" w:type="dxa"/>
      <w:tblBorders>
        <w:top w:val="inset" w:color="auto" w:sz="6" w:space="0"/>
        <w:left w:val="inset" w:color="auto" w:sz="6" w:space="0"/>
        <w:bottom w:val="inset" w:color="auto" w:sz="6" w:space="0"/>
        <w:right w:val="inset" w:color="auto" w:sz="6" w:space="0"/>
        <w:insideH w:val="inset" w:color="auto" w:sz="6" w:space="0"/>
        <w:insideV w:val="inset" w:color="auto" w:sz="6" w:space="0"/>
      </w:tblBorders>
    </w:tblPr>
    <w:trPr>
      <w:tblCellSpacing w:w="20" w:type="dxa"/>
    </w:trPr>
    <w:tcPr>
      <w:shd w:val="clear" w:color="auto" w:fill="auto"/>
    </w:tcPr>
    <w:tblStylePr w:type="firstRow">
      <w:rPr>
        <w:color w:val="auto"/>
      </w:rPr>
      <w:tblPr/>
      <w:tcPr>
        <w:tcBorders>
          <w:tl2br w:val="nil"/>
          <w:tr2bl w:val="nil"/>
        </w:tcBorders>
      </w:tcPr>
    </w:tblStylePr>
  </w:style>
  <w:style w:type="table" w:styleId="128">
    <w:name w:val="Table Web 3"/>
    <w:basedOn w:val="85"/>
    <w:semiHidden/>
    <w:qFormat/>
    <w:uiPriority w:val="0"/>
    <w:pPr>
      <w:widowControl w:val="0"/>
      <w:jc w:val="both"/>
    </w:p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cPr>
      <w:shd w:val="clear" w:color="auto" w:fill="auto"/>
    </w:tcPr>
    <w:tblStylePr w:type="firstRow">
      <w:rPr>
        <w:color w:val="auto"/>
      </w:rPr>
      <w:tblPr/>
      <w:tcPr>
        <w:tcBorders>
          <w:tl2br w:val="nil"/>
          <w:tr2bl w:val="nil"/>
        </w:tcBorders>
      </w:tcPr>
    </w:tblStylePr>
  </w:style>
  <w:style w:type="table" w:styleId="129">
    <w:name w:val="Table Professional"/>
    <w:basedOn w:val="85"/>
    <w:semiHidden/>
    <w:qFormat/>
    <w:uiPriority w:val="0"/>
    <w:pPr>
      <w:widowControl w:val="0"/>
      <w:jc w:val="both"/>
    </w:p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firstRow">
      <w:rPr>
        <w:b/>
        <w:bCs/>
        <w:color w:val="auto"/>
      </w:rPr>
      <w:tblPr/>
      <w:tcPr>
        <w:tcBorders>
          <w:tl2br w:val="nil"/>
          <w:tr2bl w:val="nil"/>
        </w:tcBorders>
        <w:shd w:val="solid" w:color="000000" w:fill="FFFFFF"/>
      </w:tcPr>
    </w:tblStylePr>
  </w:style>
  <w:style w:type="character" w:styleId="131">
    <w:name w:val="Strong"/>
    <w:qFormat/>
    <w:uiPriority w:val="22"/>
    <w:rPr>
      <w:b/>
      <w:bCs/>
    </w:rPr>
  </w:style>
  <w:style w:type="character" w:styleId="132">
    <w:name w:val="endnote reference"/>
    <w:unhideWhenUsed/>
    <w:qFormat/>
    <w:uiPriority w:val="0"/>
    <w:rPr>
      <w:vertAlign w:val="superscript"/>
    </w:rPr>
  </w:style>
  <w:style w:type="character" w:styleId="133">
    <w:name w:val="page number"/>
    <w:basedOn w:val="130"/>
    <w:qFormat/>
    <w:uiPriority w:val="0"/>
  </w:style>
  <w:style w:type="character" w:styleId="134">
    <w:name w:val="FollowedHyperlink"/>
    <w:unhideWhenUsed/>
    <w:qFormat/>
    <w:uiPriority w:val="99"/>
    <w:rPr>
      <w:color w:val="800080"/>
      <w:u w:val="single"/>
    </w:rPr>
  </w:style>
  <w:style w:type="character" w:styleId="135">
    <w:name w:val="line number"/>
    <w:basedOn w:val="130"/>
    <w:semiHidden/>
    <w:qFormat/>
    <w:uiPriority w:val="0"/>
  </w:style>
  <w:style w:type="character" w:styleId="136">
    <w:name w:val="HTML Definition"/>
    <w:semiHidden/>
    <w:qFormat/>
    <w:uiPriority w:val="0"/>
    <w:rPr>
      <w:i/>
      <w:iCs/>
    </w:rPr>
  </w:style>
  <w:style w:type="character" w:styleId="137">
    <w:name w:val="HTML Typewriter"/>
    <w:semiHidden/>
    <w:qFormat/>
    <w:uiPriority w:val="0"/>
    <w:rPr>
      <w:rFonts w:ascii="Courier New" w:hAnsi="Courier New" w:cs="Courier New"/>
      <w:sz w:val="20"/>
      <w:szCs w:val="20"/>
    </w:rPr>
  </w:style>
  <w:style w:type="character" w:styleId="138">
    <w:name w:val="HTML Acronym"/>
    <w:basedOn w:val="130"/>
    <w:semiHidden/>
    <w:qFormat/>
    <w:uiPriority w:val="0"/>
  </w:style>
  <w:style w:type="character" w:styleId="139">
    <w:name w:val="HTML Variable"/>
    <w:semiHidden/>
    <w:qFormat/>
    <w:uiPriority w:val="0"/>
    <w:rPr>
      <w:i/>
      <w:iCs/>
    </w:rPr>
  </w:style>
  <w:style w:type="character" w:styleId="140">
    <w:name w:val="Hyperlink"/>
    <w:basedOn w:val="130"/>
    <w:unhideWhenUsed/>
    <w:qFormat/>
    <w:uiPriority w:val="99"/>
    <w:rPr>
      <w:color w:val="0000FF" w:themeColor="hyperlink"/>
      <w:u w:val="single"/>
      <w14:textFill>
        <w14:solidFill>
          <w14:schemeClr w14:val="hlink"/>
        </w14:solidFill>
      </w14:textFill>
    </w:rPr>
  </w:style>
  <w:style w:type="character" w:styleId="141">
    <w:name w:val="HTML Code"/>
    <w:semiHidden/>
    <w:qFormat/>
    <w:uiPriority w:val="0"/>
    <w:rPr>
      <w:rFonts w:ascii="Courier New" w:hAnsi="Courier New" w:cs="Courier New"/>
      <w:sz w:val="20"/>
      <w:szCs w:val="20"/>
    </w:rPr>
  </w:style>
  <w:style w:type="character" w:styleId="142">
    <w:name w:val="annotation reference"/>
    <w:basedOn w:val="130"/>
    <w:semiHidden/>
    <w:unhideWhenUsed/>
    <w:qFormat/>
    <w:uiPriority w:val="99"/>
    <w:rPr>
      <w:sz w:val="21"/>
      <w:szCs w:val="21"/>
    </w:rPr>
  </w:style>
  <w:style w:type="character" w:styleId="143">
    <w:name w:val="HTML Cite"/>
    <w:semiHidden/>
    <w:qFormat/>
    <w:uiPriority w:val="0"/>
    <w:rPr>
      <w:i/>
      <w:iCs/>
    </w:rPr>
  </w:style>
  <w:style w:type="character" w:styleId="144">
    <w:name w:val="footnote reference"/>
    <w:semiHidden/>
    <w:qFormat/>
    <w:uiPriority w:val="0"/>
    <w:rPr>
      <w:vertAlign w:val="superscript"/>
    </w:rPr>
  </w:style>
  <w:style w:type="character" w:styleId="145">
    <w:name w:val="HTML Keyboard"/>
    <w:semiHidden/>
    <w:qFormat/>
    <w:uiPriority w:val="0"/>
    <w:rPr>
      <w:rFonts w:ascii="Courier New" w:hAnsi="Courier New" w:cs="Courier New"/>
      <w:sz w:val="20"/>
      <w:szCs w:val="20"/>
    </w:rPr>
  </w:style>
  <w:style w:type="character" w:styleId="146">
    <w:name w:val="HTML Sample"/>
    <w:semiHidden/>
    <w:qFormat/>
    <w:uiPriority w:val="0"/>
    <w:rPr>
      <w:rFonts w:ascii="Courier New" w:hAnsi="Courier New" w:cs="Courier New"/>
    </w:rPr>
  </w:style>
  <w:style w:type="table" w:customStyle="1" w:styleId="147">
    <w:name w:val="Table Normal"/>
    <w:semiHidden/>
    <w:unhideWhenUsed/>
    <w:qFormat/>
    <w:uiPriority w:val="2"/>
    <w:tblPr>
      <w:tblCellMar>
        <w:top w:w="0" w:type="dxa"/>
        <w:left w:w="0" w:type="dxa"/>
        <w:bottom w:w="0" w:type="dxa"/>
        <w:right w:w="0" w:type="dxa"/>
      </w:tblCellMar>
    </w:tblPr>
  </w:style>
  <w:style w:type="character" w:customStyle="1" w:styleId="148">
    <w:name w:val="页眉 字符"/>
    <w:basedOn w:val="130"/>
    <w:link w:val="56"/>
    <w:qFormat/>
    <w:uiPriority w:val="99"/>
    <w:rPr>
      <w:rFonts w:ascii="宋体" w:hAnsi="宋体" w:eastAsia="宋体" w:cs="宋体"/>
      <w:sz w:val="18"/>
      <w:szCs w:val="18"/>
    </w:rPr>
  </w:style>
  <w:style w:type="character" w:customStyle="1" w:styleId="149">
    <w:name w:val="页脚 字符"/>
    <w:basedOn w:val="130"/>
    <w:link w:val="54"/>
    <w:qFormat/>
    <w:uiPriority w:val="99"/>
    <w:rPr>
      <w:rFonts w:ascii="宋体" w:hAnsi="宋体" w:eastAsia="宋体" w:cs="宋体"/>
      <w:sz w:val="18"/>
      <w:szCs w:val="18"/>
    </w:rPr>
  </w:style>
  <w:style w:type="character" w:customStyle="1" w:styleId="150">
    <w:name w:val="批注框文本 字符"/>
    <w:basedOn w:val="130"/>
    <w:link w:val="53"/>
    <w:semiHidden/>
    <w:qFormat/>
    <w:uiPriority w:val="99"/>
    <w:rPr>
      <w:rFonts w:ascii="宋体" w:hAnsi="宋体" w:eastAsia="宋体" w:cs="宋体"/>
      <w:sz w:val="18"/>
      <w:szCs w:val="18"/>
    </w:rPr>
  </w:style>
  <w:style w:type="character" w:customStyle="1" w:styleId="151">
    <w:name w:val="批注文字 字符"/>
    <w:basedOn w:val="130"/>
    <w:link w:val="28"/>
    <w:qFormat/>
    <w:uiPriority w:val="99"/>
    <w:rPr>
      <w:rFonts w:ascii="宋体" w:hAnsi="宋体" w:eastAsia="宋体" w:cs="宋体"/>
    </w:rPr>
  </w:style>
  <w:style w:type="character" w:customStyle="1" w:styleId="152">
    <w:name w:val="批注主题 字符"/>
    <w:basedOn w:val="151"/>
    <w:link w:val="82"/>
    <w:semiHidden/>
    <w:qFormat/>
    <w:uiPriority w:val="99"/>
    <w:rPr>
      <w:rFonts w:ascii="宋体" w:hAnsi="宋体" w:eastAsia="宋体" w:cs="宋体"/>
      <w:b/>
      <w:bCs/>
    </w:rPr>
  </w:style>
  <w:style w:type="paragraph" w:customStyle="1" w:styleId="153">
    <w:name w:val="一级标题A"/>
    <w:basedOn w:val="1"/>
    <w:qFormat/>
    <w:uiPriority w:val="0"/>
    <w:pPr>
      <w:autoSpaceDE/>
      <w:autoSpaceDN/>
      <w:spacing w:line="360" w:lineRule="auto"/>
      <w:jc w:val="both"/>
      <w:outlineLvl w:val="0"/>
    </w:pPr>
    <w:rPr>
      <w:rFonts w:ascii="Times New Roman" w:hAnsi="Times New Roman" w:eastAsia="黑体" w:cstheme="minorBidi"/>
      <w:b/>
      <w:kern w:val="2"/>
      <w:sz w:val="28"/>
      <w:szCs w:val="24"/>
      <w:lang w:eastAsia="zh-CN"/>
    </w:rPr>
  </w:style>
  <w:style w:type="paragraph" w:customStyle="1" w:styleId="154">
    <w:name w:val="文字"/>
    <w:basedOn w:val="1"/>
    <w:next w:val="1"/>
    <w:qFormat/>
    <w:uiPriority w:val="0"/>
    <w:pPr>
      <w:autoSpaceDE/>
      <w:autoSpaceDN/>
      <w:adjustRightInd w:val="0"/>
      <w:snapToGrid w:val="0"/>
      <w:spacing w:afterLines="30" w:line="360" w:lineRule="auto"/>
      <w:ind w:firstLine="200" w:firstLineChars="200"/>
      <w:jc w:val="both"/>
    </w:pPr>
    <w:rPr>
      <w:rFonts w:cs="Times New Roman"/>
      <w:snapToGrid w:val="0"/>
      <w:sz w:val="21"/>
      <w:szCs w:val="20"/>
      <w:lang w:eastAsia="zh-CN"/>
    </w:rPr>
  </w:style>
  <w:style w:type="character" w:customStyle="1" w:styleId="155">
    <w:name w:val="文档结构图 字符"/>
    <w:basedOn w:val="130"/>
    <w:link w:val="26"/>
    <w:qFormat/>
    <w:uiPriority w:val="0"/>
    <w:rPr>
      <w:rFonts w:ascii="Times New Roman" w:hAnsi="Times New Roman"/>
      <w:kern w:val="2"/>
      <w:sz w:val="24"/>
      <w:szCs w:val="24"/>
      <w:shd w:val="clear" w:color="auto" w:fill="000080"/>
      <w:lang w:eastAsia="zh-CN"/>
    </w:rPr>
  </w:style>
  <w:style w:type="table" w:customStyle="1" w:styleId="156">
    <w:name w:val="Table Normal1"/>
    <w:semiHidden/>
    <w:unhideWhenUsed/>
    <w:qFormat/>
    <w:uiPriority w:val="2"/>
    <w:tblPr>
      <w:tblCellMar>
        <w:top w:w="0" w:type="dxa"/>
        <w:left w:w="0" w:type="dxa"/>
        <w:bottom w:w="0" w:type="dxa"/>
        <w:right w:w="0" w:type="dxa"/>
      </w:tblCellMar>
    </w:tblPr>
  </w:style>
  <w:style w:type="paragraph" w:customStyle="1" w:styleId="157">
    <w:name w:val="方案文字"/>
    <w:basedOn w:val="1"/>
    <w:qFormat/>
    <w:uiPriority w:val="0"/>
    <w:pPr>
      <w:autoSpaceDE/>
      <w:autoSpaceDN/>
      <w:spacing w:line="360" w:lineRule="auto"/>
      <w:ind w:firstLine="480" w:firstLineChars="200"/>
      <w:jc w:val="both"/>
    </w:pPr>
    <w:rPr>
      <w:rFonts w:ascii="Times New Roman" w:hAnsi="Times New Roman" w:cs="Times New Roman"/>
      <w:kern w:val="2"/>
      <w:szCs w:val="24"/>
      <w:lang w:eastAsia="zh-CN"/>
    </w:rPr>
  </w:style>
  <w:style w:type="character" w:customStyle="1" w:styleId="158">
    <w:name w:val="标题 5 字符"/>
    <w:basedOn w:val="130"/>
    <w:link w:val="8"/>
    <w:qFormat/>
    <w:uiPriority w:val="0"/>
    <w:rPr>
      <w:sz w:val="24"/>
      <w:szCs w:val="22"/>
    </w:rPr>
  </w:style>
  <w:style w:type="character" w:customStyle="1" w:styleId="159">
    <w:name w:val="标题 4 字符"/>
    <w:basedOn w:val="130"/>
    <w:link w:val="7"/>
    <w:qFormat/>
    <w:uiPriority w:val="9"/>
    <w:rPr>
      <w:rFonts w:cstheme="minorBidi"/>
      <w:kern w:val="32"/>
      <w:sz w:val="24"/>
      <w:szCs w:val="32"/>
    </w:rPr>
  </w:style>
  <w:style w:type="paragraph" w:customStyle="1" w:styleId="160">
    <w:name w:val="列出段落1"/>
    <w:basedOn w:val="1"/>
    <w:qFormat/>
    <w:uiPriority w:val="34"/>
    <w:pPr>
      <w:autoSpaceDE/>
      <w:autoSpaceDN/>
      <w:ind w:firstLine="420" w:firstLineChars="200"/>
      <w:jc w:val="both"/>
    </w:pPr>
    <w:rPr>
      <w:rFonts w:ascii="Calibri" w:hAnsi="Calibri" w:cs="Times New Roman"/>
      <w:kern w:val="2"/>
      <w:sz w:val="21"/>
      <w:lang w:eastAsia="zh-CN"/>
    </w:rPr>
  </w:style>
  <w:style w:type="character" w:customStyle="1" w:styleId="161">
    <w:name w:val="标题 字符"/>
    <w:basedOn w:val="130"/>
    <w:link w:val="81"/>
    <w:qFormat/>
    <w:uiPriority w:val="10"/>
    <w:rPr>
      <w:rFonts w:eastAsia="宋体" w:asciiTheme="majorHAnsi" w:hAnsiTheme="majorHAnsi" w:cstheme="majorBidi"/>
      <w:b/>
      <w:bCs/>
      <w:kern w:val="2"/>
      <w:sz w:val="32"/>
      <w:szCs w:val="32"/>
      <w:lang w:eastAsia="zh-CN"/>
    </w:rPr>
  </w:style>
  <w:style w:type="character" w:customStyle="1" w:styleId="162">
    <w:name w:val="标题 1 字符"/>
    <w:basedOn w:val="130"/>
    <w:link w:val="3"/>
    <w:qFormat/>
    <w:uiPriority w:val="9"/>
    <w:rPr>
      <w:rFonts w:eastAsia="黑体"/>
      <w:sz w:val="36"/>
      <w:szCs w:val="36"/>
    </w:rPr>
  </w:style>
  <w:style w:type="character" w:customStyle="1" w:styleId="163">
    <w:name w:val="标题 2 字符"/>
    <w:basedOn w:val="130"/>
    <w:link w:val="4"/>
    <w:qFormat/>
    <w:uiPriority w:val="9"/>
    <w:rPr>
      <w:rFonts w:eastAsia="黑体"/>
      <w:sz w:val="30"/>
      <w:szCs w:val="30"/>
    </w:rPr>
  </w:style>
  <w:style w:type="character" w:customStyle="1" w:styleId="164">
    <w:name w:val="标题 3 字符"/>
    <w:basedOn w:val="130"/>
    <w:link w:val="5"/>
    <w:qFormat/>
    <w:uiPriority w:val="9"/>
    <w:rPr>
      <w:sz w:val="24"/>
      <w:szCs w:val="22"/>
    </w:rPr>
  </w:style>
  <w:style w:type="character" w:customStyle="1" w:styleId="165">
    <w:name w:val="正文文本 字符"/>
    <w:basedOn w:val="130"/>
    <w:link w:val="34"/>
    <w:qFormat/>
    <w:uiPriority w:val="99"/>
    <w:rPr>
      <w:rFonts w:ascii="宋体" w:hAnsi="宋体" w:eastAsia="宋体" w:cs="宋体"/>
      <w:sz w:val="24"/>
      <w:szCs w:val="22"/>
    </w:rPr>
  </w:style>
  <w:style w:type="character" w:customStyle="1" w:styleId="166">
    <w:name w:val="标题4 字符"/>
    <w:link w:val="6"/>
    <w:qFormat/>
    <w:uiPriority w:val="0"/>
    <w:rPr>
      <w:rFonts w:cstheme="minorBidi"/>
      <w:kern w:val="32"/>
      <w:sz w:val="24"/>
      <w:szCs w:val="32"/>
    </w:rPr>
  </w:style>
  <w:style w:type="character" w:customStyle="1" w:styleId="167">
    <w:name w:val="标题3 字符"/>
    <w:link w:val="168"/>
    <w:qFormat/>
    <w:uiPriority w:val="0"/>
    <w:rPr>
      <w:rFonts w:ascii="宋体" w:hAnsi="宋体" w:eastAsiaTheme="minorEastAsia" w:cstheme="minorBidi"/>
      <w:kern w:val="2"/>
      <w:sz w:val="24"/>
      <w:szCs w:val="30"/>
    </w:rPr>
  </w:style>
  <w:style w:type="paragraph" w:customStyle="1" w:styleId="168">
    <w:name w:val="标题3"/>
    <w:basedOn w:val="4"/>
    <w:link w:val="167"/>
    <w:qFormat/>
    <w:uiPriority w:val="0"/>
    <w:pPr>
      <w:widowControl/>
      <w:autoSpaceDE/>
      <w:autoSpaceDN/>
      <w:snapToGrid w:val="0"/>
      <w:spacing w:before="50" w:beforeLines="50" w:after="50" w:afterLines="50"/>
      <w:jc w:val="both"/>
      <w:outlineLvl w:val="2"/>
    </w:pPr>
    <w:rPr>
      <w:rFonts w:ascii="宋体" w:hAnsi="宋体" w:eastAsiaTheme="minorEastAsia" w:cstheme="minorBidi"/>
      <w:kern w:val="2"/>
      <w:sz w:val="24"/>
    </w:rPr>
  </w:style>
  <w:style w:type="table" w:customStyle="1" w:styleId="169">
    <w:name w:val="Table Normal3"/>
    <w:semiHidden/>
    <w:unhideWhenUsed/>
    <w:qFormat/>
    <w:uiPriority w:val="2"/>
    <w:tblPr>
      <w:tblCellMar>
        <w:top w:w="0" w:type="dxa"/>
        <w:left w:w="0" w:type="dxa"/>
        <w:bottom w:w="0" w:type="dxa"/>
        <w:right w:w="0" w:type="dxa"/>
      </w:tblCellMar>
    </w:tblPr>
  </w:style>
  <w:style w:type="character" w:customStyle="1" w:styleId="170">
    <w:name w:val="标题 6 字符"/>
    <w:basedOn w:val="130"/>
    <w:link w:val="9"/>
    <w:qFormat/>
    <w:uiPriority w:val="0"/>
    <w:rPr>
      <w:sz w:val="24"/>
      <w:szCs w:val="22"/>
    </w:rPr>
  </w:style>
  <w:style w:type="character" w:customStyle="1" w:styleId="171">
    <w:name w:val="标题 7 字符"/>
    <w:basedOn w:val="130"/>
    <w:link w:val="10"/>
    <w:qFormat/>
    <w:uiPriority w:val="0"/>
    <w:rPr>
      <w:sz w:val="24"/>
      <w:szCs w:val="22"/>
    </w:rPr>
  </w:style>
  <w:style w:type="character" w:customStyle="1" w:styleId="172">
    <w:name w:val="List Paragraph Char"/>
    <w:link w:val="173"/>
    <w:qFormat/>
    <w:locked/>
    <w:uiPriority w:val="99"/>
    <w:rPr>
      <w:rFonts w:ascii="宋体" w:hAnsi="宋体"/>
    </w:rPr>
  </w:style>
  <w:style w:type="paragraph" w:customStyle="1" w:styleId="173">
    <w:name w:val="列表段落1"/>
    <w:basedOn w:val="1"/>
    <w:link w:val="172"/>
    <w:qFormat/>
    <w:uiPriority w:val="99"/>
    <w:pPr>
      <w:keepLines w:val="0"/>
      <w:spacing w:before="124" w:line="240" w:lineRule="auto"/>
      <w:ind w:left="1350" w:hanging="284"/>
    </w:pPr>
    <w:rPr>
      <w:rFonts w:cs="Times New Roman"/>
      <w:sz w:val="20"/>
      <w:szCs w:val="20"/>
      <w:lang w:eastAsia="zh-CN"/>
    </w:rPr>
  </w:style>
  <w:style w:type="character" w:customStyle="1" w:styleId="174">
    <w:name w:val="列表段落 字符"/>
    <w:link w:val="175"/>
    <w:qFormat/>
    <w:uiPriority w:val="34"/>
    <w:rPr>
      <w:rFonts w:ascii="宋体" w:hAnsi="宋体" w:cs="宋体"/>
      <w:sz w:val="22"/>
      <w:szCs w:val="22"/>
      <w:lang w:eastAsia="en-US"/>
    </w:rPr>
  </w:style>
  <w:style w:type="paragraph" w:styleId="175">
    <w:name w:val="List Paragraph"/>
    <w:basedOn w:val="1"/>
    <w:link w:val="174"/>
    <w:qFormat/>
    <w:uiPriority w:val="34"/>
    <w:pPr>
      <w:ind w:firstLine="420" w:firstLineChars="200"/>
    </w:pPr>
    <w:rPr>
      <w:sz w:val="22"/>
    </w:rPr>
  </w:style>
  <w:style w:type="paragraph" w:customStyle="1" w:styleId="176">
    <w:name w:val="_Style 63"/>
    <w:basedOn w:val="1"/>
    <w:next w:val="175"/>
    <w:qFormat/>
    <w:uiPriority w:val="34"/>
    <w:pPr>
      <w:keepLines w:val="0"/>
      <w:spacing w:before="124" w:line="240" w:lineRule="auto"/>
      <w:ind w:left="1350" w:hanging="284"/>
    </w:pPr>
    <w:rPr>
      <w:sz w:val="22"/>
    </w:rPr>
  </w:style>
  <w:style w:type="character" w:customStyle="1" w:styleId="177">
    <w:name w:val="标题 8 字符"/>
    <w:basedOn w:val="130"/>
    <w:link w:val="11"/>
    <w:qFormat/>
    <w:uiPriority w:val="0"/>
  </w:style>
  <w:style w:type="character" w:customStyle="1" w:styleId="178">
    <w:name w:val="标题 9 字符"/>
    <w:basedOn w:val="130"/>
    <w:link w:val="12"/>
    <w:qFormat/>
    <w:uiPriority w:val="0"/>
  </w:style>
  <w:style w:type="character" w:customStyle="1" w:styleId="179">
    <w:name w:val="注释标题 字符"/>
    <w:basedOn w:val="130"/>
    <w:link w:val="16"/>
    <w:semiHidden/>
    <w:qFormat/>
    <w:uiPriority w:val="0"/>
    <w:rPr>
      <w:kern w:val="2"/>
      <w:sz w:val="21"/>
      <w:szCs w:val="24"/>
    </w:rPr>
  </w:style>
  <w:style w:type="character" w:customStyle="1" w:styleId="180">
    <w:name w:val="电子邮件签名 字符"/>
    <w:basedOn w:val="130"/>
    <w:link w:val="19"/>
    <w:semiHidden/>
    <w:qFormat/>
    <w:uiPriority w:val="0"/>
    <w:rPr>
      <w:kern w:val="2"/>
      <w:sz w:val="21"/>
      <w:szCs w:val="24"/>
    </w:rPr>
  </w:style>
  <w:style w:type="character" w:customStyle="1" w:styleId="181">
    <w:name w:val="称呼 字符"/>
    <w:basedOn w:val="130"/>
    <w:link w:val="30"/>
    <w:semiHidden/>
    <w:qFormat/>
    <w:uiPriority w:val="0"/>
    <w:rPr>
      <w:kern w:val="2"/>
      <w:sz w:val="21"/>
      <w:szCs w:val="24"/>
    </w:rPr>
  </w:style>
  <w:style w:type="character" w:customStyle="1" w:styleId="182">
    <w:name w:val="正文文本 3 字符"/>
    <w:basedOn w:val="130"/>
    <w:link w:val="31"/>
    <w:semiHidden/>
    <w:qFormat/>
    <w:uiPriority w:val="0"/>
    <w:rPr>
      <w:kern w:val="2"/>
      <w:sz w:val="16"/>
      <w:szCs w:val="16"/>
    </w:rPr>
  </w:style>
  <w:style w:type="character" w:customStyle="1" w:styleId="183">
    <w:name w:val="结束语 字符"/>
    <w:basedOn w:val="130"/>
    <w:link w:val="32"/>
    <w:semiHidden/>
    <w:qFormat/>
    <w:uiPriority w:val="0"/>
    <w:rPr>
      <w:kern w:val="2"/>
      <w:sz w:val="21"/>
      <w:szCs w:val="24"/>
    </w:rPr>
  </w:style>
  <w:style w:type="character" w:customStyle="1" w:styleId="184">
    <w:name w:val="正文文本缩进 字符"/>
    <w:basedOn w:val="130"/>
    <w:link w:val="36"/>
    <w:qFormat/>
    <w:uiPriority w:val="0"/>
    <w:rPr>
      <w:kern w:val="2"/>
      <w:sz w:val="21"/>
    </w:rPr>
  </w:style>
  <w:style w:type="character" w:customStyle="1" w:styleId="185">
    <w:name w:val="HTML 地址 字符"/>
    <w:basedOn w:val="130"/>
    <w:link w:val="42"/>
    <w:semiHidden/>
    <w:qFormat/>
    <w:uiPriority w:val="0"/>
    <w:rPr>
      <w:i/>
      <w:iCs/>
      <w:kern w:val="2"/>
      <w:sz w:val="21"/>
      <w:szCs w:val="24"/>
    </w:rPr>
  </w:style>
  <w:style w:type="character" w:customStyle="1" w:styleId="186">
    <w:name w:val="正文文本缩进 2 字符"/>
    <w:basedOn w:val="130"/>
    <w:link w:val="50"/>
    <w:qFormat/>
    <w:uiPriority w:val="99"/>
    <w:rPr>
      <w:kern w:val="2"/>
      <w:sz w:val="21"/>
      <w:szCs w:val="24"/>
    </w:rPr>
  </w:style>
  <w:style w:type="character" w:customStyle="1" w:styleId="187">
    <w:name w:val="尾注文本 字符"/>
    <w:basedOn w:val="130"/>
    <w:link w:val="51"/>
    <w:semiHidden/>
    <w:qFormat/>
    <w:uiPriority w:val="0"/>
    <w:rPr>
      <w:kern w:val="2"/>
      <w:sz w:val="21"/>
      <w:szCs w:val="24"/>
    </w:rPr>
  </w:style>
  <w:style w:type="character" w:customStyle="1" w:styleId="188">
    <w:name w:val="签名 字符"/>
    <w:basedOn w:val="130"/>
    <w:link w:val="57"/>
    <w:semiHidden/>
    <w:qFormat/>
    <w:uiPriority w:val="0"/>
    <w:rPr>
      <w:kern w:val="2"/>
      <w:sz w:val="21"/>
      <w:szCs w:val="24"/>
    </w:rPr>
  </w:style>
  <w:style w:type="character" w:customStyle="1" w:styleId="189">
    <w:name w:val="脚注文本 字符"/>
    <w:basedOn w:val="130"/>
    <w:link w:val="65"/>
    <w:semiHidden/>
    <w:qFormat/>
    <w:uiPriority w:val="0"/>
    <w:rPr>
      <w:kern w:val="2"/>
      <w:sz w:val="18"/>
    </w:rPr>
  </w:style>
  <w:style w:type="character" w:customStyle="1" w:styleId="190">
    <w:name w:val="信息标题 字符"/>
    <w:basedOn w:val="130"/>
    <w:link w:val="76"/>
    <w:semiHidden/>
    <w:qFormat/>
    <w:uiPriority w:val="0"/>
    <w:rPr>
      <w:rFonts w:ascii="Arial" w:hAnsi="Arial" w:cs="Arial"/>
      <w:kern w:val="2"/>
      <w:sz w:val="24"/>
      <w:szCs w:val="24"/>
      <w:shd w:val="pct20" w:color="auto" w:fill="auto"/>
    </w:rPr>
  </w:style>
  <w:style w:type="character" w:customStyle="1" w:styleId="191">
    <w:name w:val="HTML 预设格式 字符"/>
    <w:basedOn w:val="130"/>
    <w:link w:val="77"/>
    <w:semiHidden/>
    <w:qFormat/>
    <w:uiPriority w:val="0"/>
    <w:rPr>
      <w:rFonts w:ascii="宋体" w:hAnsi="宋体" w:cs="宋体"/>
      <w:color w:val="000000"/>
      <w:sz w:val="24"/>
      <w:szCs w:val="24"/>
    </w:rPr>
  </w:style>
  <w:style w:type="character" w:customStyle="1" w:styleId="192">
    <w:name w:val="正文文本首行缩进 字符"/>
    <w:basedOn w:val="165"/>
    <w:link w:val="83"/>
    <w:semiHidden/>
    <w:qFormat/>
    <w:uiPriority w:val="0"/>
    <w:rPr>
      <w:rFonts w:ascii="宋体" w:hAnsiTheme="minorHAnsi" w:eastAsiaTheme="minorEastAsia" w:cstheme="minorBidi"/>
      <w:kern w:val="2"/>
      <w:sz w:val="21"/>
      <w:szCs w:val="24"/>
    </w:rPr>
  </w:style>
  <w:style w:type="character" w:customStyle="1" w:styleId="193">
    <w:name w:val="正文文本首行缩进 2 字符"/>
    <w:basedOn w:val="184"/>
    <w:link w:val="84"/>
    <w:semiHidden/>
    <w:qFormat/>
    <w:uiPriority w:val="0"/>
    <w:rPr>
      <w:rFonts w:eastAsiaTheme="minorEastAsia" w:cstheme="minorBidi"/>
      <w:kern w:val="2"/>
      <w:sz w:val="21"/>
      <w:szCs w:val="24"/>
    </w:rPr>
  </w:style>
  <w:style w:type="character" w:customStyle="1" w:styleId="194">
    <w:name w:val="unnamed211"/>
    <w:semiHidden/>
    <w:qFormat/>
    <w:uiPriority w:val="0"/>
    <w:rPr>
      <w:sz w:val="23"/>
      <w:szCs w:val="23"/>
    </w:rPr>
  </w:style>
  <w:style w:type="character" w:customStyle="1" w:styleId="195">
    <w:name w:val="批注文字 Char"/>
    <w:semiHidden/>
    <w:qFormat/>
    <w:uiPriority w:val="0"/>
    <w:rPr>
      <w:rFonts w:ascii="Times New Roman" w:hAnsi="Times New Roman" w:eastAsia="宋体" w:cs="Times New Roman"/>
      <w:szCs w:val="20"/>
    </w:rPr>
  </w:style>
  <w:style w:type="character" w:customStyle="1" w:styleId="196">
    <w:name w:val="ss1"/>
    <w:semiHidden/>
    <w:qFormat/>
    <w:uiPriority w:val="0"/>
    <w:rPr>
      <w:rFonts w:hint="default" w:ascii="ˎ̥" w:hAnsi="ˎ̥"/>
      <w:color w:val="000000"/>
      <w:sz w:val="18"/>
      <w:szCs w:val="18"/>
      <w:u w:val="none"/>
    </w:rPr>
  </w:style>
  <w:style w:type="character" w:customStyle="1" w:styleId="197">
    <w:name w:val="f142"/>
    <w:semiHidden/>
    <w:qFormat/>
    <w:uiPriority w:val="0"/>
    <w:rPr>
      <w:sz w:val="21"/>
      <w:szCs w:val="21"/>
    </w:rPr>
  </w:style>
  <w:style w:type="character" w:customStyle="1" w:styleId="198">
    <w:name w:val="f14b1"/>
    <w:semiHidden/>
    <w:qFormat/>
    <w:uiPriority w:val="0"/>
    <w:rPr>
      <w:b/>
      <w:bCs/>
      <w:sz w:val="21"/>
      <w:szCs w:val="21"/>
    </w:rPr>
  </w:style>
  <w:style w:type="character" w:customStyle="1" w:styleId="199">
    <w:name w:val="ggwenhao"/>
    <w:basedOn w:val="130"/>
    <w:semiHidden/>
    <w:qFormat/>
    <w:uiPriority w:val="0"/>
  </w:style>
  <w:style w:type="character" w:customStyle="1" w:styleId="200">
    <w:name w:val="ca-41"/>
    <w:qFormat/>
    <w:uiPriority w:val="0"/>
    <w:rPr>
      <w:rFonts w:hint="eastAsia" w:ascii="黑体" w:eastAsia="黑体"/>
      <w:b/>
      <w:bCs/>
      <w:spacing w:val="-20"/>
      <w:sz w:val="30"/>
      <w:szCs w:val="30"/>
    </w:rPr>
  </w:style>
  <w:style w:type="character" w:customStyle="1" w:styleId="201">
    <w:name w:val="注释标题 Char1"/>
    <w:basedOn w:val="130"/>
    <w:semiHidden/>
    <w:qFormat/>
    <w:uiPriority w:val="99"/>
    <w:rPr>
      <w:rFonts w:ascii="Times New Roman" w:hAnsi="Times New Roman" w:eastAsia="宋体" w:cs="Times New Roman"/>
      <w:szCs w:val="20"/>
    </w:rPr>
  </w:style>
  <w:style w:type="character" w:customStyle="1" w:styleId="202">
    <w:name w:val="正文文本 3 Char1"/>
    <w:basedOn w:val="130"/>
    <w:semiHidden/>
    <w:qFormat/>
    <w:uiPriority w:val="99"/>
    <w:rPr>
      <w:rFonts w:ascii="Times New Roman" w:hAnsi="Times New Roman" w:eastAsia="宋体" w:cs="Times New Roman"/>
      <w:sz w:val="16"/>
      <w:szCs w:val="16"/>
    </w:rPr>
  </w:style>
  <w:style w:type="character" w:customStyle="1" w:styleId="203">
    <w:name w:val="批注主题 Char1"/>
    <w:basedOn w:val="151"/>
    <w:semiHidden/>
    <w:qFormat/>
    <w:uiPriority w:val="99"/>
    <w:rPr>
      <w:rFonts w:ascii="Times New Roman" w:hAnsi="Times New Roman" w:eastAsia="宋体" w:cs="Times New Roman"/>
      <w:b/>
      <w:bCs/>
      <w:szCs w:val="20"/>
    </w:rPr>
  </w:style>
  <w:style w:type="character" w:customStyle="1" w:styleId="204">
    <w:name w:val="正文首行缩进 Char1"/>
    <w:basedOn w:val="165"/>
    <w:semiHidden/>
    <w:qFormat/>
    <w:uiPriority w:val="99"/>
    <w:rPr>
      <w:rFonts w:ascii="Times New Roman" w:hAnsi="Times New Roman" w:eastAsia="宋体" w:cs="Times New Roman"/>
      <w:sz w:val="24"/>
      <w:szCs w:val="20"/>
    </w:rPr>
  </w:style>
  <w:style w:type="character" w:customStyle="1" w:styleId="205">
    <w:name w:val="结束语 Char1"/>
    <w:basedOn w:val="130"/>
    <w:semiHidden/>
    <w:qFormat/>
    <w:uiPriority w:val="99"/>
    <w:rPr>
      <w:rFonts w:ascii="Times New Roman" w:hAnsi="Times New Roman" w:eastAsia="宋体" w:cs="Times New Roman"/>
      <w:szCs w:val="20"/>
    </w:rPr>
  </w:style>
  <w:style w:type="character" w:customStyle="1" w:styleId="206">
    <w:name w:val="称呼 Char1"/>
    <w:basedOn w:val="130"/>
    <w:semiHidden/>
    <w:qFormat/>
    <w:uiPriority w:val="99"/>
    <w:rPr>
      <w:rFonts w:ascii="Times New Roman" w:hAnsi="Times New Roman" w:eastAsia="宋体" w:cs="Times New Roman"/>
      <w:szCs w:val="20"/>
    </w:rPr>
  </w:style>
  <w:style w:type="character" w:customStyle="1" w:styleId="207">
    <w:name w:val="电子邮件签名 Char1"/>
    <w:basedOn w:val="130"/>
    <w:semiHidden/>
    <w:qFormat/>
    <w:uiPriority w:val="99"/>
    <w:rPr>
      <w:rFonts w:ascii="Times New Roman" w:hAnsi="Times New Roman" w:eastAsia="宋体" w:cs="Times New Roman"/>
      <w:szCs w:val="20"/>
    </w:rPr>
  </w:style>
  <w:style w:type="character" w:customStyle="1" w:styleId="208">
    <w:name w:val="文档结构图 Char1"/>
    <w:basedOn w:val="130"/>
    <w:semiHidden/>
    <w:qFormat/>
    <w:uiPriority w:val="99"/>
    <w:rPr>
      <w:rFonts w:ascii="宋体" w:hAnsi="Times New Roman" w:eastAsia="宋体" w:cs="Times New Roman"/>
      <w:sz w:val="18"/>
      <w:szCs w:val="18"/>
    </w:rPr>
  </w:style>
  <w:style w:type="character" w:customStyle="1" w:styleId="209">
    <w:name w:val="签名 Char1"/>
    <w:basedOn w:val="130"/>
    <w:semiHidden/>
    <w:qFormat/>
    <w:uiPriority w:val="99"/>
    <w:rPr>
      <w:rFonts w:ascii="Times New Roman" w:hAnsi="Times New Roman" w:eastAsia="宋体" w:cs="Times New Roman"/>
      <w:szCs w:val="20"/>
    </w:rPr>
  </w:style>
  <w:style w:type="character" w:customStyle="1" w:styleId="210">
    <w:name w:val="正文文本缩进 2 Char1"/>
    <w:basedOn w:val="130"/>
    <w:semiHidden/>
    <w:qFormat/>
    <w:uiPriority w:val="99"/>
    <w:rPr>
      <w:rFonts w:ascii="Times New Roman" w:hAnsi="Times New Roman" w:eastAsia="宋体" w:cs="Times New Roman"/>
      <w:szCs w:val="20"/>
    </w:rPr>
  </w:style>
  <w:style w:type="character" w:customStyle="1" w:styleId="211">
    <w:name w:val="HTML 预设格式 Char1"/>
    <w:basedOn w:val="130"/>
    <w:semiHidden/>
    <w:qFormat/>
    <w:uiPriority w:val="99"/>
    <w:rPr>
      <w:rFonts w:ascii="Courier New" w:hAnsi="Courier New" w:eastAsia="宋体" w:cs="Courier New"/>
      <w:sz w:val="20"/>
      <w:szCs w:val="20"/>
    </w:rPr>
  </w:style>
  <w:style w:type="character" w:customStyle="1" w:styleId="212">
    <w:name w:val="页眉 Char1"/>
    <w:basedOn w:val="130"/>
    <w:semiHidden/>
    <w:qFormat/>
    <w:uiPriority w:val="99"/>
    <w:rPr>
      <w:rFonts w:ascii="Times New Roman" w:hAnsi="Times New Roman" w:eastAsia="宋体" w:cs="Times New Roman"/>
      <w:sz w:val="18"/>
      <w:szCs w:val="18"/>
    </w:rPr>
  </w:style>
  <w:style w:type="character" w:customStyle="1" w:styleId="213">
    <w:name w:val="HTML 地址 Char1"/>
    <w:basedOn w:val="130"/>
    <w:semiHidden/>
    <w:qFormat/>
    <w:uiPriority w:val="99"/>
    <w:rPr>
      <w:rFonts w:ascii="Times New Roman" w:hAnsi="Times New Roman" w:eastAsia="宋体" w:cs="Times New Roman"/>
      <w:i/>
      <w:iCs/>
      <w:szCs w:val="20"/>
    </w:rPr>
  </w:style>
  <w:style w:type="character" w:customStyle="1" w:styleId="214">
    <w:name w:val="正文首行缩进 2 Char1"/>
    <w:basedOn w:val="184"/>
    <w:semiHidden/>
    <w:qFormat/>
    <w:uiPriority w:val="99"/>
    <w:rPr>
      <w:rFonts w:ascii="Times New Roman" w:hAnsi="Times New Roman" w:eastAsia="宋体" w:cs="Times New Roman"/>
      <w:kern w:val="2"/>
      <w:sz w:val="21"/>
      <w:szCs w:val="20"/>
    </w:rPr>
  </w:style>
  <w:style w:type="character" w:customStyle="1" w:styleId="215">
    <w:name w:val="纯文本 字符"/>
    <w:basedOn w:val="130"/>
    <w:link w:val="2"/>
    <w:qFormat/>
    <w:uiPriority w:val="0"/>
    <w:rPr>
      <w:rFonts w:ascii="宋体" w:hAnsi="Courier New" w:cs="宋体"/>
      <w:sz w:val="24"/>
      <w:szCs w:val="22"/>
      <w:lang w:eastAsia="en-US"/>
    </w:rPr>
  </w:style>
  <w:style w:type="character" w:customStyle="1" w:styleId="216">
    <w:name w:val="批注框文本 Char1"/>
    <w:basedOn w:val="130"/>
    <w:semiHidden/>
    <w:qFormat/>
    <w:uiPriority w:val="99"/>
    <w:rPr>
      <w:rFonts w:ascii="Times New Roman" w:hAnsi="Times New Roman" w:eastAsia="宋体" w:cs="Times New Roman"/>
      <w:sz w:val="18"/>
      <w:szCs w:val="18"/>
    </w:rPr>
  </w:style>
  <w:style w:type="character" w:customStyle="1" w:styleId="217">
    <w:name w:val="页脚 Char1"/>
    <w:basedOn w:val="130"/>
    <w:semiHidden/>
    <w:qFormat/>
    <w:uiPriority w:val="99"/>
    <w:rPr>
      <w:rFonts w:ascii="Times New Roman" w:hAnsi="Times New Roman" w:eastAsia="宋体" w:cs="Times New Roman"/>
      <w:sz w:val="18"/>
      <w:szCs w:val="18"/>
    </w:rPr>
  </w:style>
  <w:style w:type="character" w:customStyle="1" w:styleId="218">
    <w:name w:val="信息标题 Char1"/>
    <w:basedOn w:val="130"/>
    <w:semiHidden/>
    <w:qFormat/>
    <w:uiPriority w:val="99"/>
    <w:rPr>
      <w:rFonts w:asciiTheme="majorHAnsi" w:hAnsiTheme="majorHAnsi" w:eastAsiaTheme="majorEastAsia" w:cstheme="majorBidi"/>
      <w:sz w:val="24"/>
      <w:szCs w:val="24"/>
      <w:shd w:val="pct20" w:color="auto" w:fill="auto"/>
    </w:rPr>
  </w:style>
  <w:style w:type="paragraph" w:customStyle="1" w:styleId="219">
    <w:name w:val="ggbody"/>
    <w:basedOn w:val="1"/>
    <w:semiHidden/>
    <w:qFormat/>
    <w:uiPriority w:val="0"/>
    <w:pPr>
      <w:keepLines w:val="0"/>
      <w:widowControl/>
      <w:autoSpaceDE/>
      <w:autoSpaceDN/>
      <w:spacing w:before="100" w:beforeAutospacing="1" w:after="100" w:afterAutospacing="1" w:line="330" w:lineRule="atLeast"/>
    </w:pPr>
    <w:rPr>
      <w:sz w:val="23"/>
      <w:szCs w:val="23"/>
      <w:lang w:eastAsia="zh-CN"/>
    </w:rPr>
  </w:style>
  <w:style w:type="paragraph" w:customStyle="1" w:styleId="220">
    <w:name w:val="ggtitle"/>
    <w:basedOn w:val="1"/>
    <w:semiHidden/>
    <w:qFormat/>
    <w:uiPriority w:val="0"/>
    <w:pPr>
      <w:keepLines w:val="0"/>
      <w:widowControl/>
      <w:autoSpaceDE/>
      <w:autoSpaceDN/>
      <w:spacing w:before="100" w:beforeAutospacing="1" w:after="100" w:afterAutospacing="1" w:line="330" w:lineRule="atLeast"/>
    </w:pPr>
    <w:rPr>
      <w:sz w:val="23"/>
      <w:szCs w:val="23"/>
      <w:lang w:eastAsia="zh-CN"/>
    </w:rPr>
  </w:style>
  <w:style w:type="paragraph" w:customStyle="1" w:styleId="221">
    <w:name w:val="style93"/>
    <w:basedOn w:val="1"/>
    <w:qFormat/>
    <w:uiPriority w:val="0"/>
    <w:pPr>
      <w:keepLines w:val="0"/>
      <w:widowControl/>
      <w:autoSpaceDE/>
      <w:autoSpaceDN/>
      <w:spacing w:before="100" w:beforeAutospacing="1" w:after="100" w:afterAutospacing="1" w:line="240" w:lineRule="auto"/>
    </w:pPr>
    <w:rPr>
      <w:szCs w:val="24"/>
      <w:lang w:eastAsia="zh-CN"/>
    </w:rPr>
  </w:style>
  <w:style w:type="character" w:customStyle="1" w:styleId="222">
    <w:name w:val="纯文本 Char1"/>
    <w:qFormat/>
    <w:uiPriority w:val="0"/>
    <w:rPr>
      <w:rFonts w:ascii="宋体" w:hAnsi="Courier New" w:cs="Courier New"/>
      <w:kern w:val="2"/>
      <w:sz w:val="21"/>
      <w:szCs w:val="21"/>
    </w:rPr>
  </w:style>
  <w:style w:type="character" w:customStyle="1" w:styleId="223">
    <w:name w:val="Char Char23"/>
    <w:semiHidden/>
    <w:qFormat/>
    <w:uiPriority w:val="0"/>
    <w:rPr>
      <w:rFonts w:ascii="Times New Roman" w:hAnsi="Times New Roman" w:eastAsia="宋体" w:cs="Times New Roman"/>
      <w:b/>
      <w:bCs/>
      <w:szCs w:val="24"/>
    </w:rPr>
  </w:style>
  <w:style w:type="character" w:customStyle="1" w:styleId="224">
    <w:name w:val="脚注文本 Char1"/>
    <w:basedOn w:val="130"/>
    <w:semiHidden/>
    <w:qFormat/>
    <w:uiPriority w:val="99"/>
    <w:rPr>
      <w:rFonts w:ascii="Times New Roman" w:hAnsi="Times New Roman" w:eastAsia="宋体" w:cs="Times New Roman"/>
      <w:sz w:val="18"/>
      <w:szCs w:val="18"/>
    </w:rPr>
  </w:style>
  <w:style w:type="character" w:customStyle="1" w:styleId="225">
    <w:name w:val="尾注文本 Char1"/>
    <w:basedOn w:val="130"/>
    <w:semiHidden/>
    <w:qFormat/>
    <w:uiPriority w:val="99"/>
    <w:rPr>
      <w:rFonts w:ascii="Times New Roman" w:hAnsi="Times New Roman" w:eastAsia="宋体" w:cs="Times New Roman"/>
      <w:szCs w:val="20"/>
    </w:rPr>
  </w:style>
  <w:style w:type="paragraph" w:customStyle="1" w:styleId="226">
    <w:name w:val="z-窗体顶端1"/>
    <w:basedOn w:val="1"/>
    <w:next w:val="1"/>
    <w:link w:val="227"/>
    <w:unhideWhenUsed/>
    <w:qFormat/>
    <w:uiPriority w:val="99"/>
    <w:pPr>
      <w:keepLines w:val="0"/>
      <w:widowControl/>
      <w:pBdr>
        <w:bottom w:val="single" w:color="auto" w:sz="6" w:space="1"/>
      </w:pBdr>
      <w:autoSpaceDE/>
      <w:autoSpaceDN/>
      <w:spacing w:line="240" w:lineRule="auto"/>
      <w:jc w:val="center"/>
    </w:pPr>
    <w:rPr>
      <w:rFonts w:ascii="Arial" w:hAnsi="Arial" w:cs="Times New Roman"/>
      <w:vanish/>
      <w:sz w:val="16"/>
      <w:szCs w:val="16"/>
      <w:lang w:eastAsia="zh-CN"/>
    </w:rPr>
  </w:style>
  <w:style w:type="character" w:customStyle="1" w:styleId="227">
    <w:name w:val="z-窗体顶端 字符"/>
    <w:basedOn w:val="130"/>
    <w:link w:val="226"/>
    <w:qFormat/>
    <w:uiPriority w:val="99"/>
    <w:rPr>
      <w:rFonts w:ascii="Arial" w:hAnsi="Arial"/>
      <w:vanish/>
      <w:sz w:val="16"/>
      <w:szCs w:val="16"/>
    </w:rPr>
  </w:style>
  <w:style w:type="paragraph" w:customStyle="1" w:styleId="228">
    <w:name w:val="z-窗体底端1"/>
    <w:basedOn w:val="1"/>
    <w:next w:val="1"/>
    <w:link w:val="229"/>
    <w:unhideWhenUsed/>
    <w:qFormat/>
    <w:uiPriority w:val="99"/>
    <w:pPr>
      <w:keepLines w:val="0"/>
      <w:widowControl/>
      <w:pBdr>
        <w:top w:val="single" w:color="auto" w:sz="6" w:space="1"/>
      </w:pBdr>
      <w:autoSpaceDE/>
      <w:autoSpaceDN/>
      <w:spacing w:line="240" w:lineRule="auto"/>
      <w:jc w:val="center"/>
    </w:pPr>
    <w:rPr>
      <w:rFonts w:ascii="Arial" w:hAnsi="Arial" w:cs="Times New Roman"/>
      <w:vanish/>
      <w:sz w:val="16"/>
      <w:szCs w:val="16"/>
      <w:lang w:eastAsia="zh-CN"/>
    </w:rPr>
  </w:style>
  <w:style w:type="character" w:customStyle="1" w:styleId="229">
    <w:name w:val="z-窗体底端 字符"/>
    <w:basedOn w:val="130"/>
    <w:link w:val="228"/>
    <w:qFormat/>
    <w:uiPriority w:val="99"/>
    <w:rPr>
      <w:rFonts w:ascii="Arial" w:hAnsi="Arial"/>
      <w:vanish/>
      <w:sz w:val="16"/>
      <w:szCs w:val="16"/>
    </w:rPr>
  </w:style>
  <w:style w:type="character" w:customStyle="1" w:styleId="230">
    <w:name w:val="日期 字符"/>
    <w:basedOn w:val="130"/>
    <w:link w:val="35"/>
    <w:qFormat/>
    <w:uiPriority w:val="0"/>
    <w:rPr>
      <w:rFonts w:ascii="宋体" w:hAnsi="宋体" w:cs="宋体"/>
      <w:sz w:val="24"/>
      <w:szCs w:val="22"/>
      <w:lang w:eastAsia="en-US"/>
    </w:rPr>
  </w:style>
  <w:style w:type="paragraph" w:customStyle="1" w:styleId="231">
    <w:name w:val="_Style 10"/>
    <w:qFormat/>
    <w:uiPriority w:val="0"/>
    <w:rPr>
      <w:rFonts w:ascii="Calibri" w:hAnsi="Calibri" w:eastAsia="宋体" w:cs="Times New Roman"/>
      <w:kern w:val="2"/>
      <w:sz w:val="21"/>
      <w:szCs w:val="22"/>
      <w:lang w:val="en-US" w:eastAsia="zh-CN" w:bidi="ar-SA"/>
    </w:rPr>
  </w:style>
  <w:style w:type="paragraph" w:customStyle="1" w:styleId="232">
    <w:name w:val="Normal_0"/>
    <w:qFormat/>
    <w:uiPriority w:val="0"/>
    <w:pPr>
      <w:widowControl w:val="0"/>
      <w:jc w:val="both"/>
    </w:pPr>
    <w:rPr>
      <w:rFonts w:ascii="等线" w:hAnsi="等线" w:eastAsia="等线" w:cs="Times New Roman"/>
      <w:kern w:val="2"/>
      <w:sz w:val="21"/>
      <w:szCs w:val="22"/>
      <w:lang w:val="en-US" w:eastAsia="zh-CN" w:bidi="ar-SA"/>
    </w:rPr>
  </w:style>
  <w:style w:type="paragraph" w:customStyle="1" w:styleId="233">
    <w:name w:val="表格缩进2字符"/>
    <w:basedOn w:val="1"/>
    <w:link w:val="234"/>
    <w:qFormat/>
    <w:uiPriority w:val="0"/>
    <w:pPr>
      <w:keepLines w:val="0"/>
      <w:autoSpaceDE/>
      <w:autoSpaceDN/>
      <w:spacing w:line="240" w:lineRule="auto"/>
      <w:ind w:firstLine="420" w:firstLineChars="200"/>
      <w:jc w:val="both"/>
    </w:pPr>
    <w:rPr>
      <w:rFonts w:ascii="Times New Roman" w:hAnsi="Times New Roman"/>
      <w:kern w:val="2"/>
      <w:sz w:val="21"/>
      <w:szCs w:val="21"/>
      <w:lang w:eastAsia="zh-CN"/>
    </w:rPr>
  </w:style>
  <w:style w:type="character" w:customStyle="1" w:styleId="234">
    <w:name w:val="表格缩进2字符 Char"/>
    <w:link w:val="233"/>
    <w:qFormat/>
    <w:uiPriority w:val="0"/>
    <w:rPr>
      <w:rFonts w:cs="宋体"/>
      <w:kern w:val="2"/>
      <w:sz w:val="21"/>
      <w:szCs w:val="21"/>
    </w:rPr>
  </w:style>
  <w:style w:type="paragraph" w:customStyle="1" w:styleId="235">
    <w:name w:val="msolistparagraph"/>
    <w:basedOn w:val="1"/>
    <w:qFormat/>
    <w:uiPriority w:val="0"/>
    <w:pPr>
      <w:keepLines w:val="0"/>
      <w:autoSpaceDE/>
      <w:autoSpaceDN/>
      <w:spacing w:line="240" w:lineRule="auto"/>
      <w:ind w:firstLine="420" w:firstLineChars="200"/>
      <w:jc w:val="both"/>
    </w:pPr>
    <w:rPr>
      <w:rFonts w:ascii="Times New Roman" w:hAnsi="Times New Roman" w:cs="Times New Roman"/>
      <w:kern w:val="2"/>
      <w:sz w:val="21"/>
      <w:szCs w:val="20"/>
      <w:lang w:eastAsia="zh-CN"/>
    </w:rPr>
  </w:style>
  <w:style w:type="character" w:customStyle="1" w:styleId="236">
    <w:name w:val="列出段落 Char"/>
    <w:basedOn w:val="130"/>
    <w:qFormat/>
    <w:uiPriority w:val="34"/>
    <w:rPr>
      <w:rFonts w:hint="default" w:ascii="Tahoma" w:hAnsi="Tahoma" w:eastAsia="微软雅黑" w:cs="Times New Roman"/>
      <w:sz w:val="22"/>
      <w:szCs w:val="22"/>
    </w:rPr>
  </w:style>
  <w:style w:type="character" w:customStyle="1" w:styleId="237">
    <w:name w:val="正文文本缩进 3 字符"/>
    <w:basedOn w:val="130"/>
    <w:link w:val="68"/>
    <w:qFormat/>
    <w:uiPriority w:val="0"/>
    <w:rPr>
      <w:rFonts w:hAnsi="宋体" w:cs="宋体"/>
      <w:kern w:val="2"/>
      <w:sz w:val="28"/>
      <w:szCs w:val="22"/>
      <w:lang w:eastAsia="en-US"/>
    </w:rPr>
  </w:style>
  <w:style w:type="character" w:customStyle="1" w:styleId="238">
    <w:name w:val="纯文本 Char"/>
    <w:basedOn w:val="130"/>
    <w:semiHidden/>
    <w:qFormat/>
    <w:uiPriority w:val="99"/>
    <w:rPr>
      <w:rFonts w:ascii="宋体" w:hAnsi="Courier New" w:eastAsia="宋体" w:cs="Courier New"/>
      <w:szCs w:val="21"/>
    </w:rPr>
  </w:style>
  <w:style w:type="paragraph" w:customStyle="1" w:styleId="239">
    <w:name w:val="Normal_6"/>
    <w:qFormat/>
    <w:uiPriority w:val="0"/>
    <w:rPr>
      <w:rFonts w:ascii="Times New Roman" w:hAnsi="Times New Roman" w:eastAsia="Times New Roman" w:cs="Times New Roman"/>
      <w:sz w:val="24"/>
      <w:szCs w:val="24"/>
      <w:lang w:val="en-US" w:eastAsia="zh-CN" w:bidi="ar-SA"/>
    </w:rPr>
  </w:style>
  <w:style w:type="paragraph" w:customStyle="1" w:styleId="240">
    <w:name w:val="修订1"/>
    <w:hidden/>
    <w:semiHidden/>
    <w:qFormat/>
    <w:uiPriority w:val="99"/>
    <w:rPr>
      <w:rFonts w:asciiTheme="minorHAnsi" w:hAnsiTheme="minorHAnsi" w:eastAsiaTheme="minorEastAsia" w:cstheme="minorBidi"/>
      <w:kern w:val="2"/>
      <w:sz w:val="21"/>
      <w:szCs w:val="22"/>
      <w:lang w:val="en-US" w:eastAsia="zh-CN" w:bidi="ar-SA"/>
    </w:rPr>
  </w:style>
  <w:style w:type="paragraph" w:customStyle="1" w:styleId="241">
    <w:name w:val="列出段落4"/>
    <w:basedOn w:val="1"/>
    <w:unhideWhenUsed/>
    <w:qFormat/>
    <w:uiPriority w:val="0"/>
    <w:pPr>
      <w:keepLines w:val="0"/>
      <w:autoSpaceDE/>
      <w:autoSpaceDN/>
      <w:spacing w:line="240" w:lineRule="auto"/>
      <w:ind w:firstLine="420" w:firstLineChars="200"/>
      <w:jc w:val="both"/>
    </w:pPr>
    <w:rPr>
      <w:rFonts w:ascii="Calibri" w:hAnsi="Calibri" w:cs="Times New Roman"/>
      <w:kern w:val="2"/>
      <w:sz w:val="21"/>
      <w:szCs w:val="24"/>
      <w:lang w:eastAsia="zh-CN"/>
    </w:rPr>
  </w:style>
  <w:style w:type="paragraph" w:customStyle="1" w:styleId="242">
    <w:name w:val="3级正文"/>
    <w:basedOn w:val="1"/>
    <w:qFormat/>
    <w:uiPriority w:val="0"/>
    <w:pPr>
      <w:keepLines w:val="0"/>
      <w:autoSpaceDE/>
      <w:autoSpaceDN/>
      <w:spacing w:line="360" w:lineRule="auto"/>
      <w:ind w:left="405" w:leftChars="184" w:right="-20"/>
      <w:jc w:val="both"/>
    </w:pPr>
    <w:rPr>
      <w:rFonts w:ascii="仿宋" w:hAnsi="仿宋" w:eastAsia="仿宋" w:cs="仿宋"/>
      <w:spacing w:val="-1"/>
      <w:sz w:val="28"/>
      <w:szCs w:val="28"/>
      <w:lang w:eastAsia="zh-CN"/>
    </w:rPr>
  </w:style>
  <w:style w:type="paragraph" w:customStyle="1" w:styleId="243">
    <w:name w:val="修订2"/>
    <w:hidden/>
    <w:semiHidden/>
    <w:qFormat/>
    <w:uiPriority w:val="99"/>
    <w:rPr>
      <w:rFonts w:ascii="宋体" w:hAnsi="宋体" w:eastAsia="宋体" w:cs="宋体"/>
      <w:sz w:val="24"/>
      <w:szCs w:val="22"/>
      <w:lang w:val="en-US" w:eastAsia="en-US" w:bidi="ar-SA"/>
    </w:rPr>
  </w:style>
  <w:style w:type="paragraph" w:customStyle="1" w:styleId="244">
    <w:name w:val="Report Level 2"/>
    <w:basedOn w:val="1"/>
    <w:next w:val="1"/>
    <w:qFormat/>
    <w:uiPriority w:val="0"/>
    <w:pPr>
      <w:keepLines w:val="0"/>
      <w:numPr>
        <w:ilvl w:val="0"/>
        <w:numId w:val="4"/>
      </w:numPr>
      <w:tabs>
        <w:tab w:val="left" w:pos="1440"/>
      </w:tabs>
      <w:autoSpaceDE/>
      <w:autoSpaceDN/>
      <w:adjustRightInd w:val="0"/>
      <w:spacing w:before="60" w:after="60" w:line="320" w:lineRule="exact"/>
      <w:jc w:val="both"/>
      <w:textAlignment w:val="baseline"/>
      <w:outlineLvl w:val="1"/>
    </w:pPr>
    <w:rPr>
      <w:rFonts w:cs="Times New Roman"/>
      <w:b/>
      <w:szCs w:val="20"/>
      <w:lang w:val="en-GB" w:eastAsia="zh-CN"/>
    </w:rPr>
  </w:style>
  <w:style w:type="paragraph" w:customStyle="1" w:styleId="245">
    <w:name w:val="修订3"/>
    <w:hidden/>
    <w:semiHidden/>
    <w:qFormat/>
    <w:uiPriority w:val="99"/>
    <w:rPr>
      <w:rFonts w:ascii="宋体" w:hAnsi="宋体" w:eastAsia="宋体" w:cs="宋体"/>
      <w:sz w:val="24"/>
      <w:szCs w:val="22"/>
      <w:lang w:val="en-US" w:eastAsia="en-US" w:bidi="ar-SA"/>
    </w:rPr>
  </w:style>
  <w:style w:type="paragraph" w:customStyle="1" w:styleId="246">
    <w:name w:val="Revision"/>
    <w:hidden/>
    <w:semiHidden/>
    <w:qFormat/>
    <w:uiPriority w:val="99"/>
    <w:rPr>
      <w:rFonts w:ascii="宋体" w:hAnsi="宋体" w:eastAsia="宋体" w:cs="宋体"/>
      <w:sz w:val="24"/>
      <w:szCs w:val="22"/>
      <w:lang w:val="en-US" w:eastAsia="en-US" w:bidi="ar-SA"/>
    </w:rPr>
  </w:style>
  <w:style w:type="character" w:customStyle="1" w:styleId="247">
    <w:name w:val="font11"/>
    <w:basedOn w:val="130"/>
    <w:qFormat/>
    <w:uiPriority w:val="0"/>
    <w:rPr>
      <w:rFonts w:hint="eastAsia" w:ascii="宋体" w:hAnsi="宋体" w:eastAsia="宋体" w:cs="宋体"/>
      <w:color w:val="000000"/>
      <w:sz w:val="24"/>
      <w:szCs w:val="24"/>
      <w:u w:val="none"/>
    </w:rPr>
  </w:style>
  <w:style w:type="character" w:customStyle="1" w:styleId="248">
    <w:name w:val="font41"/>
    <w:basedOn w:val="130"/>
    <w:qFormat/>
    <w:uiPriority w:val="0"/>
    <w:rPr>
      <w:rFonts w:hint="eastAsia" w:ascii="宋体" w:hAnsi="宋体" w:eastAsia="宋体" w:cs="宋体"/>
      <w:color w:val="FF0000"/>
      <w:sz w:val="24"/>
      <w:szCs w:val="24"/>
      <w:u w:val="none"/>
    </w:rPr>
  </w:style>
  <w:style w:type="character" w:customStyle="1" w:styleId="249">
    <w:name w:val="font21"/>
    <w:basedOn w:val="130"/>
    <w:qFormat/>
    <w:uiPriority w:val="0"/>
    <w:rPr>
      <w:rFonts w:hint="eastAsia" w:ascii="宋体" w:hAnsi="宋体" w:eastAsia="宋体" w:cs="宋体"/>
      <w:color w:val="000000"/>
      <w:sz w:val="24"/>
      <w:szCs w:val="24"/>
      <w:u w: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jpeg"/><Relationship Id="rId7" Type="http://schemas.openxmlformats.org/officeDocument/2006/relationships/theme" Target="theme/theme1.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1" Type="http://schemas.openxmlformats.org/officeDocument/2006/relationships/fontTable" Target="fontTable.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numbering" Target="numbering.xml"/><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jpeg"/><Relationship Id="rId11" Type="http://schemas.openxmlformats.org/officeDocument/2006/relationships/image" Target="media/image4.png"/><Relationship Id="rId10" Type="http://schemas.openxmlformats.org/officeDocument/2006/relationships/image" Target="media/image3.jpe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595564B-6522-42C4-871F-E4F5AC579CFD}">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279</Pages>
  <Words>180187</Words>
  <Characters>191636</Characters>
  <Lines>1452</Lines>
  <Paragraphs>408</Paragraphs>
  <TotalTime>20</TotalTime>
  <ScaleCrop>false</ScaleCrop>
  <LinksUpToDate>false</LinksUpToDate>
  <CharactersWithSpaces>194666</CharactersWithSpaces>
  <Application>WPS Office_11.1.0.14036_F1E327BC-269C-435d-A152-05C5408002CA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2023-03-31T07:57:00Z</dcterms:created>
  <dc:creator>王立山</dc:creator>
  <cp:lastModifiedBy>易方武</cp:lastModifiedBy>
  <dcterms:modified xsi:type="dcterms:W3CDTF">2023-04-21T07:05:27Z</dcterms:modified>
  <cp:revision>14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2019-02-26T00:00:00Z</vt:filetime>
  </property>
  <property fmtid="{D5CDD505-2E9C-101B-9397-08002B2CF9AE}" pid="3" name="LastSaved">
    <vt:filetime>2019-08-13T00:00:00Z</vt:filetime>
  </property>
  <property fmtid="{D5CDD505-2E9C-101B-9397-08002B2CF9AE}" pid="4" name="KSOProductBuildVer">
    <vt:lpwstr>2052-11.1.0.14036</vt:lpwstr>
  </property>
  <property fmtid="{D5CDD505-2E9C-101B-9397-08002B2CF9AE}" pid="5" name="ICV">
    <vt:lpwstr>929F32B4E6F44E85871A660114B43E01_13</vt:lpwstr>
  </property>
</Properties>
</file>